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2E74B5"/>
          <w:sz w:val="26"/>
          <w:szCs w:val="26"/>
        </w:rPr>
        <w:t xml:space="preserve">FINAL YEAR PROJECT REPORT</w:t>
      </w:r>
    </w:p>
    <w:p>
      <w:pPr>
        <w:spacing w:before="200"/>
        <w:jc w:val="center"/>
      </w:pPr>
      <w:r>
        <w:rPr>
          <w:b/>
          <w:bCs/>
          <w:color w:val="1F3864"/>
          <w:sz w:val="72"/>
          <w:szCs w:val="72"/>
        </w:rPr>
        <w:t xml:space="preserve">REBADEN</w:t>
      </w:r>
    </w:p>
    <w:p>
      <w:pPr>
        <w:spacing w:after="100"/>
        <w:jc w:val="center"/>
      </w:pPr>
      <w:r>
        <w:rPr>
          <w:color w:val="333333"/>
          <w:sz w:val="28"/>
          <w:szCs w:val="28"/>
        </w:rPr>
        <w:t xml:space="preserve">A Security Information and Event Management (SIEM) Platform</w:t>
      </w:r>
    </w:p>
    <w:p>
      <w:pPr>
        <w:spacing w:after="500"/>
        <w:jc w:val="center"/>
      </w:pPr>
      <w:r>
        <w:rPr>
          <w:i/>
          <w:iCs/>
          <w:color w:val="595959"/>
          <w:sz w:val="22"/>
          <w:szCs w:val="22"/>
        </w:rPr>
        <w:t xml:space="preserve">for Small and Medium Enterprise Security Operations</w:t>
      </w:r>
    </w:p>
    <w:p>
      <w:pPr>
        <w:pBdr>
          <w:top w:val="single" w:color="2E74B5" w:sz="6"/>
        </w:pBdr>
        <w:spacing w:before="600"/>
      </w:pPr>
    </w:p>
    <w:p>
      <w:pPr>
        <w:spacing w:before="500"/>
        <w:jc w:val="center"/>
      </w:pPr>
      <w:r>
        <w:rPr>
          <w:color w:val="222222"/>
          <w:sz w:val="23"/>
          <w:szCs w:val="23"/>
        </w:rPr>
        <w:t xml:space="preserve">Prepared by: Joshua Ndereba</w:t>
      </w:r>
    </w:p>
    <w:p>
      <w:pPr>
        <w:spacing w:before="120"/>
        <w:jc w:val="center"/>
      </w:pPr>
      <w:r>
        <w:rPr>
          <w:color w:val="595959"/>
          <w:sz w:val="21"/>
          <w:szCs w:val="21"/>
        </w:rPr>
        <w:t xml:space="preserve">Final Year Security Engineering Project</w:t>
      </w:r>
    </w:p>
    <w:p>
      <w:pPr>
        <w:spacing w:before="500"/>
        <w:jc w:val="center"/>
      </w:pPr>
      <w:r>
        <w:rPr>
          <w:color w:val="595959"/>
          <w:sz w:val="20"/>
          <w:szCs w:val="20"/>
        </w:rPr>
        <w:t xml:space="preserve">Document Type: Project Report (Proposal, Design &amp; Implementation)</w:t>
      </w:r>
    </w:p>
    <w:p>
      <w:pPr>
        <w:jc w:val="center"/>
      </w:pPr>
      <w:r>
        <w:rPr>
          <w:color w:val="595959"/>
          <w:sz w:val="20"/>
          <w:szCs w:val="20"/>
        </w:rPr>
        <w:t xml:space="preserve">Version 2.0  ·  August 2026</w:t>
      </w:r>
    </w:p>
    <w:p>
      <w:pPr>
        <w:spacing w:after="800"/>
        <w:jc w:val="center"/>
      </w:pPr>
      <w:r>
        <w:rPr>
          <w:color w:val="595959"/>
          <w:sz w:val="20"/>
          <w:szCs w:val="20"/>
        </w:rPr>
        <w:t xml:space="preserve">Status: Implementation Complete — Fully Functional Build</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1F3864"/>
        </w:rPr>
        <w:t xml:space="preserve">Abstract</w:t>
      </w:r>
    </w:p>
    <w:p>
      <w:pPr>
        <w:spacing w:after="160" w:line="300"/>
      </w:pPr>
      <w:r>
        <w:t xml:space="preserve">Modern organisations of all sizes generate large volumes of security-relevant data from servers, applications, firewalls, and end-user devices. Without a centralised system for collecting, correlating, and triaging this data, security teams face alert fatigue, delayed incident response, and gaps in regulatory compliance. Commercial Security Information and Event Management (SIEM) platforms such as Splunk Enterprise Security and IBM QRadar address this problem but are frequently out of reach for small and medium enterprises (SMEs) due to licensing cost and operational complexity.</w:t>
      </w:r>
    </w:p>
    <w:p>
      <w:pPr>
        <w:spacing w:after="160" w:line="300"/>
      </w:pPr>
      <w:r>
        <w:t xml:space="preserve">This report documents the design, development, and implementation of Rebaden, a self-hosted, Django-based SIEM platform built to close this gap. The system implements a complete security-operations pipeline: multi-format log ingestion and parsing, rule-based event correlation and alert generation, MITRE ATT&amp;CK-mapped threat classification, investigation and case management with timeline and evidence tracking, an AI-assisted remediation advisor, role-based access control, and multi-format reporting (JSON, CSV, HTML).</w:t>
      </w:r>
    </w:p>
    <w:p>
      <w:pPr>
        <w:spacing w:after="160" w:line="300"/>
      </w:pPr>
      <w:r>
        <w:t xml:space="preserve">The platform was developed using an Agile methodology across four sprints over a ten-week period, following a backend-first, security-by-default development philosophy. The resulting system comprises 25+ interlinked data models, 40+ views, a REST-style API surface, and a fully themed, responsive web interface. Manual functional testing confirmed that all nine core project objectives were met. This report presents the problem context, a review of existing SIEM solutions, the system's architecture and data-flow design, the implementation approach, testing outcomes, and recommendations for future work including PostgreSQL migration, real-time log streaming, and SOAR-style playbook automation.</w:t>
      </w:r>
    </w:p>
    <w:p>
      <w:pPr>
        <w:spacing w:after="100"/>
      </w:pPr>
      <w:r>
        <w:rPr>
          <w:b/>
          <w:bCs/>
        </w:rPr>
        <w:t xml:space="preserve">Keywords: </w:t>
      </w:r>
      <w:r>
        <w:t xml:space="preserve">SIEM, security monitoring, log analysis, threat detection, incident response, MITRE ATT&amp;CK, Django, security automation</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1F3864"/>
        </w:rPr>
        <w:t xml:space="preserve">Table of Contents</w:t>
      </w:r>
    </w:p>
    <w:p>
      <w:pPr>
        <w:spacing w:after="150"/>
      </w:pPr>
      <w:r>
        <w:rPr>
          <w:b/>
          <w:bCs/>
          <w:color w:val="1F3864"/>
          <w:sz w:val="23"/>
          <w:szCs w:val="23"/>
        </w:rPr>
        <w:t xml:space="preserve">1.  Introduction</w:t>
      </w:r>
    </w:p>
    <w:p>
      <w:pPr>
        <w:spacing w:after="150"/>
      </w:pPr>
      <w:r>
        <w:rPr>
          <w:b/>
          <w:bCs/>
          <w:color w:val="1F3864"/>
          <w:sz w:val="23"/>
          <w:szCs w:val="23"/>
        </w:rPr>
        <w:t xml:space="preserve">2.  Review of Existing SIEM Solutions</w:t>
      </w:r>
    </w:p>
    <w:p>
      <w:pPr>
        <w:spacing w:after="150"/>
      </w:pPr>
      <w:r>
        <w:rPr>
          <w:b/>
          <w:bCs/>
          <w:color w:val="1F3864"/>
          <w:sz w:val="23"/>
          <w:szCs w:val="23"/>
        </w:rPr>
        <w:t xml:space="preserve">3.  Methodology</w:t>
      </w:r>
    </w:p>
    <w:p>
      <w:pPr>
        <w:spacing w:after="150"/>
      </w:pPr>
      <w:r>
        <w:rPr>
          <w:b/>
          <w:bCs/>
          <w:color w:val="1F3864"/>
          <w:sz w:val="23"/>
          <w:szCs w:val="23"/>
        </w:rPr>
        <w:t xml:space="preserve">4.  Requirements Analysis</w:t>
      </w:r>
    </w:p>
    <w:p>
      <w:pPr>
        <w:spacing w:after="150"/>
      </w:pPr>
      <w:r>
        <w:rPr>
          <w:b/>
          <w:bCs/>
          <w:color w:val="1F3864"/>
          <w:sz w:val="23"/>
          <w:szCs w:val="23"/>
        </w:rPr>
        <w:t xml:space="preserve">5.  System Analysis &amp; Design</w:t>
      </w:r>
    </w:p>
    <w:p>
      <w:pPr>
        <w:spacing w:after="150"/>
      </w:pPr>
      <w:r>
        <w:rPr>
          <w:b/>
          <w:bCs/>
          <w:color w:val="1F3864"/>
          <w:sz w:val="23"/>
          <w:szCs w:val="23"/>
        </w:rPr>
        <w:t xml:space="preserve">6.  Technology Stack &amp; Infrastructure</w:t>
      </w:r>
    </w:p>
    <w:p>
      <w:pPr>
        <w:spacing w:after="150"/>
      </w:pPr>
      <w:r>
        <w:rPr>
          <w:b/>
          <w:bCs/>
          <w:color w:val="1F3864"/>
          <w:sz w:val="23"/>
          <w:szCs w:val="23"/>
        </w:rPr>
        <w:t xml:space="preserve">7.  Implementation</w:t>
      </w:r>
    </w:p>
    <w:p>
      <w:pPr>
        <w:spacing w:after="150"/>
      </w:pPr>
      <w:r>
        <w:rPr>
          <w:b/>
          <w:bCs/>
          <w:color w:val="1F3864"/>
          <w:sz w:val="23"/>
          <w:szCs w:val="23"/>
        </w:rPr>
        <w:t xml:space="preserve">8.  Testing</w:t>
      </w:r>
    </w:p>
    <w:p>
      <w:pPr>
        <w:spacing w:after="150"/>
      </w:pPr>
      <w:r>
        <w:rPr>
          <w:b/>
          <w:bCs/>
          <w:color w:val="1F3864"/>
          <w:sz w:val="23"/>
          <w:szCs w:val="23"/>
        </w:rPr>
        <w:t xml:space="preserve">9.  Results &amp; Discussion</w:t>
      </w:r>
    </w:p>
    <w:p>
      <w:pPr>
        <w:spacing w:after="150"/>
      </w:pPr>
      <w:r>
        <w:rPr>
          <w:b/>
          <w:bCs/>
          <w:color w:val="1F3864"/>
          <w:sz w:val="23"/>
          <w:szCs w:val="23"/>
        </w:rPr>
        <w:t xml:space="preserve">10.  Conclusion &amp; Recommendations</w:t>
      </w:r>
    </w:p>
    <w:p>
      <w:pPr>
        <w:spacing w:after="150"/>
      </w:pPr>
      <w:r>
        <w:rPr>
          <w:b/>
          <w:bCs/>
          <w:color w:val="1F3864"/>
          <w:sz w:val="23"/>
          <w:szCs w:val="23"/>
        </w:rPr>
        <w:t xml:space="preserve">11.  References</w:t>
      </w:r>
    </w:p>
    <w:p>
      <w:pPr>
        <w:spacing w:after="150"/>
      </w:pPr>
      <w:r>
        <w:rPr>
          <w:b w:val="false"/>
          <w:bCs w:val="false"/>
          <w:color w:val="333333"/>
          <w:sz w:val="23"/>
          <w:szCs w:val="23"/>
        </w:rPr>
        <w:t xml:space="preserve">      Appendix A — API Quick Reference</w:t>
      </w:r>
    </w:p>
    <w:p>
      <w:pPr>
        <w:spacing w:after="150"/>
      </w:pPr>
      <w:r>
        <w:rPr>
          <w:b w:val="false"/>
          <w:bCs w:val="false"/>
          <w:color w:val="333333"/>
          <w:sz w:val="23"/>
          <w:szCs w:val="23"/>
        </w:rPr>
        <w:t xml:space="preserve">      Appendix B — URL Route Reference</w:t>
      </w:r>
    </w:p>
    <w:p>
      <w:pPr>
        <w:spacing w:after="150"/>
      </w:pPr>
      <w:r>
        <w:rPr>
          <w:b w:val="false"/>
          <w:bCs w:val="false"/>
          <w:color w:val="333333"/>
          <w:sz w:val="23"/>
          <w:szCs w:val="23"/>
        </w:rPr>
        <w:t xml:space="preserve">      Appendix C — Quick Start Guide</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1F3864"/>
        </w:rPr>
        <w:t xml:space="preserve">List of Figures</w:t>
      </w:r>
    </w:p>
    <w:p>
      <w:pPr>
        <w:spacing w:after="130"/>
      </w:pPr>
      <w:r>
        <w:rPr>
          <w:b/>
          <w:bCs/>
          <w:color w:val="1F3864"/>
          <w:sz w:val="21"/>
          <w:szCs w:val="21"/>
        </w:rPr>
        <w:t xml:space="preserve">Figure 3.1   </w:t>
      </w:r>
      <w:r>
        <w:rPr>
          <w:color w:val="333333"/>
          <w:sz w:val="21"/>
          <w:szCs w:val="21"/>
        </w:rPr>
        <w:t xml:space="preserve">Agile sprint plan across a 10-week development cycle</w:t>
      </w:r>
    </w:p>
    <w:p>
      <w:pPr>
        <w:spacing w:after="130"/>
      </w:pPr>
      <w:r>
        <w:rPr>
          <w:b/>
          <w:bCs/>
          <w:color w:val="1F3864"/>
          <w:sz w:val="21"/>
          <w:szCs w:val="21"/>
        </w:rPr>
        <w:t xml:space="preserve">Figure 5.1   </w:t>
      </w:r>
      <w:r>
        <w:rPr>
          <w:color w:val="333333"/>
          <w:sz w:val="21"/>
          <w:szCs w:val="21"/>
        </w:rPr>
        <w:t xml:space="preserve">REBADEN high-level system architecture (six-stage processing pipeline)</w:t>
      </w:r>
    </w:p>
    <w:p>
      <w:pPr>
        <w:spacing w:after="130"/>
      </w:pPr>
      <w:r>
        <w:rPr>
          <w:b/>
          <w:bCs/>
          <w:color w:val="1F3864"/>
          <w:sz w:val="21"/>
          <w:szCs w:val="21"/>
        </w:rPr>
        <w:t xml:space="preserve">Figure 5.2   </w:t>
      </w:r>
      <w:r>
        <w:rPr>
          <w:color w:val="333333"/>
          <w:sz w:val="21"/>
          <w:szCs w:val="21"/>
        </w:rPr>
        <w:t xml:space="preserve">Level-0 Data Flow Diagram (System Context Diagram)</w:t>
      </w:r>
    </w:p>
    <w:p>
      <w:pPr>
        <w:spacing w:after="130"/>
      </w:pPr>
      <w:r>
        <w:rPr>
          <w:b/>
          <w:bCs/>
          <w:color w:val="1F3864"/>
          <w:sz w:val="21"/>
          <w:szCs w:val="21"/>
        </w:rPr>
        <w:t xml:space="preserve">Figure 5.3   </w:t>
      </w:r>
      <w:r>
        <w:rPr>
          <w:color w:val="333333"/>
          <w:sz w:val="21"/>
          <w:szCs w:val="21"/>
        </w:rPr>
        <w:t xml:space="preserve">Level-1 Data Flow Diagram — major processes and data stores</w:t>
      </w:r>
    </w:p>
    <w:p>
      <w:pPr>
        <w:spacing w:after="130"/>
      </w:pPr>
      <w:r>
        <w:rPr>
          <w:b/>
          <w:bCs/>
          <w:color w:val="1F3864"/>
          <w:sz w:val="21"/>
          <w:szCs w:val="21"/>
        </w:rPr>
        <w:t xml:space="preserve">Figure 5.4   </w:t>
      </w:r>
      <w:r>
        <w:rPr>
          <w:color w:val="333333"/>
          <w:sz w:val="21"/>
          <w:szCs w:val="21"/>
        </w:rPr>
        <w:t xml:space="preserve">Log ingestion and threat-detection workflow</w:t>
      </w:r>
    </w:p>
    <w:p>
      <w:pPr>
        <w:spacing w:after="130"/>
      </w:pPr>
      <w:r>
        <w:rPr>
          <w:b/>
          <w:bCs/>
          <w:color w:val="1F3864"/>
          <w:sz w:val="21"/>
          <w:szCs w:val="21"/>
        </w:rPr>
        <w:t xml:space="preserve">Figure 5.5   </w:t>
      </w:r>
      <w:r>
        <w:rPr>
          <w:color w:val="333333"/>
          <w:sz w:val="21"/>
          <w:szCs w:val="21"/>
        </w:rPr>
        <w:t xml:space="preserve">Alert lifecycle state diagram</w:t>
      </w:r>
    </w:p>
    <w:p>
      <w:pPr>
        <w:spacing w:after="130"/>
      </w:pPr>
      <w:r>
        <w:rPr>
          <w:b/>
          <w:bCs/>
          <w:color w:val="1F3864"/>
          <w:sz w:val="21"/>
          <w:szCs w:val="21"/>
        </w:rPr>
        <w:t xml:space="preserve">Figure 5.6   </w:t>
      </w:r>
      <w:r>
        <w:rPr>
          <w:color w:val="333333"/>
          <w:sz w:val="21"/>
          <w:szCs w:val="21"/>
        </w:rPr>
        <w:t xml:space="preserve">Investigation and incident-response workflow</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1F3864"/>
        </w:rPr>
        <w:t xml:space="preserve">1. Introduction</w:t>
      </w:r>
    </w:p>
    <w:p>
      <w:pPr>
        <w:pStyle w:val="Heading2"/>
        <w:spacing w:after="140" w:before="300"/>
      </w:pPr>
      <w:r>
        <w:rPr>
          <w:b/>
          <w:bCs/>
          <w:color w:val="2E74B5"/>
        </w:rPr>
        <w:t xml:space="preserve">1.1 Background</w:t>
      </w:r>
    </w:p>
    <w:p>
      <w:pPr>
        <w:spacing w:after="160" w:line="300"/>
      </w:pPr>
      <w:r>
        <w:t xml:space="preserve">Every server, application, firewall, and endpoint in a modern IT environment continuously produces log data describing what it is doing and who is interacting with it. Individually, a single log line rarely means much. Collectively, and correlated across sources, these logs are the primary evidence base security teams rely on to detect intrusions, investigate incidents, and demonstrate regulatory compliance. A Security Information and Event Management (SIEM) system is the class of software built to perform this collection and correlation at scale.</w:t>
      </w:r>
    </w:p>
    <w:p>
      <w:pPr>
        <w:spacing w:after="160" w:line="300"/>
      </w:pPr>
      <w:r>
        <w:t xml:space="preserve">Established SIEM products — Splunk Enterprise Security, IBM QRadar, Micro Focus ArcSight — are mature and capable, but they were designed for enterprises with dedicated security operations budgets. Their licensing models (often priced per gigabyte of ingested data per day) and infrastructure requirements place them out of reach for small and medium enterprises (SMEs), startups, and academic security teams. Open-source alternatives such as Wazuh or the Elastic Stack reduce licensing cost but still require the operator to assemble and maintain a multi-component stack (agents, indexers, brokers, dashboards).</w:t>
      </w:r>
    </w:p>
    <w:p>
      <w:pPr>
        <w:spacing w:after="160" w:line="300"/>
      </w:pPr>
      <w:r>
        <w:t xml:space="preserve">Rebaden was conceived to occupy the gap between these two extremes: a single, self-hosted Django application that a lone engineer can deploy, understand, and extend, while still delivering the core analyst workflow — ingest, detect, alert, investigate, report — that defines a SIEM.</w:t>
      </w:r>
    </w:p>
    <w:p>
      <w:pPr>
        <w:pStyle w:val="Heading2"/>
        <w:spacing w:after="140" w:before="300"/>
      </w:pPr>
      <w:r>
        <w:rPr>
          <w:b/>
          <w:bCs/>
          <w:color w:val="2E74B5"/>
        </w:rPr>
        <w:t xml:space="preserve">1.2 Problem Statement</w:t>
      </w:r>
    </w:p>
    <w:p>
      <w:pPr>
        <w:spacing w:after="160" w:line="300"/>
      </w:pPr>
      <w:r>
        <w:t xml:space="preserve">In the absence of a centralised, affordable log-analysis platform, small security teams are exposed to four recurring risks:</w:t>
      </w:r>
    </w:p>
    <w:p>
      <w:pPr>
        <w:pStyle w:val="ListParagraph"/>
        <w:numPr>
          <w:ilvl w:val="0"/>
          <w:numId w:val="1"/>
        </w:numPr>
        <w:spacing w:after="80"/>
      </w:pPr>
      <w:r>
        <w:t xml:space="preserve">Alert fatigue — unfiltered log noise buries the events that actually matter, causing analysts to miss genuine threats.</w:t>
      </w:r>
    </w:p>
    <w:p>
      <w:pPr>
        <w:pStyle w:val="ListParagraph"/>
        <w:numPr>
          <w:ilvl w:val="0"/>
          <w:numId w:val="1"/>
        </w:numPr>
        <w:spacing w:after="80"/>
      </w:pPr>
      <w:r>
        <w:t xml:space="preserve">Delayed incident response — logs scattered across fragmented tools slow down the correlation work needed to confirm and scope an incident.</w:t>
      </w:r>
    </w:p>
    <w:p>
      <w:pPr>
        <w:pStyle w:val="ListParagraph"/>
        <w:numPr>
          <w:ilvl w:val="0"/>
          <w:numId w:val="1"/>
        </w:numPr>
        <w:spacing w:after="80"/>
      </w:pPr>
      <w:r>
        <w:t xml:space="preserve">Invisible attack patterns — many attacks (brute force, lateral movement, data exfiltration) are only visible when events from multiple sources are correlated over time; no single log line reveals them.</w:t>
      </w:r>
    </w:p>
    <w:p>
      <w:pPr>
        <w:pStyle w:val="ListParagraph"/>
        <w:numPr>
          <w:ilvl w:val="0"/>
          <w:numId w:val="1"/>
        </w:numPr>
        <w:spacing w:after="80"/>
      </w:pPr>
      <w:r>
        <w:t xml:space="preserve">Compliance gaps — frameworks such as PCI-DSS, HIPAA, and GDPR require demonstrable audit trails and incident-handling records that ad-hoc log storage cannot provide.</w:t>
      </w:r>
    </w:p>
    <w:p>
      <w:pPr>
        <w:spacing w:after="160" w:line="300"/>
      </w:pPr>
      <w:r>
        <w:t xml:space="preserve">Rebaden addresses this problem directly by providing an accessible, deployable, single-engineer-operable platform that still delivers the essential SIEM feature set.</w:t>
      </w:r>
    </w:p>
    <w:p>
      <w:pPr>
        <w:pStyle w:val="Heading2"/>
        <w:spacing w:after="140" w:before="300"/>
      </w:pPr>
      <w:r>
        <w:rPr>
          <w:b/>
          <w:bCs/>
          <w:color w:val="2E74B5"/>
        </w:rPr>
        <w:t xml:space="preserve">1.3 Project Objectives</w:t>
      </w:r>
    </w:p>
    <w:p>
      <w:pPr>
        <w:pStyle w:val="Heading3"/>
        <w:spacing w:after="100" w:before="220"/>
      </w:pPr>
      <w:r>
        <w:rPr>
          <w:b/>
          <w:bCs/>
          <w:color w:val="333333"/>
        </w:rPr>
        <w:t xml:space="preserve">1.3.1 General Objective</w:t>
      </w:r>
    </w:p>
    <w:p>
      <w:pPr>
        <w:spacing w:after="160" w:line="300"/>
      </w:pPr>
      <w:r>
        <w:t xml:space="preserve">To design and implement a web-based SIEM platform that consolidates log ingestion, threat detection, alert management, and incident investigation into a single, unified, and accessible system suitable for SME security operations.</w:t>
      </w:r>
    </w:p>
    <w:p>
      <w:pPr>
        <w:pStyle w:val="Heading3"/>
        <w:spacing w:after="100" w:before="220"/>
      </w:pPr>
      <w:r>
        <w:rPr>
          <w:b/>
          <w:bCs/>
          <w:color w:val="333333"/>
        </w:rPr>
        <w:t xml:space="preserve">1.3.2 Specific Objectives</w:t>
      </w:r>
    </w:p>
    <w:p>
      <w:pPr>
        <w:pStyle w:val="ListParagraph"/>
        <w:numPr>
          <w:ilvl w:val="0"/>
          <w:numId w:val="1"/>
        </w:numPr>
        <w:spacing w:after="80"/>
      </w:pPr>
      <w:r>
        <w:t xml:space="preserve">Develop a centralised log ingestion and parsing engine supporting common log formats (Apache Common/Combined, syslog, JSON).</w:t>
      </w:r>
    </w:p>
    <w:p>
      <w:pPr>
        <w:pStyle w:val="ListParagraph"/>
        <w:numPr>
          <w:ilvl w:val="0"/>
          <w:numId w:val="1"/>
        </w:numPr>
        <w:spacing w:after="80"/>
      </w:pPr>
      <w:r>
        <w:t xml:space="preserve">Implement an automated alert-generation engine that correlates raw events into actionable, severity-classified alerts.</w:t>
      </w:r>
    </w:p>
    <w:p>
      <w:pPr>
        <w:pStyle w:val="ListParagraph"/>
        <w:numPr>
          <w:ilvl w:val="0"/>
          <w:numId w:val="1"/>
        </w:numPr>
        <w:spacing w:after="80"/>
      </w:pPr>
      <w:r>
        <w:t xml:space="preserve">Build a case-management (investigation) module where analysts can track, annotate, and resolve incidents through to closure.</w:t>
      </w:r>
    </w:p>
    <w:p>
      <w:pPr>
        <w:pStyle w:val="ListParagraph"/>
        <w:numPr>
          <w:ilvl w:val="0"/>
          <w:numId w:val="1"/>
        </w:numPr>
        <w:spacing w:after="80"/>
      </w:pPr>
      <w:r>
        <w:t xml:space="preserve">Provide a real-time dashboard with key security metrics and trend visualisations.</w:t>
      </w:r>
    </w:p>
    <w:p>
      <w:pPr>
        <w:pStyle w:val="ListParagraph"/>
        <w:numPr>
          <w:ilvl w:val="0"/>
          <w:numId w:val="1"/>
        </w:numPr>
        <w:spacing w:after="80"/>
      </w:pPr>
      <w:r>
        <w:t xml:space="preserve">Integrate an AI-assisted investigation advisor that suggests prioritised remediation steps.</w:t>
      </w:r>
    </w:p>
    <w:p>
      <w:pPr>
        <w:pStyle w:val="ListParagraph"/>
        <w:numPr>
          <w:ilvl w:val="0"/>
          <w:numId w:val="1"/>
        </w:numPr>
        <w:spacing w:after="80"/>
      </w:pPr>
      <w:r>
        <w:t xml:space="preserve">Implement role-based access control (RBAC) distinguishing Analysts from Administrators.</w:t>
      </w:r>
    </w:p>
    <w:p>
      <w:pPr>
        <w:pStyle w:val="ListParagraph"/>
        <w:numPr>
          <w:ilvl w:val="0"/>
          <w:numId w:val="1"/>
        </w:numPr>
        <w:spacing w:after="80"/>
      </w:pPr>
      <w:r>
        <w:t xml:space="preserve">Deliver a professional, accessible user interface with dark and light theming.</w:t>
      </w:r>
    </w:p>
    <w:p>
      <w:pPr>
        <w:pStyle w:val="ListParagraph"/>
        <w:numPr>
          <w:ilvl w:val="0"/>
          <w:numId w:val="1"/>
        </w:numPr>
        <w:spacing w:after="80"/>
      </w:pPr>
      <w:r>
        <w:t xml:space="preserve">Map detected threats to the MITRE ATT&amp;CK framework to give analysts standardised threat context.</w:t>
      </w:r>
    </w:p>
    <w:p>
      <w:pPr>
        <w:pStyle w:val="ListParagraph"/>
        <w:numPr>
          <w:ilvl w:val="0"/>
          <w:numId w:val="1"/>
        </w:numPr>
        <w:spacing w:after="80"/>
      </w:pPr>
      <w:r>
        <w:t xml:space="preserve">Provide multi-format report generation (JSON, CSV, HTML) for security, compliance, and executive audiences.</w:t>
      </w:r>
    </w:p>
    <w:p>
      <w:pPr>
        <w:pStyle w:val="Heading2"/>
        <w:spacing w:after="140" w:before="300"/>
      </w:pPr>
      <w:r>
        <w:rPr>
          <w:b/>
          <w:bCs/>
          <w:color w:val="2E74B5"/>
        </w:rPr>
        <w:t xml:space="preserve">1.4 Scope of the Project</w:t>
      </w:r>
    </w:p>
    <w:p>
      <w:pPr>
        <w:pStyle w:val="Heading3"/>
        <w:spacing w:after="100" w:before="220"/>
      </w:pPr>
      <w:r>
        <w:rPr>
          <w:b/>
          <w:bCs/>
          <w:color w:val="333333"/>
        </w:rPr>
        <w:t xml:space="preserve">1.4.1 In Scope</w:t>
      </w:r>
    </w:p>
    <w:p>
      <w:pPr>
        <w:pStyle w:val="ListParagraph"/>
        <w:numPr>
          <w:ilvl w:val="0"/>
          <w:numId w:val="1"/>
        </w:numPr>
        <w:spacing w:after="80"/>
      </w:pPr>
      <w:r>
        <w:t xml:space="preserve">Log file upload and parsing (Apache Common/Combined, syslog, JSON formats)</w:t>
      </w:r>
    </w:p>
    <w:p>
      <w:pPr>
        <w:pStyle w:val="ListParagraph"/>
        <w:numPr>
          <w:ilvl w:val="0"/>
          <w:numId w:val="1"/>
        </w:numPr>
        <w:spacing w:after="80"/>
      </w:pPr>
      <w:r>
        <w:t xml:space="preserve">Automated event classification and severity assignment</w:t>
      </w:r>
    </w:p>
    <w:p>
      <w:pPr>
        <w:pStyle w:val="ListParagraph"/>
        <w:numPr>
          <w:ilvl w:val="0"/>
          <w:numId w:val="1"/>
        </w:numPr>
        <w:spacing w:after="80"/>
      </w:pPr>
      <w:r>
        <w:t xml:space="preserve">Alert lifecycle management (new → acknowledged/investigating → resolved/false positive → closed)</w:t>
      </w:r>
    </w:p>
    <w:p>
      <w:pPr>
        <w:pStyle w:val="ListParagraph"/>
        <w:numPr>
          <w:ilvl w:val="0"/>
          <w:numId w:val="1"/>
        </w:numPr>
        <w:spacing w:after="80"/>
      </w:pPr>
      <w:r>
        <w:t xml:space="preserve">Investigation/case creation with notes, timeline, and evidence tracking</w:t>
      </w:r>
    </w:p>
    <w:p>
      <w:pPr>
        <w:pStyle w:val="ListParagraph"/>
        <w:numPr>
          <w:ilvl w:val="0"/>
          <w:numId w:val="1"/>
        </w:numPr>
        <w:spacing w:after="80"/>
      </w:pPr>
      <w:r>
        <w:t xml:space="preserve">Dashboard with event counts, alert distribution, and trend charts</w:t>
      </w:r>
    </w:p>
    <w:p>
      <w:pPr>
        <w:pStyle w:val="ListParagraph"/>
        <w:numPr>
          <w:ilvl w:val="0"/>
          <w:numId w:val="1"/>
        </w:numPr>
        <w:spacing w:after="80"/>
      </w:pPr>
      <w:r>
        <w:t xml:space="preserve">Advanced search across all security entities (events, alerts, investigations, IOCs)</w:t>
      </w:r>
    </w:p>
    <w:p>
      <w:pPr>
        <w:pStyle w:val="ListParagraph"/>
        <w:numPr>
          <w:ilvl w:val="0"/>
          <w:numId w:val="1"/>
        </w:numPr>
        <w:spacing w:after="80"/>
      </w:pPr>
      <w:r>
        <w:t xml:space="preserve">User management and role-based access (Administrator / Analyst)</w:t>
      </w:r>
    </w:p>
    <w:p>
      <w:pPr>
        <w:pStyle w:val="ListParagraph"/>
        <w:numPr>
          <w:ilvl w:val="0"/>
          <w:numId w:val="1"/>
        </w:numPr>
        <w:spacing w:after="80"/>
      </w:pPr>
      <w:r>
        <w:t xml:space="preserve">Dark/light theme toggle and responsive UI</w:t>
      </w:r>
    </w:p>
    <w:p>
      <w:pPr>
        <w:pStyle w:val="ListParagraph"/>
        <w:numPr>
          <w:ilvl w:val="0"/>
          <w:numId w:val="1"/>
        </w:numPr>
        <w:spacing w:after="80"/>
      </w:pPr>
      <w:r>
        <w:t xml:space="preserve">MITRE ATT&amp;CK tactic and technique mapping</w:t>
      </w:r>
    </w:p>
    <w:p>
      <w:pPr>
        <w:pStyle w:val="ListParagraph"/>
        <w:numPr>
          <w:ilvl w:val="0"/>
          <w:numId w:val="1"/>
        </w:numPr>
        <w:spacing w:after="80"/>
      </w:pPr>
      <w:r>
        <w:t xml:space="preserve">Report generation in JSON, CSV, and HTML formats</w:t>
      </w:r>
    </w:p>
    <w:p>
      <w:pPr>
        <w:pStyle w:val="Heading3"/>
        <w:spacing w:after="100" w:before="220"/>
      </w:pPr>
      <w:r>
        <w:rPr>
          <w:b/>
          <w:bCs/>
          <w:color w:val="333333"/>
        </w:rPr>
        <w:t xml:space="preserve">1.4.2 Out of Scope</w:t>
      </w:r>
    </w:p>
    <w:p>
      <w:pPr>
        <w:pStyle w:val="ListParagraph"/>
        <w:numPr>
          <w:ilvl w:val="0"/>
          <w:numId w:val="1"/>
        </w:numPr>
        <w:spacing w:after="80"/>
      </w:pPr>
      <w:r>
        <w:t xml:space="preserve">Real-time, agent-based log streaming (identified as Phase 2 work)</w:t>
      </w:r>
    </w:p>
    <w:p>
      <w:pPr>
        <w:pStyle w:val="ListParagraph"/>
        <w:numPr>
          <w:ilvl w:val="0"/>
          <w:numId w:val="1"/>
        </w:numPr>
        <w:spacing w:after="80"/>
      </w:pPr>
      <w:r>
        <w:t xml:space="preserve">Full SOAR (Security Orchestration, Automation and Response) playbook execution</w:t>
      </w:r>
    </w:p>
    <w:p>
      <w:pPr>
        <w:pStyle w:val="ListParagraph"/>
        <w:numPr>
          <w:ilvl w:val="0"/>
          <w:numId w:val="1"/>
        </w:numPr>
        <w:spacing w:after="80"/>
      </w:pPr>
      <w:r>
        <w:t xml:space="preserve">Native mobile application</w:t>
      </w:r>
    </w:p>
    <w:p>
      <w:pPr>
        <w:pStyle w:val="ListParagraph"/>
        <w:numPr>
          <w:ilvl w:val="0"/>
          <w:numId w:val="1"/>
        </w:numPr>
        <w:spacing w:after="80"/>
      </w:pPr>
      <w:r>
        <w:t xml:space="preserve">Integration with commercial third-party threat-intelligence feeds (Phase 2)</w:t>
      </w:r>
    </w:p>
    <w:p>
      <w:pPr>
        <w:pStyle w:val="Heading2"/>
        <w:spacing w:after="140" w:before="300"/>
      </w:pPr>
      <w:r>
        <w:rPr>
          <w:b/>
          <w:bCs/>
          <w:color w:val="2E74B5"/>
        </w:rPr>
        <w:t xml:space="preserve">1.5 Significance of the Project</w:t>
      </w:r>
    </w:p>
    <w:p>
      <w:pPr>
        <w:spacing w:after="160" w:line="300"/>
      </w:pPr>
      <w:r>
        <w:t xml:space="preserve">Beyond its function as an academic deliverable, Rebaden demonstrates that a functionally complete SIEM workflow can be built and operated without the infrastructure overhead commercial and open-source enterprise tools normally demand. For SMEs, this lowers the barrier to establishing a baseline security-monitoring capability. For the author, the project provided end-to-end experience across requirements analysis, secure application architecture, data modelling, threat-detection logic, and applied AI integration — the full breadth of a security engineering discipline.</w:t>
      </w:r>
    </w:p>
    <w:p>
      <w:pPr>
        <w:pStyle w:val="Heading2"/>
        <w:spacing w:after="140" w:before="300"/>
      </w:pPr>
      <w:r>
        <w:rPr>
          <w:b/>
          <w:bCs/>
          <w:color w:val="2E74B5"/>
        </w:rPr>
        <w:t xml:space="preserve">1.6 Report Structure</w:t>
      </w:r>
    </w:p>
    <w:p>
      <w:pPr>
        <w:spacing w:after="160" w:line="300"/>
      </w:pPr>
      <w:r>
        <w:t xml:space="preserve">The remainder of this report is organised as follows. Chapter 2 reviews existing SIEM solutions and positions Rebaden relative to them. Chapter 3 describes the Agile methodology used during development. Chapter 4 sets out the functional and non-functional requirements. Chapter 5 presents the system architecture, data-flow diagrams, data model, and workflow diagrams. Chapter 6 details the technology stack. Chapter 7 walks through the implementation module by module. Chapter 8 reports the testing approach and results. Chapter 9 discusses results against the stated objectives. Chapter 10 concludes the report and outlines recommended future work, followed by references and appendices.</w:t>
      </w:r>
    </w:p>
    <w:p>
      <w:r>
        <w:br w:type="page"/>
      </w:r>
    </w:p>
    <w:p>
      <w:pPr>
        <w:pStyle w:val="Heading1"/>
        <w:spacing w:after="200" w:before="420"/>
      </w:pPr>
      <w:r>
        <w:rPr>
          <w:b/>
          <w:bCs/>
          <w:color w:val="1F3864"/>
        </w:rPr>
        <w:t xml:space="preserve">2. Review of Existing SIEM Solutions</w:t>
      </w:r>
    </w:p>
    <w:p>
      <w:pPr>
        <w:pStyle w:val="Heading2"/>
        <w:spacing w:after="140" w:before="300"/>
      </w:pPr>
      <w:r>
        <w:rPr>
          <w:b/>
          <w:bCs/>
          <w:color w:val="2E74B5"/>
        </w:rPr>
        <w:t xml:space="preserve">2.1 Overview of SIEM Technology</w:t>
      </w:r>
    </w:p>
    <w:p>
      <w:pPr>
        <w:spacing w:after="160" w:line="300"/>
      </w:pPr>
      <w:r>
        <w:t xml:space="preserve">A SIEM platform typically performs four functions: (1) collecting log and event data from many heterogeneous sources; (2) normalising that data into a common schema; (3) correlating normalised events against detection rules or behavioural baselines to surface alerts; and (4) supporting the human workflow of triage, investigation, and reporting that follows an alert. The maturity of a SIEM product is usually judged by the breadth of sources it can ingest, the sophistication of its correlation/detection logic, and the quality of its investigation and reporting tooling.</w:t>
      </w:r>
    </w:p>
    <w:p>
      <w:pPr>
        <w:pStyle w:val="Heading2"/>
        <w:spacing w:after="140" w:before="300"/>
      </w:pPr>
      <w:r>
        <w:rPr>
          <w:b/>
          <w:bCs/>
          <w:color w:val="2E74B5"/>
        </w:rPr>
        <w:t xml:space="preserve">2.2 Comparative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1750"/>
        <w:gridCol w:w="2050"/>
        <w:gridCol w:w="2450"/>
      </w:tblGrid>
      <w:tr>
        <w:trPr>
          <w:tblHeader/>
        </w:trPr>
        <w:tc>
          <w:tcPr>
            <w:tcW w:type="dxa" w:w="2000"/>
            <w:shd w:fill="1F3864" w:val="clear"/>
            <w:tcMar>
              <w:top w:type="dxa" w:w="80"/>
              <w:left w:type="dxa" w:w="100"/>
              <w:bottom w:type="dxa" w:w="80"/>
              <w:right w:type="dxa" w:w="100"/>
            </w:tcMar>
            <w:vAlign w:val="center"/>
          </w:tcPr>
          <w:p>
            <w:r>
              <w:rPr>
                <w:b/>
                <w:bCs/>
                <w:color w:val="FFFFFF"/>
                <w:sz w:val="16"/>
                <w:szCs w:val="16"/>
              </w:rPr>
              <w:t xml:space="preserve">Solution</w:t>
            </w:r>
          </w:p>
        </w:tc>
        <w:tc>
          <w:tcPr>
            <w:tcW w:type="dxa" w:w="1550"/>
            <w:shd w:fill="1F3864" w:val="clear"/>
            <w:tcMar>
              <w:top w:type="dxa" w:w="80"/>
              <w:left w:type="dxa" w:w="100"/>
              <w:bottom w:type="dxa" w:w="80"/>
              <w:right w:type="dxa" w:w="100"/>
            </w:tcMar>
            <w:vAlign w:val="center"/>
          </w:tcPr>
          <w:p>
            <w:r>
              <w:rPr>
                <w:b/>
                <w:bCs/>
                <w:color w:val="FFFFFF"/>
                <w:sz w:val="16"/>
                <w:szCs w:val="16"/>
              </w:rPr>
              <w:t xml:space="preserve">Deployment Model</w:t>
            </w:r>
          </w:p>
        </w:tc>
        <w:tc>
          <w:tcPr>
            <w:tcW w:type="dxa" w:w="1750"/>
            <w:shd w:fill="1F3864" w:val="clear"/>
            <w:tcMar>
              <w:top w:type="dxa" w:w="80"/>
              <w:left w:type="dxa" w:w="100"/>
              <w:bottom w:type="dxa" w:w="80"/>
              <w:right w:type="dxa" w:w="100"/>
            </w:tcMar>
            <w:vAlign w:val="center"/>
          </w:tcPr>
          <w:p>
            <w:r>
              <w:rPr>
                <w:b/>
                <w:bCs/>
                <w:color w:val="FFFFFF"/>
                <w:sz w:val="16"/>
                <w:szCs w:val="16"/>
              </w:rPr>
              <w:t xml:space="preserve">Cost Profile</w:t>
            </w:r>
          </w:p>
        </w:tc>
        <w:tc>
          <w:tcPr>
            <w:tcW w:type="dxa" w:w="2050"/>
            <w:shd w:fill="1F3864" w:val="clear"/>
            <w:tcMar>
              <w:top w:type="dxa" w:w="80"/>
              <w:left w:type="dxa" w:w="100"/>
              <w:bottom w:type="dxa" w:w="80"/>
              <w:right w:type="dxa" w:w="100"/>
            </w:tcMar>
            <w:vAlign w:val="center"/>
          </w:tcPr>
          <w:p>
            <w:r>
              <w:rPr>
                <w:b/>
                <w:bCs/>
                <w:color w:val="FFFFFF"/>
                <w:sz w:val="16"/>
                <w:szCs w:val="16"/>
              </w:rPr>
              <w:t xml:space="preserve">Best Suited For</w:t>
            </w:r>
          </w:p>
        </w:tc>
        <w:tc>
          <w:tcPr>
            <w:tcW w:type="dxa" w:w="2450"/>
            <w:shd w:fill="1F3864" w:val="clear"/>
            <w:tcMar>
              <w:top w:type="dxa" w:w="80"/>
              <w:left w:type="dxa" w:w="100"/>
              <w:bottom w:type="dxa" w:w="80"/>
              <w:right w:type="dxa" w:w="100"/>
            </w:tcMar>
            <w:vAlign w:val="center"/>
          </w:tcPr>
          <w:p>
            <w:r>
              <w:rPr>
                <w:b/>
                <w:bCs/>
                <w:color w:val="FFFFFF"/>
                <w:sz w:val="16"/>
                <w:szCs w:val="16"/>
              </w:rPr>
              <w:t xml:space="preserve">Key Limitation for SMEs</w:t>
            </w:r>
          </w:p>
        </w:tc>
      </w:tr>
      <w:tr>
        <w:tc>
          <w:tcPr>
            <w:tcW w:type="dxa" w:w="2000"/>
            <w:tcMar>
              <w:top w:type="dxa" w:w="70"/>
              <w:left w:type="dxa" w:w="100"/>
              <w:bottom w:type="dxa" w:w="70"/>
              <w:right w:type="dxa" w:w="100"/>
            </w:tcMar>
            <w:vAlign w:val="center"/>
          </w:tcPr>
          <w:p>
            <w:r>
              <w:rPr>
                <w:sz w:val="16"/>
                <w:szCs w:val="16"/>
              </w:rPr>
              <w:t xml:space="preserve">Splunk Enterprise Security</w:t>
            </w:r>
          </w:p>
        </w:tc>
        <w:tc>
          <w:tcPr>
            <w:tcW w:type="dxa" w:w="1550"/>
            <w:tcMar>
              <w:top w:type="dxa" w:w="70"/>
              <w:left w:type="dxa" w:w="100"/>
              <w:bottom w:type="dxa" w:w="70"/>
              <w:right w:type="dxa" w:w="100"/>
            </w:tcMar>
            <w:vAlign w:val="center"/>
          </w:tcPr>
          <w:p>
            <w:r>
              <w:rPr>
                <w:sz w:val="16"/>
                <w:szCs w:val="16"/>
              </w:rPr>
              <w:t xml:space="preserve">Self-hosted / cloud</w:t>
            </w:r>
          </w:p>
        </w:tc>
        <w:tc>
          <w:tcPr>
            <w:tcW w:type="dxa" w:w="1750"/>
            <w:tcMar>
              <w:top w:type="dxa" w:w="70"/>
              <w:left w:type="dxa" w:w="100"/>
              <w:bottom w:type="dxa" w:w="70"/>
              <w:right w:type="dxa" w:w="100"/>
            </w:tcMar>
            <w:vAlign w:val="center"/>
          </w:tcPr>
          <w:p>
            <w:r>
              <w:rPr>
                <w:sz w:val="16"/>
                <w:szCs w:val="16"/>
              </w:rPr>
              <w:t xml:space="preserve">Per-GB/day licensing — high</w:t>
            </w:r>
          </w:p>
        </w:tc>
        <w:tc>
          <w:tcPr>
            <w:tcW w:type="dxa" w:w="2050"/>
            <w:tcMar>
              <w:top w:type="dxa" w:w="70"/>
              <w:left w:type="dxa" w:w="100"/>
              <w:bottom w:type="dxa" w:w="70"/>
              <w:right w:type="dxa" w:w="100"/>
            </w:tcMar>
            <w:vAlign w:val="center"/>
          </w:tcPr>
          <w:p>
            <w:r>
              <w:rPr>
                <w:sz w:val="16"/>
                <w:szCs w:val="16"/>
              </w:rPr>
              <w:t xml:space="preserve">Large enterprises with dedicated SOC</w:t>
            </w:r>
          </w:p>
        </w:tc>
        <w:tc>
          <w:tcPr>
            <w:tcW w:type="dxa" w:w="2450"/>
            <w:tcMar>
              <w:top w:type="dxa" w:w="70"/>
              <w:left w:type="dxa" w:w="100"/>
              <w:bottom w:type="dxa" w:w="70"/>
              <w:right w:type="dxa" w:w="100"/>
            </w:tcMar>
            <w:vAlign w:val="center"/>
          </w:tcPr>
          <w:p>
            <w:r>
              <w:rPr>
                <w:sz w:val="16"/>
                <w:szCs w:val="16"/>
              </w:rPr>
              <w:t xml:space="preserve">Licensing cost scales with data volume; steep learning curve</w:t>
            </w:r>
          </w:p>
        </w:tc>
      </w:tr>
      <w:tr>
        <w:tc>
          <w:tcPr>
            <w:tcW w:type="dxa" w:w="2000"/>
            <w:tcMar>
              <w:top w:type="dxa" w:w="70"/>
              <w:left w:type="dxa" w:w="100"/>
              <w:bottom w:type="dxa" w:w="70"/>
              <w:right w:type="dxa" w:w="100"/>
            </w:tcMar>
            <w:vAlign w:val="center"/>
          </w:tcPr>
          <w:p>
            <w:r>
              <w:rPr>
                <w:sz w:val="16"/>
                <w:szCs w:val="16"/>
              </w:rPr>
              <w:t xml:space="preserve">IBM QRadar</w:t>
            </w:r>
          </w:p>
        </w:tc>
        <w:tc>
          <w:tcPr>
            <w:tcW w:type="dxa" w:w="1550"/>
            <w:tcMar>
              <w:top w:type="dxa" w:w="70"/>
              <w:left w:type="dxa" w:w="100"/>
              <w:bottom w:type="dxa" w:w="70"/>
              <w:right w:type="dxa" w:w="100"/>
            </w:tcMar>
            <w:vAlign w:val="center"/>
          </w:tcPr>
          <w:p>
            <w:r>
              <w:rPr>
                <w:sz w:val="16"/>
                <w:szCs w:val="16"/>
              </w:rPr>
              <w:t xml:space="preserve">Appliance / cloud</w:t>
            </w:r>
          </w:p>
        </w:tc>
        <w:tc>
          <w:tcPr>
            <w:tcW w:type="dxa" w:w="1750"/>
            <w:tcMar>
              <w:top w:type="dxa" w:w="70"/>
              <w:left w:type="dxa" w:w="100"/>
              <w:bottom w:type="dxa" w:w="70"/>
              <w:right w:type="dxa" w:w="100"/>
            </w:tcMar>
            <w:vAlign w:val="center"/>
          </w:tcPr>
          <w:p>
            <w:r>
              <w:rPr>
                <w:sz w:val="16"/>
                <w:szCs w:val="16"/>
              </w:rPr>
              <w:t xml:space="preserve">High upfront + subscription</w:t>
            </w:r>
          </w:p>
        </w:tc>
        <w:tc>
          <w:tcPr>
            <w:tcW w:type="dxa" w:w="2050"/>
            <w:tcMar>
              <w:top w:type="dxa" w:w="70"/>
              <w:left w:type="dxa" w:w="100"/>
              <w:bottom w:type="dxa" w:w="70"/>
              <w:right w:type="dxa" w:w="100"/>
            </w:tcMar>
            <w:vAlign w:val="center"/>
          </w:tcPr>
          <w:p>
            <w:r>
              <w:rPr>
                <w:sz w:val="16"/>
                <w:szCs w:val="16"/>
              </w:rPr>
              <w:t xml:space="preserve">Regulated large enterprises</w:t>
            </w:r>
          </w:p>
        </w:tc>
        <w:tc>
          <w:tcPr>
            <w:tcW w:type="dxa" w:w="2450"/>
            <w:tcMar>
              <w:top w:type="dxa" w:w="70"/>
              <w:left w:type="dxa" w:w="100"/>
              <w:bottom w:type="dxa" w:w="70"/>
              <w:right w:type="dxa" w:w="100"/>
            </w:tcMar>
            <w:vAlign w:val="center"/>
          </w:tcPr>
          <w:p>
            <w:r>
              <w:rPr>
                <w:sz w:val="16"/>
                <w:szCs w:val="16"/>
              </w:rPr>
              <w:t xml:space="preserve">Significant infrastructure and integration overhead</w:t>
            </w:r>
          </w:p>
        </w:tc>
      </w:tr>
      <w:tr>
        <w:tc>
          <w:tcPr>
            <w:tcW w:type="dxa" w:w="2000"/>
            <w:tcMar>
              <w:top w:type="dxa" w:w="70"/>
              <w:left w:type="dxa" w:w="100"/>
              <w:bottom w:type="dxa" w:w="70"/>
              <w:right w:type="dxa" w:w="100"/>
            </w:tcMar>
            <w:vAlign w:val="center"/>
          </w:tcPr>
          <w:p>
            <w:r>
              <w:rPr>
                <w:sz w:val="16"/>
                <w:szCs w:val="16"/>
              </w:rPr>
              <w:t xml:space="preserve">ArcSight (Micro Focus)</w:t>
            </w:r>
          </w:p>
        </w:tc>
        <w:tc>
          <w:tcPr>
            <w:tcW w:type="dxa" w:w="1550"/>
            <w:tcMar>
              <w:top w:type="dxa" w:w="70"/>
              <w:left w:type="dxa" w:w="100"/>
              <w:bottom w:type="dxa" w:w="70"/>
              <w:right w:type="dxa" w:w="100"/>
            </w:tcMar>
            <w:vAlign w:val="center"/>
          </w:tcPr>
          <w:p>
            <w:r>
              <w:rPr>
                <w:sz w:val="16"/>
                <w:szCs w:val="16"/>
              </w:rPr>
              <w:t xml:space="preserve">Self-hosted</w:t>
            </w:r>
          </w:p>
        </w:tc>
        <w:tc>
          <w:tcPr>
            <w:tcW w:type="dxa" w:w="1750"/>
            <w:tcMar>
              <w:top w:type="dxa" w:w="70"/>
              <w:left w:type="dxa" w:w="100"/>
              <w:bottom w:type="dxa" w:w="70"/>
              <w:right w:type="dxa" w:w="100"/>
            </w:tcMar>
            <w:vAlign w:val="center"/>
          </w:tcPr>
          <w:p>
            <w:r>
              <w:rPr>
                <w:sz w:val="16"/>
                <w:szCs w:val="16"/>
              </w:rPr>
              <w:t xml:space="preserve">High enterprise licensing</w:t>
            </w:r>
          </w:p>
        </w:tc>
        <w:tc>
          <w:tcPr>
            <w:tcW w:type="dxa" w:w="2050"/>
            <w:tcMar>
              <w:top w:type="dxa" w:w="70"/>
              <w:left w:type="dxa" w:w="100"/>
              <w:bottom w:type="dxa" w:w="70"/>
              <w:right w:type="dxa" w:w="100"/>
            </w:tcMar>
            <w:vAlign w:val="center"/>
          </w:tcPr>
          <w:p>
            <w:r>
              <w:rPr>
                <w:sz w:val="16"/>
                <w:szCs w:val="16"/>
              </w:rPr>
              <w:t xml:space="preserve">Large, complex SOC environments</w:t>
            </w:r>
          </w:p>
        </w:tc>
        <w:tc>
          <w:tcPr>
            <w:tcW w:type="dxa" w:w="2450"/>
            <w:tcMar>
              <w:top w:type="dxa" w:w="70"/>
              <w:left w:type="dxa" w:w="100"/>
              <w:bottom w:type="dxa" w:w="70"/>
              <w:right w:type="dxa" w:w="100"/>
            </w:tcMar>
            <w:vAlign w:val="center"/>
          </w:tcPr>
          <w:p>
            <w:r>
              <w:rPr>
                <w:sz w:val="16"/>
                <w:szCs w:val="16"/>
              </w:rPr>
              <w:t xml:space="preserve">Complex deployment; requires specialist administrators</w:t>
            </w:r>
          </w:p>
        </w:tc>
      </w:tr>
      <w:tr>
        <w:tc>
          <w:tcPr>
            <w:tcW w:type="dxa" w:w="2000"/>
            <w:tcMar>
              <w:top w:type="dxa" w:w="70"/>
              <w:left w:type="dxa" w:w="100"/>
              <w:bottom w:type="dxa" w:w="70"/>
              <w:right w:type="dxa" w:w="100"/>
            </w:tcMar>
            <w:vAlign w:val="center"/>
          </w:tcPr>
          <w:p>
            <w:r>
              <w:rPr>
                <w:sz w:val="16"/>
                <w:szCs w:val="16"/>
              </w:rPr>
              <w:t xml:space="preserve">Elastic Security (ELK)</w:t>
            </w:r>
          </w:p>
        </w:tc>
        <w:tc>
          <w:tcPr>
            <w:tcW w:type="dxa" w:w="1550"/>
            <w:tcMar>
              <w:top w:type="dxa" w:w="70"/>
              <w:left w:type="dxa" w:w="100"/>
              <w:bottom w:type="dxa" w:w="70"/>
              <w:right w:type="dxa" w:w="100"/>
            </w:tcMar>
            <w:vAlign w:val="center"/>
          </w:tcPr>
          <w:p>
            <w:r>
              <w:rPr>
                <w:sz w:val="16"/>
                <w:szCs w:val="16"/>
              </w:rPr>
              <w:t xml:space="preserve">Self-hosted / cloud</w:t>
            </w:r>
          </w:p>
        </w:tc>
        <w:tc>
          <w:tcPr>
            <w:tcW w:type="dxa" w:w="1750"/>
            <w:tcMar>
              <w:top w:type="dxa" w:w="70"/>
              <w:left w:type="dxa" w:w="100"/>
              <w:bottom w:type="dxa" w:w="70"/>
              <w:right w:type="dxa" w:w="100"/>
            </w:tcMar>
            <w:vAlign w:val="center"/>
          </w:tcPr>
          <w:p>
            <w:r>
              <w:rPr>
                <w:sz w:val="16"/>
                <w:szCs w:val="16"/>
              </w:rPr>
              <w:t xml:space="preserve">Open core, paid tiers for advanced features</w:t>
            </w:r>
          </w:p>
        </w:tc>
        <w:tc>
          <w:tcPr>
            <w:tcW w:type="dxa" w:w="2050"/>
            <w:tcMar>
              <w:top w:type="dxa" w:w="70"/>
              <w:left w:type="dxa" w:w="100"/>
              <w:bottom w:type="dxa" w:w="70"/>
              <w:right w:type="dxa" w:w="100"/>
            </w:tcMar>
            <w:vAlign w:val="center"/>
          </w:tcPr>
          <w:p>
            <w:r>
              <w:rPr>
                <w:sz w:val="16"/>
                <w:szCs w:val="16"/>
              </w:rPr>
              <w:t xml:space="preserve">Teams comfortable operating the Elastic Stack</w:t>
            </w:r>
          </w:p>
        </w:tc>
        <w:tc>
          <w:tcPr>
            <w:tcW w:type="dxa" w:w="2450"/>
            <w:tcMar>
              <w:top w:type="dxa" w:w="70"/>
              <w:left w:type="dxa" w:w="100"/>
              <w:bottom w:type="dxa" w:w="70"/>
              <w:right w:type="dxa" w:w="100"/>
            </w:tcMar>
            <w:vAlign w:val="center"/>
          </w:tcPr>
          <w:p>
            <w:r>
              <w:rPr>
                <w:sz w:val="16"/>
                <w:szCs w:val="16"/>
              </w:rPr>
              <w:t xml:space="preserve">Multi-component stack (Beats/Logstash/Elasticsearch/Kibana) is heavy to operate for a single engineer</w:t>
            </w:r>
          </w:p>
        </w:tc>
      </w:tr>
      <w:tr>
        <w:tc>
          <w:tcPr>
            <w:tcW w:type="dxa" w:w="2000"/>
            <w:tcMar>
              <w:top w:type="dxa" w:w="70"/>
              <w:left w:type="dxa" w:w="100"/>
              <w:bottom w:type="dxa" w:w="70"/>
              <w:right w:type="dxa" w:w="100"/>
            </w:tcMar>
            <w:vAlign w:val="center"/>
          </w:tcPr>
          <w:p>
            <w:r>
              <w:rPr>
                <w:sz w:val="16"/>
                <w:szCs w:val="16"/>
              </w:rPr>
              <w:t xml:space="preserve">Wazuh</w:t>
            </w:r>
          </w:p>
        </w:tc>
        <w:tc>
          <w:tcPr>
            <w:tcW w:type="dxa" w:w="1550"/>
            <w:tcMar>
              <w:top w:type="dxa" w:w="70"/>
              <w:left w:type="dxa" w:w="100"/>
              <w:bottom w:type="dxa" w:w="70"/>
              <w:right w:type="dxa" w:w="100"/>
            </w:tcMar>
            <w:vAlign w:val="center"/>
          </w:tcPr>
          <w:p>
            <w:r>
              <w:rPr>
                <w:sz w:val="16"/>
                <w:szCs w:val="16"/>
              </w:rPr>
              <w:t xml:space="preserve">Self-hosted</w:t>
            </w:r>
          </w:p>
        </w:tc>
        <w:tc>
          <w:tcPr>
            <w:tcW w:type="dxa" w:w="1750"/>
            <w:tcMar>
              <w:top w:type="dxa" w:w="70"/>
              <w:left w:type="dxa" w:w="100"/>
              <w:bottom w:type="dxa" w:w="70"/>
              <w:right w:type="dxa" w:w="100"/>
            </w:tcMar>
            <w:vAlign w:val="center"/>
          </w:tcPr>
          <w:p>
            <w:r>
              <w:rPr>
                <w:sz w:val="16"/>
                <w:szCs w:val="16"/>
              </w:rPr>
              <w:t xml:space="preserve">Free / open source</w:t>
            </w:r>
          </w:p>
        </w:tc>
        <w:tc>
          <w:tcPr>
            <w:tcW w:type="dxa" w:w="2050"/>
            <w:tcMar>
              <w:top w:type="dxa" w:w="70"/>
              <w:left w:type="dxa" w:w="100"/>
              <w:bottom w:type="dxa" w:w="70"/>
              <w:right w:type="dxa" w:w="100"/>
            </w:tcMar>
            <w:vAlign w:val="center"/>
          </w:tcPr>
          <w:p>
            <w:r>
              <w:rPr>
                <w:sz w:val="16"/>
                <w:szCs w:val="16"/>
              </w:rPr>
              <w:t xml:space="preserve">Cost-sensitive teams willing to self-manage</w:t>
            </w:r>
          </w:p>
        </w:tc>
        <w:tc>
          <w:tcPr>
            <w:tcW w:type="dxa" w:w="2450"/>
            <w:tcMar>
              <w:top w:type="dxa" w:w="70"/>
              <w:left w:type="dxa" w:w="100"/>
              <w:bottom w:type="dxa" w:w="70"/>
              <w:right w:type="dxa" w:w="100"/>
            </w:tcMar>
            <w:vAlign w:val="center"/>
          </w:tcPr>
          <w:p>
            <w:r>
              <w:rPr>
                <w:sz w:val="16"/>
                <w:szCs w:val="16"/>
              </w:rPr>
              <w:t xml:space="preserve">Still depends on the Elastic Stack underneath; agent-based architecture adds operational overhead</w:t>
            </w:r>
          </w:p>
        </w:tc>
      </w:tr>
      <w:tr>
        <w:tc>
          <w:tcPr>
            <w:tcW w:type="dxa" w:w="2000"/>
            <w:tcMar>
              <w:top w:type="dxa" w:w="70"/>
              <w:left w:type="dxa" w:w="100"/>
              <w:bottom w:type="dxa" w:w="70"/>
              <w:right w:type="dxa" w:w="100"/>
            </w:tcMar>
            <w:vAlign w:val="center"/>
          </w:tcPr>
          <w:p>
            <w:r>
              <w:rPr>
                <w:sz w:val="16"/>
                <w:szCs w:val="16"/>
              </w:rPr>
              <w:t xml:space="preserve">Rebaden (this project)</w:t>
            </w:r>
          </w:p>
        </w:tc>
        <w:tc>
          <w:tcPr>
            <w:tcW w:type="dxa" w:w="1550"/>
            <w:tcMar>
              <w:top w:type="dxa" w:w="70"/>
              <w:left w:type="dxa" w:w="100"/>
              <w:bottom w:type="dxa" w:w="70"/>
              <w:right w:type="dxa" w:w="100"/>
            </w:tcMar>
            <w:vAlign w:val="center"/>
          </w:tcPr>
          <w:p>
            <w:r>
              <w:rPr>
                <w:sz w:val="16"/>
                <w:szCs w:val="16"/>
              </w:rPr>
              <w:t xml:space="preserve">Self-hosted, single Django app</w:t>
            </w:r>
          </w:p>
        </w:tc>
        <w:tc>
          <w:tcPr>
            <w:tcW w:type="dxa" w:w="1750"/>
            <w:tcMar>
              <w:top w:type="dxa" w:w="70"/>
              <w:left w:type="dxa" w:w="100"/>
              <w:bottom w:type="dxa" w:w="70"/>
              <w:right w:type="dxa" w:w="100"/>
            </w:tcMar>
            <w:vAlign w:val="center"/>
          </w:tcPr>
          <w:p>
            <w:r>
              <w:rPr>
                <w:sz w:val="16"/>
                <w:szCs w:val="16"/>
              </w:rPr>
              <w:t xml:space="preserve">Free / open source</w:t>
            </w:r>
          </w:p>
        </w:tc>
        <w:tc>
          <w:tcPr>
            <w:tcW w:type="dxa" w:w="2050"/>
            <w:tcMar>
              <w:top w:type="dxa" w:w="70"/>
              <w:left w:type="dxa" w:w="100"/>
              <w:bottom w:type="dxa" w:w="70"/>
              <w:right w:type="dxa" w:w="100"/>
            </w:tcMar>
            <w:vAlign w:val="center"/>
          </w:tcPr>
          <w:p>
            <w:r>
              <w:rPr>
                <w:sz w:val="16"/>
                <w:szCs w:val="16"/>
              </w:rPr>
              <w:t xml:space="preserve">SMEs, small teams, single-engineer operations</w:t>
            </w:r>
          </w:p>
        </w:tc>
        <w:tc>
          <w:tcPr>
            <w:tcW w:type="dxa" w:w="2450"/>
            <w:tcMar>
              <w:top w:type="dxa" w:w="70"/>
              <w:left w:type="dxa" w:w="100"/>
              <w:bottom w:type="dxa" w:w="70"/>
              <w:right w:type="dxa" w:w="100"/>
            </w:tcMar>
            <w:vAlign w:val="center"/>
          </w:tcPr>
          <w:p>
            <w:r>
              <w:rPr>
                <w:sz w:val="16"/>
                <w:szCs w:val="16"/>
              </w:rPr>
              <w:t xml:space="preserve">Not yet designed for multi-terabyte, real-time enterprise ingestion (see §8.2 limitations)</w:t>
            </w:r>
          </w:p>
        </w:tc>
      </w:tr>
    </w:tbl>
    <w:p>
      <w:pPr>
        <w:pStyle w:val="Heading2"/>
        <w:spacing w:after="140" w:before="300"/>
      </w:pPr>
      <w:r>
        <w:rPr>
          <w:b/>
          <w:bCs/>
          <w:color w:val="2E74B5"/>
        </w:rPr>
        <w:t xml:space="preserve">2.3 Identified Gap and Justification for Rebaden</w:t>
      </w:r>
    </w:p>
    <w:p>
      <w:pPr>
        <w:spacing w:after="160" w:line="300"/>
      </w:pPr>
      <w:r>
        <w:t xml:space="preserve">The comparative review reveals a consistent pattern: capability and operational simplicity trade off against each other. Commercial tools offer polish and scale at a cost SMEs cannot absorb; open-source stacks offer zero licensing cost but demand multi-component operational expertise. Rebaden's design goal was to sit at the point on this curve that a single engineer can both build and operate — a single Django application, a single database, and a self-contained feature set covering the essential SIEM workflow, deliberately avoiding the operational surface area of a distributed log-analytics stack.</w:t>
      </w:r>
    </w:p>
    <w:p>
      <w:pPr>
        <w:spacing w:after="160" w:line="300"/>
      </w:pPr>
      <w:r>
        <w:t xml:space="preserve">This positioning directly informed the technology choices discussed in Chapter 6: Django was selected specifically because its integrated ORM, authentication, and admin interface remove the need for separate identity, database-administration, and API-scaffolding tools that a from-scratch stack would require.</w:t>
      </w:r>
    </w:p>
    <w:p>
      <w:r>
        <w:br w:type="page"/>
      </w:r>
    </w:p>
    <w:p>
      <w:pPr>
        <w:pStyle w:val="Heading1"/>
        <w:spacing w:after="200" w:before="420"/>
      </w:pPr>
      <w:r>
        <w:rPr>
          <w:b/>
          <w:bCs/>
          <w:color w:val="1F3864"/>
        </w:rPr>
        <w:t xml:space="preserve">3. Methodology</w:t>
      </w:r>
    </w:p>
    <w:p>
      <w:pPr>
        <w:pStyle w:val="Heading2"/>
        <w:spacing w:after="140" w:before="300"/>
      </w:pPr>
      <w:r>
        <w:rPr>
          <w:b/>
          <w:bCs/>
          <w:color w:val="2E74B5"/>
        </w:rPr>
        <w:t xml:space="preserve">3.1 Development Methodology</w:t>
      </w:r>
    </w:p>
    <w:p>
      <w:pPr>
        <w:spacing w:after="160" w:line="300"/>
      </w:pPr>
      <w:r>
        <w:t xml:space="preserve">Rebaden was developed using an Agile iterative model structured into four focused sprints over a ten-week period. Agile was chosen over a waterfall approach for three reasons specific to this project: security requirements are discovered progressively — what should count as an "alert" only becomes clear once real log data is being parsed; iterative delivery allowed early feedback on interface and workflow decisions before they were locked in; and features could be shipped and validated incrementally rather than risking a single, monolithic release at the end of the project timeline.</w:t>
      </w:r>
    </w:p>
    <w:p>
      <w:pPr>
        <w:pStyle w:val="Heading2"/>
        <w:spacing w:after="140" w:before="300"/>
      </w:pPr>
      <w:r>
        <w:rPr>
          <w:b/>
          <w:bCs/>
          <w:color w:val="2E74B5"/>
        </w:rPr>
        <w:t xml:space="preserve">3.2 Sprint Plan</w:t>
      </w:r>
    </w:p>
    <w:p>
      <w:pPr>
        <w:spacing w:after="120" w:before="150"/>
        <w:jc w:val="center"/>
      </w:pPr>
      <w:r>
        <w:drawing>
          <wp:inline distT="0" distB="0" distL="0" distR="0">
            <wp:extent cx="5715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57700"/>
                    </a:xfrm>
                    <a:prstGeom prst="rect">
                      <a:avLst/>
                    </a:prstGeom>
                  </pic:spPr>
                </pic:pic>
              </a:graphicData>
            </a:graphic>
          </wp:inline>
        </w:drawing>
      </w:r>
    </w:p>
    <w:p>
      <w:pPr>
        <w:spacing w:after="280"/>
        <w:jc w:val="center"/>
      </w:pPr>
      <w:r>
        <w:rPr>
          <w:i/>
          <w:iCs/>
          <w:color w:val="595959"/>
          <w:sz w:val="18"/>
          <w:szCs w:val="18"/>
        </w:rPr>
        <w:t xml:space="preserve">Figure 3.1: Agile sprint plan across a 10-week development cycle</w:t>
      </w:r>
    </w:p>
    <w:p>
      <w:pPr>
        <w:pStyle w:val="Heading3"/>
        <w:spacing w:after="100" w:before="220"/>
      </w:pPr>
      <w:r>
        <w:rPr>
          <w:b/>
          <w:bCs/>
          <w:color w:val="333333"/>
        </w:rPr>
        <w:t xml:space="preserve">Sprint 1 — Foundation (Weeks 1–2)</w:t>
      </w:r>
    </w:p>
    <w:p>
      <w:pPr>
        <w:spacing w:after="160" w:line="300"/>
      </w:pPr>
      <w:r>
        <w:t xml:space="preserve">Goal: establish the project infrastructure.</w:t>
      </w:r>
    </w:p>
    <w:p>
      <w:pPr>
        <w:pStyle w:val="ListParagraph"/>
        <w:numPr>
          <w:ilvl w:val="0"/>
          <w:numId w:val="1"/>
        </w:numPr>
        <w:spacing w:after="80"/>
      </w:pPr>
      <w:r>
        <w:t xml:space="preserve">Initiated the Django project with a modular app structure (apps/core/)</w:t>
      </w:r>
    </w:p>
    <w:p>
      <w:pPr>
        <w:pStyle w:val="ListParagraph"/>
        <w:numPr>
          <w:ilvl w:val="0"/>
          <w:numId w:val="1"/>
        </w:numPr>
        <w:spacing w:after="80"/>
      </w:pPr>
      <w:r>
        <w:t xml:space="preserve">Designed the initial database schema covering LogEntry, ParsedEvent, Alert, and Investigation models</w:t>
      </w:r>
    </w:p>
    <w:p>
      <w:pPr>
        <w:pStyle w:val="ListParagraph"/>
        <w:numPr>
          <w:ilvl w:val="0"/>
          <w:numId w:val="1"/>
        </w:numPr>
        <w:spacing w:after="80"/>
      </w:pPr>
      <w:r>
        <w:t xml:space="preserve">Implemented Django's built-in authentication with a login/logout flow and a user profile model</w:t>
      </w:r>
    </w:p>
    <w:p>
      <w:pPr>
        <w:pStyle w:val="ListParagraph"/>
        <w:numPr>
          <w:ilvl w:val="0"/>
          <w:numId w:val="1"/>
        </w:numPr>
        <w:spacing w:after="80"/>
      </w:pPr>
      <w:r>
        <w:t xml:space="preserve">Built the base template establishing the sidebar and top-bar shell</w:t>
      </w:r>
    </w:p>
    <w:p>
      <w:pPr>
        <w:pStyle w:val="ListParagraph"/>
        <w:numPr>
          <w:ilvl w:val="0"/>
          <w:numId w:val="1"/>
        </w:numPr>
        <w:spacing w:after="80"/>
      </w:pPr>
      <w:r>
        <w:t xml:space="preserve">Established the CSS design system using custom properties (variables)</w:t>
      </w:r>
    </w:p>
    <w:p>
      <w:pPr>
        <w:pStyle w:val="Heading3"/>
        <w:spacing w:after="100" w:before="220"/>
      </w:pPr>
      <w:r>
        <w:rPr>
          <w:b/>
          <w:bCs/>
          <w:color w:val="333333"/>
        </w:rPr>
        <w:t xml:space="preserve">Sprint 2 — Core Security Engine (Weeks 3–5)</w:t>
      </w:r>
    </w:p>
    <w:p>
      <w:pPr>
        <w:spacing w:after="160" w:line="300"/>
      </w:pPr>
      <w:r>
        <w:t xml:space="preserve">Goal: build the data ingestion and processing pipeline.</w:t>
      </w:r>
    </w:p>
    <w:p>
      <w:pPr>
        <w:pStyle w:val="ListParagraph"/>
        <w:numPr>
          <w:ilvl w:val="0"/>
          <w:numId w:val="1"/>
        </w:numPr>
        <w:spacing w:after="80"/>
      </w:pPr>
      <w:r>
        <w:t xml:space="preserve">Log Parser: a regex-based multi-format parser supporting Apache Common, Apache Combined, syslog, and structured JSON, classifying events (authentication failure, SQL injection attempt, brute force, port scan, etc.) and assigning initial severity</w:t>
      </w:r>
    </w:p>
    <w:p>
      <w:pPr>
        <w:pStyle w:val="ListParagraph"/>
        <w:numPr>
          <w:ilvl w:val="0"/>
          <w:numId w:val="1"/>
        </w:numPr>
        <w:spacing w:after="80"/>
      </w:pPr>
      <w:r>
        <w:t xml:space="preserve">Alert Generator: a rule-based correlation engine operating on parsed events, applying thresholds, pattern matching, and severity escalation</w:t>
      </w:r>
    </w:p>
    <w:p>
      <w:pPr>
        <w:pStyle w:val="ListParagraph"/>
        <w:numPr>
          <w:ilvl w:val="0"/>
          <w:numId w:val="1"/>
        </w:numPr>
        <w:spacing w:after="80"/>
      </w:pPr>
      <w:r>
        <w:t xml:space="preserve">Investigation Module: full CRUD for investigations linked to alerts, with note-taking, status tracking (Open → In Progress → Closed), and analyst assignment</w:t>
      </w:r>
    </w:p>
    <w:p>
      <w:pPr>
        <w:pStyle w:val="Heading3"/>
        <w:spacing w:after="100" w:before="220"/>
      </w:pPr>
      <w:r>
        <w:rPr>
          <w:b/>
          <w:bCs/>
          <w:color w:val="333333"/>
        </w:rPr>
        <w:t xml:space="preserve">Sprint 3 — Intelligence &amp; Visualisation (Weeks 6–8)</w:t>
      </w:r>
    </w:p>
    <w:p>
      <w:pPr>
        <w:spacing w:after="160" w:line="300"/>
      </w:pPr>
      <w:r>
        <w:t xml:space="preserve">Goal: transform raw data into actionable intelligence.</w:t>
      </w:r>
    </w:p>
    <w:p>
      <w:pPr>
        <w:pStyle w:val="ListParagraph"/>
        <w:numPr>
          <w:ilvl w:val="0"/>
          <w:numId w:val="1"/>
        </w:numPr>
        <w:spacing w:after="80"/>
      </w:pPr>
      <w:r>
        <w:t xml:space="preserve">Dashboard: server-side aggregation of total events, active alerts, open investigations, and critical alerts, rendered via Chart.js as trend lines, severity pie charts, and attack-pattern bar charts</w:t>
      </w:r>
    </w:p>
    <w:p>
      <w:pPr>
        <w:pStyle w:val="ListParagraph"/>
        <w:numPr>
          <w:ilvl w:val="0"/>
          <w:numId w:val="1"/>
        </w:numPr>
        <w:spacing w:after="80"/>
      </w:pPr>
      <w:r>
        <w:t xml:space="preserve">AI Investigation Assistant: integration with the OpenAI GPT-4o API — a structured prompt built from linked alert and event context returns prioritised, checklist-style remediation actions</w:t>
      </w:r>
    </w:p>
    <w:p>
      <w:pPr>
        <w:pStyle w:val="ListParagraph"/>
        <w:numPr>
          <w:ilvl w:val="0"/>
          <w:numId w:val="1"/>
        </w:numPr>
        <w:spacing w:after="80"/>
      </w:pPr>
      <w:r>
        <w:t xml:space="preserve">Advanced Search: cross-model search using Django Q objects across events, alerts, and investigations simultaneously, with filterable, paginated results</w:t>
      </w:r>
    </w:p>
    <w:p>
      <w:pPr>
        <w:pStyle w:val="ListParagraph"/>
        <w:numPr>
          <w:ilvl w:val="0"/>
          <w:numId w:val="1"/>
        </w:numPr>
        <w:spacing w:after="80"/>
      </w:pPr>
      <w:r>
        <w:t xml:space="preserve">Settings &amp; Log Import: a file-upload interface for .log/.json files that are immediately processed by the parser pipeline</w:t>
      </w:r>
    </w:p>
    <w:p>
      <w:pPr>
        <w:pStyle w:val="Heading3"/>
        <w:spacing w:after="100" w:before="220"/>
      </w:pPr>
      <w:r>
        <w:rPr>
          <w:b/>
          <w:bCs/>
          <w:color w:val="333333"/>
        </w:rPr>
        <w:t xml:space="preserve">Sprint 4 — Hardening &amp; Polish (Weeks 9–10)</w:t>
      </w:r>
    </w:p>
    <w:p>
      <w:pPr>
        <w:spacing w:after="160" w:line="300"/>
      </w:pPr>
      <w:r>
        <w:t xml:space="preserve">Goal: production readiness, UX refinement, and documentation.</w:t>
      </w:r>
    </w:p>
    <w:p>
      <w:pPr>
        <w:pStyle w:val="ListParagraph"/>
        <w:numPr>
          <w:ilvl w:val="0"/>
          <w:numId w:val="1"/>
        </w:numPr>
        <w:spacing w:after="80"/>
      </w:pPr>
      <w:r>
        <w:t xml:space="preserve">Resolved a dashboard crash caused by an undefined variable in the AI insights block</w:t>
      </w:r>
    </w:p>
    <w:p>
      <w:pPr>
        <w:pStyle w:val="ListParagraph"/>
        <w:numPr>
          <w:ilvl w:val="0"/>
          <w:numId w:val="1"/>
        </w:numPr>
        <w:spacing w:after="80"/>
      </w:pPr>
      <w:r>
        <w:t xml:space="preserve">Removed unused Assets and Hunting features to reduce interface complexity</w:t>
      </w:r>
    </w:p>
    <w:p>
      <w:pPr>
        <w:pStyle w:val="ListParagraph"/>
        <w:numPr>
          <w:ilvl w:val="0"/>
          <w:numId w:val="1"/>
        </w:numPr>
        <w:spacing w:after="80"/>
      </w:pPr>
      <w:r>
        <w:t xml:space="preserve">Implemented a custom admin panel with analyst-management capabilities</w:t>
      </w:r>
    </w:p>
    <w:p>
      <w:pPr>
        <w:pStyle w:val="ListParagraph"/>
        <w:numPr>
          <w:ilvl w:val="0"/>
          <w:numId w:val="1"/>
        </w:numPr>
        <w:spacing w:after="80"/>
      </w:pPr>
      <w:r>
        <w:t xml:space="preserve">Converted AI recommended actions into interactive, per-investigation checklist items</w:t>
      </w:r>
    </w:p>
    <w:p>
      <w:pPr>
        <w:pStyle w:val="ListParagraph"/>
        <w:numPr>
          <w:ilvl w:val="0"/>
          <w:numId w:val="1"/>
        </w:numPr>
        <w:spacing w:after="80"/>
      </w:pPr>
      <w:r>
        <w:t xml:space="preserve">Overhauled the CSS theme system to support dark mode (black / neon-green) and light mode (cream / deep-green), with a persisted toggle</w:t>
      </w:r>
    </w:p>
    <w:p>
      <w:pPr>
        <w:pStyle w:val="ListParagraph"/>
        <w:numPr>
          <w:ilvl w:val="0"/>
          <w:numId w:val="1"/>
        </w:numPr>
        <w:spacing w:after="80"/>
      </w:pPr>
      <w:r>
        <w:t xml:space="preserve">Fixed sidebar-collapse behaviour with corrected CSS transitions and JavaScript state management</w:t>
      </w:r>
    </w:p>
    <w:p>
      <w:pPr>
        <w:pStyle w:val="Heading2"/>
        <w:spacing w:after="140" w:before="300"/>
      </w:pPr>
      <w:r>
        <w:rPr>
          <w:b/>
          <w:bCs/>
          <w:color w:val="2E74B5"/>
        </w:rPr>
        <w:t xml:space="preserve">3.3 Development Philosophy</w:t>
      </w:r>
    </w:p>
    <w:p>
      <w:pPr>
        <w:pStyle w:val="ListParagraph"/>
        <w:numPr>
          <w:ilvl w:val="0"/>
          <w:numId w:val="1"/>
        </w:numPr>
        <w:spacing w:after="80"/>
      </w:pPr>
      <w:r>
        <w:t xml:space="preserve">Backend first — model and API/view logic is built and validated before templates are written, ensuring the data layer is correct before it is presented.</w:t>
      </w:r>
    </w:p>
    <w:p>
      <w:pPr>
        <w:pStyle w:val="ListParagraph"/>
        <w:numPr>
          <w:ilvl w:val="0"/>
          <w:numId w:val="1"/>
        </w:numPr>
        <w:spacing w:after="80"/>
      </w:pPr>
      <w:r>
        <w:t xml:space="preserve">Security by default — authentication is required on every view; CSRF protection is enforced on all state-modifying endpoints.</w:t>
      </w:r>
    </w:p>
    <w:p>
      <w:pPr>
        <w:pStyle w:val="ListParagraph"/>
        <w:numPr>
          <w:ilvl w:val="0"/>
          <w:numId w:val="1"/>
        </w:numPr>
        <w:spacing w:after="80"/>
      </w:pPr>
      <w:r>
        <w:t xml:space="preserve">Separation of concerns — log parsing, alert correlation, and AI logic are isolated in dedicated modules (log_parser.py, alert_generator.py, investigation_ai.py) rather than embedded in view functions.</w:t>
      </w:r>
    </w:p>
    <w:p>
      <w:pPr>
        <w:pStyle w:val="Heading2"/>
        <w:spacing w:after="140" w:before="300"/>
      </w:pPr>
      <w:r>
        <w:rPr>
          <w:b/>
          <w:bCs/>
          <w:color w:val="2E74B5"/>
        </w:rPr>
        <w:t xml:space="preserve">3.4 Tools and Techniques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6800"/>
            <w:shd w:fill="1F3864" w:val="clear"/>
            <w:tcMar>
              <w:top w:type="dxa" w:w="80"/>
              <w:left w:type="dxa" w:w="100"/>
              <w:bottom w:type="dxa" w:w="80"/>
              <w:right w:type="dxa" w:w="100"/>
            </w:tcMar>
            <w:vAlign w:val="center"/>
          </w:tcPr>
          <w:p>
            <w:r>
              <w:rPr>
                <w:b/>
                <w:bCs/>
                <w:color w:val="FFFFFF"/>
                <w:sz w:val="19"/>
                <w:szCs w:val="19"/>
              </w:rPr>
              <w:t xml:space="preserve">Tool / Technique</w:t>
            </w:r>
          </w:p>
        </w:tc>
      </w:tr>
      <w:tr>
        <w:tc>
          <w:tcPr>
            <w:tcW w:type="dxa" w:w="2600"/>
            <w:tcMar>
              <w:top w:type="dxa" w:w="70"/>
              <w:left w:type="dxa" w:w="100"/>
              <w:bottom w:type="dxa" w:w="70"/>
              <w:right w:type="dxa" w:w="100"/>
            </w:tcMar>
            <w:vAlign w:val="center"/>
          </w:tcPr>
          <w:p>
            <w:r>
              <w:rPr>
                <w:sz w:val="19"/>
                <w:szCs w:val="19"/>
              </w:rPr>
              <w:t xml:space="preserve">Version control</w:t>
            </w:r>
          </w:p>
        </w:tc>
        <w:tc>
          <w:tcPr>
            <w:tcW w:type="dxa" w:w="6800"/>
            <w:tcMar>
              <w:top w:type="dxa" w:w="70"/>
              <w:left w:type="dxa" w:w="100"/>
              <w:bottom w:type="dxa" w:w="70"/>
              <w:right w:type="dxa" w:w="100"/>
            </w:tcMar>
            <w:vAlign w:val="center"/>
          </w:tcPr>
          <w:p>
            <w:r>
              <w:rPr>
                <w:sz w:val="19"/>
                <w:szCs w:val="19"/>
              </w:rPr>
              <w:t xml:space="preserve">Git, with structured commit history per sprint</w:t>
            </w:r>
          </w:p>
        </w:tc>
      </w:tr>
      <w:tr>
        <w:tc>
          <w:tcPr>
            <w:tcW w:type="dxa" w:w="2600"/>
            <w:tcMar>
              <w:top w:type="dxa" w:w="70"/>
              <w:left w:type="dxa" w:w="100"/>
              <w:bottom w:type="dxa" w:w="70"/>
              <w:right w:type="dxa" w:w="100"/>
            </w:tcMar>
            <w:vAlign w:val="center"/>
          </w:tcPr>
          <w:p>
            <w:r>
              <w:rPr>
                <w:sz w:val="19"/>
                <w:szCs w:val="19"/>
              </w:rPr>
              <w:t xml:space="preserve">Project management</w:t>
            </w:r>
          </w:p>
        </w:tc>
        <w:tc>
          <w:tcPr>
            <w:tcW w:type="dxa" w:w="6800"/>
            <w:tcMar>
              <w:top w:type="dxa" w:w="70"/>
              <w:left w:type="dxa" w:w="100"/>
              <w:bottom w:type="dxa" w:w="70"/>
              <w:right w:type="dxa" w:w="100"/>
            </w:tcMar>
            <w:vAlign w:val="center"/>
          </w:tcPr>
          <w:p>
            <w:r>
              <w:rPr>
                <w:sz w:val="19"/>
                <w:szCs w:val="19"/>
              </w:rPr>
              <w:t xml:space="preserve">Sprint backlog tracked against the objectives table in Chapter 1</w:t>
            </w:r>
          </w:p>
        </w:tc>
      </w:tr>
      <w:tr>
        <w:tc>
          <w:tcPr>
            <w:tcW w:type="dxa" w:w="2600"/>
            <w:tcMar>
              <w:top w:type="dxa" w:w="70"/>
              <w:left w:type="dxa" w:w="100"/>
              <w:bottom w:type="dxa" w:w="70"/>
              <w:right w:type="dxa" w:w="100"/>
            </w:tcMar>
            <w:vAlign w:val="center"/>
          </w:tcPr>
          <w:p>
            <w:r>
              <w:rPr>
                <w:sz w:val="19"/>
                <w:szCs w:val="19"/>
              </w:rPr>
              <w:t xml:space="preserve">Local development</w:t>
            </w:r>
          </w:p>
        </w:tc>
        <w:tc>
          <w:tcPr>
            <w:tcW w:type="dxa" w:w="6800"/>
            <w:tcMar>
              <w:top w:type="dxa" w:w="70"/>
              <w:left w:type="dxa" w:w="100"/>
              <w:bottom w:type="dxa" w:w="70"/>
              <w:right w:type="dxa" w:w="100"/>
            </w:tcMar>
            <w:vAlign w:val="center"/>
          </w:tcPr>
          <w:p>
            <w:r>
              <w:rPr>
                <w:sz w:val="19"/>
                <w:szCs w:val="19"/>
              </w:rPr>
              <w:t xml:space="preserve">Django development server (manage.py runserver), SQLite</w:t>
            </w:r>
          </w:p>
        </w:tc>
      </w:tr>
      <w:tr>
        <w:tc>
          <w:tcPr>
            <w:tcW w:type="dxa" w:w="2600"/>
            <w:tcMar>
              <w:top w:type="dxa" w:w="70"/>
              <w:left w:type="dxa" w:w="100"/>
              <w:bottom w:type="dxa" w:w="70"/>
              <w:right w:type="dxa" w:w="100"/>
            </w:tcMar>
            <w:vAlign w:val="center"/>
          </w:tcPr>
          <w:p>
            <w:r>
              <w:rPr>
                <w:sz w:val="19"/>
                <w:szCs w:val="19"/>
              </w:rPr>
              <w:t xml:space="preserve">Design system</w:t>
            </w:r>
          </w:p>
        </w:tc>
        <w:tc>
          <w:tcPr>
            <w:tcW w:type="dxa" w:w="6800"/>
            <w:tcMar>
              <w:top w:type="dxa" w:w="70"/>
              <w:left w:type="dxa" w:w="100"/>
              <w:bottom w:type="dxa" w:w="70"/>
              <w:right w:type="dxa" w:w="100"/>
            </w:tcMar>
            <w:vAlign w:val="center"/>
          </w:tcPr>
          <w:p>
            <w:r>
              <w:rPr>
                <w:sz w:val="19"/>
                <w:szCs w:val="19"/>
              </w:rPr>
              <w:t xml:space="preserve">CSS custom properties for consistent theming across dark/light modes</w:t>
            </w:r>
          </w:p>
        </w:tc>
      </w:tr>
      <w:tr>
        <w:tc>
          <w:tcPr>
            <w:tcW w:type="dxa" w:w="2600"/>
            <w:tcMar>
              <w:top w:type="dxa" w:w="70"/>
              <w:left w:type="dxa" w:w="100"/>
              <w:bottom w:type="dxa" w:w="70"/>
              <w:right w:type="dxa" w:w="100"/>
            </w:tcMar>
            <w:vAlign w:val="center"/>
          </w:tcPr>
          <w:p>
            <w:r>
              <w:rPr>
                <w:sz w:val="19"/>
                <w:szCs w:val="19"/>
              </w:rPr>
              <w:t xml:space="preserve">Testing</w:t>
            </w:r>
          </w:p>
        </w:tc>
        <w:tc>
          <w:tcPr>
            <w:tcW w:type="dxa" w:w="6800"/>
            <w:tcMar>
              <w:top w:type="dxa" w:w="70"/>
              <w:left w:type="dxa" w:w="100"/>
              <w:bottom w:type="dxa" w:w="70"/>
              <w:right w:type="dxa" w:w="100"/>
            </w:tcMar>
            <w:vAlign w:val="center"/>
          </w:tcPr>
          <w:p>
            <w:r>
              <w:rPr>
                <w:sz w:val="19"/>
                <w:szCs w:val="19"/>
              </w:rPr>
              <w:t xml:space="preserve">Manual functional testing per module at the end of each sprint (see Chapter 8)</w:t>
            </w:r>
          </w:p>
        </w:tc>
      </w:tr>
      <w:tr>
        <w:tc>
          <w:tcPr>
            <w:tcW w:type="dxa" w:w="2600"/>
            <w:tcMar>
              <w:top w:type="dxa" w:w="70"/>
              <w:left w:type="dxa" w:w="100"/>
              <w:bottom w:type="dxa" w:w="70"/>
              <w:right w:type="dxa" w:w="100"/>
            </w:tcMar>
            <w:vAlign w:val="center"/>
          </w:tcPr>
          <w:p>
            <w:r>
              <w:rPr>
                <w:sz w:val="19"/>
                <w:szCs w:val="19"/>
              </w:rPr>
              <w:t xml:space="preserve">Documentation</w:t>
            </w:r>
          </w:p>
        </w:tc>
        <w:tc>
          <w:tcPr>
            <w:tcW w:type="dxa" w:w="6800"/>
            <w:tcMar>
              <w:top w:type="dxa" w:w="70"/>
              <w:left w:type="dxa" w:w="100"/>
              <w:bottom w:type="dxa" w:w="70"/>
              <w:right w:type="dxa" w:w="100"/>
            </w:tcMar>
            <w:vAlign w:val="center"/>
          </w:tcPr>
          <w:p>
            <w:r>
              <w:rPr>
                <w:sz w:val="19"/>
                <w:szCs w:val="19"/>
              </w:rPr>
              <w:t xml:space="preserve">Living Markdown documentation maintained alongside the codebase</w:t>
            </w:r>
          </w:p>
        </w:tc>
      </w:tr>
    </w:tbl>
    <w:p>
      <w:r>
        <w:br w:type="page"/>
      </w:r>
    </w:p>
    <w:p>
      <w:pPr>
        <w:pStyle w:val="Heading1"/>
        <w:spacing w:after="200" w:before="420"/>
      </w:pPr>
      <w:r>
        <w:rPr>
          <w:b/>
          <w:bCs/>
          <w:color w:val="1F3864"/>
        </w:rPr>
        <w:t xml:space="preserve">4. Requirements Analysis</w:t>
      </w:r>
    </w:p>
    <w:p>
      <w:pPr>
        <w:pStyle w:val="Heading2"/>
        <w:spacing w:after="140" w:before="300"/>
      </w:pPr>
      <w:r>
        <w:rPr>
          <w:b/>
          <w:bCs/>
          <w:color w:val="2E74B5"/>
        </w:rPr>
        <w:t xml:space="preserve">4.1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vAlign w:val="center"/>
          </w:tcPr>
          <w:p>
            <w:r>
              <w:rPr>
                <w:b/>
                <w:bCs/>
                <w:color w:val="FFFFFF"/>
                <w:sz w:val="18"/>
                <w:szCs w:val="18"/>
              </w:rPr>
              <w:t xml:space="preserve">ID</w:t>
            </w:r>
          </w:p>
        </w:tc>
        <w:tc>
          <w:tcPr>
            <w:tcW w:type="dxa" w:w="8000"/>
            <w:shd w:fill="1F3864" w:val="clear"/>
            <w:tcMar>
              <w:top w:type="dxa" w:w="80"/>
              <w:left w:type="dxa" w:w="100"/>
              <w:bottom w:type="dxa" w:w="80"/>
              <w:right w:type="dxa" w:w="100"/>
            </w:tcMar>
            <w:vAlign w:val="center"/>
          </w:tcPr>
          <w:p>
            <w:r>
              <w:rPr>
                <w:b/>
                <w:bCs/>
                <w:color w:val="FFFFFF"/>
                <w:sz w:val="18"/>
                <w:szCs w:val="18"/>
              </w:rPr>
              <w:t xml:space="preserve">Requirement</w:t>
            </w:r>
          </w:p>
        </w:tc>
      </w:tr>
      <w:tr>
        <w:tc>
          <w:tcPr>
            <w:tcW w:type="dxa" w:w="1400"/>
            <w:tcMar>
              <w:top w:type="dxa" w:w="70"/>
              <w:left w:type="dxa" w:w="100"/>
              <w:bottom w:type="dxa" w:w="70"/>
              <w:right w:type="dxa" w:w="100"/>
            </w:tcMar>
            <w:vAlign w:val="center"/>
          </w:tcPr>
          <w:p>
            <w:r>
              <w:rPr>
                <w:sz w:val="18"/>
                <w:szCs w:val="18"/>
              </w:rPr>
              <w:t xml:space="preserve">FR-01</w:t>
            </w:r>
          </w:p>
        </w:tc>
        <w:tc>
          <w:tcPr>
            <w:tcW w:type="dxa" w:w="8000"/>
            <w:tcMar>
              <w:top w:type="dxa" w:w="70"/>
              <w:left w:type="dxa" w:w="100"/>
              <w:bottom w:type="dxa" w:w="70"/>
              <w:right w:type="dxa" w:w="100"/>
            </w:tcMar>
            <w:vAlign w:val="center"/>
          </w:tcPr>
          <w:p>
            <w:r>
              <w:rPr>
                <w:sz w:val="18"/>
                <w:szCs w:val="18"/>
              </w:rPr>
              <w:t xml:space="preserve">The system shall allow authenticated users to upload log files (Apache, syslog, JSON) for parsing.</w:t>
            </w:r>
          </w:p>
        </w:tc>
      </w:tr>
      <w:tr>
        <w:tc>
          <w:tcPr>
            <w:tcW w:type="dxa" w:w="1400"/>
            <w:tcMar>
              <w:top w:type="dxa" w:w="70"/>
              <w:left w:type="dxa" w:w="100"/>
              <w:bottom w:type="dxa" w:w="70"/>
              <w:right w:type="dxa" w:w="100"/>
            </w:tcMar>
            <w:vAlign w:val="center"/>
          </w:tcPr>
          <w:p>
            <w:r>
              <w:rPr>
                <w:sz w:val="18"/>
                <w:szCs w:val="18"/>
              </w:rPr>
              <w:t xml:space="preserve">FR-02</w:t>
            </w:r>
          </w:p>
        </w:tc>
        <w:tc>
          <w:tcPr>
            <w:tcW w:type="dxa" w:w="8000"/>
            <w:tcMar>
              <w:top w:type="dxa" w:w="70"/>
              <w:left w:type="dxa" w:w="100"/>
              <w:bottom w:type="dxa" w:w="70"/>
              <w:right w:type="dxa" w:w="100"/>
            </w:tcMar>
            <w:vAlign w:val="center"/>
          </w:tcPr>
          <w:p>
            <w:r>
              <w:rPr>
                <w:sz w:val="18"/>
                <w:szCs w:val="18"/>
              </w:rPr>
              <w:t xml:space="preserve">The system shall automatically detect log format and extract structured fields from each log line.</w:t>
            </w:r>
          </w:p>
        </w:tc>
      </w:tr>
      <w:tr>
        <w:tc>
          <w:tcPr>
            <w:tcW w:type="dxa" w:w="1400"/>
            <w:tcMar>
              <w:top w:type="dxa" w:w="70"/>
              <w:left w:type="dxa" w:w="100"/>
              <w:bottom w:type="dxa" w:w="70"/>
              <w:right w:type="dxa" w:w="100"/>
            </w:tcMar>
            <w:vAlign w:val="center"/>
          </w:tcPr>
          <w:p>
            <w:r>
              <w:rPr>
                <w:sz w:val="18"/>
                <w:szCs w:val="18"/>
              </w:rPr>
              <w:t xml:space="preserve">FR-03</w:t>
            </w:r>
          </w:p>
        </w:tc>
        <w:tc>
          <w:tcPr>
            <w:tcW w:type="dxa" w:w="8000"/>
            <w:tcMar>
              <w:top w:type="dxa" w:w="70"/>
              <w:left w:type="dxa" w:w="100"/>
              <w:bottom w:type="dxa" w:w="70"/>
              <w:right w:type="dxa" w:w="100"/>
            </w:tcMar>
            <w:vAlign w:val="center"/>
          </w:tcPr>
          <w:p>
            <w:r>
              <w:rPr>
                <w:sz w:val="18"/>
                <w:szCs w:val="18"/>
              </w:rPr>
              <w:t xml:space="preserve">The system shall classify parsed events by category and assign a severity level.</w:t>
            </w:r>
          </w:p>
        </w:tc>
      </w:tr>
      <w:tr>
        <w:tc>
          <w:tcPr>
            <w:tcW w:type="dxa" w:w="1400"/>
            <w:tcMar>
              <w:top w:type="dxa" w:w="70"/>
              <w:left w:type="dxa" w:w="100"/>
              <w:bottom w:type="dxa" w:w="70"/>
              <w:right w:type="dxa" w:w="100"/>
            </w:tcMar>
            <w:vAlign w:val="center"/>
          </w:tcPr>
          <w:p>
            <w:r>
              <w:rPr>
                <w:sz w:val="18"/>
                <w:szCs w:val="18"/>
              </w:rPr>
              <w:t xml:space="preserve">FR-04</w:t>
            </w:r>
          </w:p>
        </w:tc>
        <w:tc>
          <w:tcPr>
            <w:tcW w:type="dxa" w:w="8000"/>
            <w:tcMar>
              <w:top w:type="dxa" w:w="70"/>
              <w:left w:type="dxa" w:w="100"/>
              <w:bottom w:type="dxa" w:w="70"/>
              <w:right w:type="dxa" w:w="100"/>
            </w:tcMar>
            <w:vAlign w:val="center"/>
          </w:tcPr>
          <w:p>
            <w:r>
              <w:rPr>
                <w:sz w:val="18"/>
                <w:szCs w:val="18"/>
              </w:rPr>
              <w:t xml:space="preserve">The system shall apply correlation rules to parsed events and automatically generate alerts when a rule matches.</w:t>
            </w:r>
          </w:p>
        </w:tc>
      </w:tr>
      <w:tr>
        <w:tc>
          <w:tcPr>
            <w:tcW w:type="dxa" w:w="1400"/>
            <w:tcMar>
              <w:top w:type="dxa" w:w="70"/>
              <w:left w:type="dxa" w:w="100"/>
              <w:bottom w:type="dxa" w:w="70"/>
              <w:right w:type="dxa" w:w="100"/>
            </w:tcMar>
            <w:vAlign w:val="center"/>
          </w:tcPr>
          <w:p>
            <w:r>
              <w:rPr>
                <w:sz w:val="18"/>
                <w:szCs w:val="18"/>
              </w:rPr>
              <w:t xml:space="preserve">FR-05</w:t>
            </w:r>
          </w:p>
        </w:tc>
        <w:tc>
          <w:tcPr>
            <w:tcW w:type="dxa" w:w="8000"/>
            <w:tcMar>
              <w:top w:type="dxa" w:w="70"/>
              <w:left w:type="dxa" w:w="100"/>
              <w:bottom w:type="dxa" w:w="70"/>
              <w:right w:type="dxa" w:w="100"/>
            </w:tcMar>
            <w:vAlign w:val="center"/>
          </w:tcPr>
          <w:p>
            <w:r>
              <w:rPr>
                <w:sz w:val="18"/>
                <w:szCs w:val="18"/>
              </w:rPr>
              <w:t xml:space="preserve">The system shall allow analysts to acknowledge, resolve, close, or mark alerts as false positive.</w:t>
            </w:r>
          </w:p>
        </w:tc>
      </w:tr>
      <w:tr>
        <w:tc>
          <w:tcPr>
            <w:tcW w:type="dxa" w:w="1400"/>
            <w:tcMar>
              <w:top w:type="dxa" w:w="70"/>
              <w:left w:type="dxa" w:w="100"/>
              <w:bottom w:type="dxa" w:w="70"/>
              <w:right w:type="dxa" w:w="100"/>
            </w:tcMar>
            <w:vAlign w:val="center"/>
          </w:tcPr>
          <w:p>
            <w:r>
              <w:rPr>
                <w:sz w:val="18"/>
                <w:szCs w:val="18"/>
              </w:rPr>
              <w:t xml:space="preserve">FR-06</w:t>
            </w:r>
          </w:p>
        </w:tc>
        <w:tc>
          <w:tcPr>
            <w:tcW w:type="dxa" w:w="8000"/>
            <w:tcMar>
              <w:top w:type="dxa" w:w="70"/>
              <w:left w:type="dxa" w:w="100"/>
              <w:bottom w:type="dxa" w:w="70"/>
              <w:right w:type="dxa" w:w="100"/>
            </w:tcMar>
            <w:vAlign w:val="center"/>
          </w:tcPr>
          <w:p>
            <w:r>
              <w:rPr>
                <w:sz w:val="18"/>
                <w:szCs w:val="18"/>
              </w:rPr>
              <w:t xml:space="preserve">The system shall allow analysts to create investigations, optionally linked to one or more alerts.</w:t>
            </w:r>
          </w:p>
        </w:tc>
      </w:tr>
      <w:tr>
        <w:tc>
          <w:tcPr>
            <w:tcW w:type="dxa" w:w="1400"/>
            <w:tcMar>
              <w:top w:type="dxa" w:w="70"/>
              <w:left w:type="dxa" w:w="100"/>
              <w:bottom w:type="dxa" w:w="70"/>
              <w:right w:type="dxa" w:w="100"/>
            </w:tcMar>
            <w:vAlign w:val="center"/>
          </w:tcPr>
          <w:p>
            <w:r>
              <w:rPr>
                <w:sz w:val="18"/>
                <w:szCs w:val="18"/>
              </w:rPr>
              <w:t xml:space="preserve">FR-07</w:t>
            </w:r>
          </w:p>
        </w:tc>
        <w:tc>
          <w:tcPr>
            <w:tcW w:type="dxa" w:w="8000"/>
            <w:tcMar>
              <w:top w:type="dxa" w:w="70"/>
              <w:left w:type="dxa" w:w="100"/>
              <w:bottom w:type="dxa" w:w="70"/>
              <w:right w:type="dxa" w:w="100"/>
            </w:tcMar>
            <w:vAlign w:val="center"/>
          </w:tcPr>
          <w:p>
            <w:r>
              <w:rPr>
                <w:sz w:val="18"/>
                <w:szCs w:val="18"/>
              </w:rPr>
              <w:t xml:space="preserve">The system shall allow analysts to add timestamped notes and evidence to an investigation.</w:t>
            </w:r>
          </w:p>
        </w:tc>
      </w:tr>
      <w:tr>
        <w:tc>
          <w:tcPr>
            <w:tcW w:type="dxa" w:w="1400"/>
            <w:tcMar>
              <w:top w:type="dxa" w:w="70"/>
              <w:left w:type="dxa" w:w="100"/>
              <w:bottom w:type="dxa" w:w="70"/>
              <w:right w:type="dxa" w:w="100"/>
            </w:tcMar>
            <w:vAlign w:val="center"/>
          </w:tcPr>
          <w:p>
            <w:r>
              <w:rPr>
                <w:sz w:val="18"/>
                <w:szCs w:val="18"/>
              </w:rPr>
              <w:t xml:space="preserve">FR-08</w:t>
            </w:r>
          </w:p>
        </w:tc>
        <w:tc>
          <w:tcPr>
            <w:tcW w:type="dxa" w:w="8000"/>
            <w:tcMar>
              <w:top w:type="dxa" w:w="70"/>
              <w:left w:type="dxa" w:w="100"/>
              <w:bottom w:type="dxa" w:w="70"/>
              <w:right w:type="dxa" w:w="100"/>
            </w:tcMar>
            <w:vAlign w:val="center"/>
          </w:tcPr>
          <w:p>
            <w:r>
              <w:rPr>
                <w:sz w:val="18"/>
                <w:szCs w:val="18"/>
              </w:rPr>
              <w:t xml:space="preserve">The system shall generate AI-assisted, prioritised remediation suggestions for an open investigation.</w:t>
            </w:r>
          </w:p>
        </w:tc>
      </w:tr>
      <w:tr>
        <w:tc>
          <w:tcPr>
            <w:tcW w:type="dxa" w:w="1400"/>
            <w:tcMar>
              <w:top w:type="dxa" w:w="70"/>
              <w:left w:type="dxa" w:w="100"/>
              <w:bottom w:type="dxa" w:w="70"/>
              <w:right w:type="dxa" w:w="100"/>
            </w:tcMar>
            <w:vAlign w:val="center"/>
          </w:tcPr>
          <w:p>
            <w:r>
              <w:rPr>
                <w:sz w:val="18"/>
                <w:szCs w:val="18"/>
              </w:rPr>
              <w:t xml:space="preserve">FR-09</w:t>
            </w:r>
          </w:p>
        </w:tc>
        <w:tc>
          <w:tcPr>
            <w:tcW w:type="dxa" w:w="8000"/>
            <w:tcMar>
              <w:top w:type="dxa" w:w="70"/>
              <w:left w:type="dxa" w:w="100"/>
              <w:bottom w:type="dxa" w:w="70"/>
              <w:right w:type="dxa" w:w="100"/>
            </w:tcMar>
            <w:vAlign w:val="center"/>
          </w:tcPr>
          <w:p>
            <w:r>
              <w:rPr>
                <w:sz w:val="18"/>
                <w:szCs w:val="18"/>
              </w:rPr>
              <w:t xml:space="preserve">The system shall provide a dashboard summarising event counts, alert severity distribution, and trends.</w:t>
            </w:r>
          </w:p>
        </w:tc>
      </w:tr>
      <w:tr>
        <w:tc>
          <w:tcPr>
            <w:tcW w:type="dxa" w:w="1400"/>
            <w:tcMar>
              <w:top w:type="dxa" w:w="70"/>
              <w:left w:type="dxa" w:w="100"/>
              <w:bottom w:type="dxa" w:w="70"/>
              <w:right w:type="dxa" w:w="100"/>
            </w:tcMar>
            <w:vAlign w:val="center"/>
          </w:tcPr>
          <w:p>
            <w:r>
              <w:rPr>
                <w:sz w:val="18"/>
                <w:szCs w:val="18"/>
              </w:rPr>
              <w:t xml:space="preserve">FR-10</w:t>
            </w:r>
          </w:p>
        </w:tc>
        <w:tc>
          <w:tcPr>
            <w:tcW w:type="dxa" w:w="8000"/>
            <w:tcMar>
              <w:top w:type="dxa" w:w="70"/>
              <w:left w:type="dxa" w:w="100"/>
              <w:bottom w:type="dxa" w:w="70"/>
              <w:right w:type="dxa" w:w="100"/>
            </w:tcMar>
            <w:vAlign w:val="center"/>
          </w:tcPr>
          <w:p>
            <w:r>
              <w:rPr>
                <w:sz w:val="18"/>
                <w:szCs w:val="18"/>
              </w:rPr>
              <w:t xml:space="preserve">The system shall support full-text search across events, alerts, investigations, and IOCs.</w:t>
            </w:r>
          </w:p>
        </w:tc>
      </w:tr>
      <w:tr>
        <w:tc>
          <w:tcPr>
            <w:tcW w:type="dxa" w:w="1400"/>
            <w:tcMar>
              <w:top w:type="dxa" w:w="70"/>
              <w:left w:type="dxa" w:w="100"/>
              <w:bottom w:type="dxa" w:w="70"/>
              <w:right w:type="dxa" w:w="100"/>
            </w:tcMar>
            <w:vAlign w:val="center"/>
          </w:tcPr>
          <w:p>
            <w:r>
              <w:rPr>
                <w:sz w:val="18"/>
                <w:szCs w:val="18"/>
              </w:rPr>
              <w:t xml:space="preserve">FR-11</w:t>
            </w:r>
          </w:p>
        </w:tc>
        <w:tc>
          <w:tcPr>
            <w:tcW w:type="dxa" w:w="8000"/>
            <w:tcMar>
              <w:top w:type="dxa" w:w="70"/>
              <w:left w:type="dxa" w:w="100"/>
              <w:bottom w:type="dxa" w:w="70"/>
              <w:right w:type="dxa" w:w="100"/>
            </w:tcMar>
            <w:vAlign w:val="center"/>
          </w:tcPr>
          <w:p>
            <w:r>
              <w:rPr>
                <w:sz w:val="18"/>
                <w:szCs w:val="18"/>
              </w:rPr>
              <w:t xml:space="preserve">The system shall generate reports in JSON, CSV, and HTML formats across multiple report types.</w:t>
            </w:r>
          </w:p>
        </w:tc>
      </w:tr>
      <w:tr>
        <w:tc>
          <w:tcPr>
            <w:tcW w:type="dxa" w:w="1400"/>
            <w:tcMar>
              <w:top w:type="dxa" w:w="70"/>
              <w:left w:type="dxa" w:w="100"/>
              <w:bottom w:type="dxa" w:w="70"/>
              <w:right w:type="dxa" w:w="100"/>
            </w:tcMar>
            <w:vAlign w:val="center"/>
          </w:tcPr>
          <w:p>
            <w:r>
              <w:rPr>
                <w:sz w:val="18"/>
                <w:szCs w:val="18"/>
              </w:rPr>
              <w:t xml:space="preserve">FR-12</w:t>
            </w:r>
          </w:p>
        </w:tc>
        <w:tc>
          <w:tcPr>
            <w:tcW w:type="dxa" w:w="8000"/>
            <w:tcMar>
              <w:top w:type="dxa" w:w="70"/>
              <w:left w:type="dxa" w:w="100"/>
              <w:bottom w:type="dxa" w:w="70"/>
              <w:right w:type="dxa" w:w="100"/>
            </w:tcMar>
            <w:vAlign w:val="center"/>
          </w:tcPr>
          <w:p>
            <w:r>
              <w:rPr>
                <w:sz w:val="18"/>
                <w:szCs w:val="18"/>
              </w:rPr>
              <w:t xml:space="preserve">The system shall restrict administrative actions (user management, system settings) to Administrator-role users.</w:t>
            </w:r>
          </w:p>
        </w:tc>
      </w:tr>
      <w:tr>
        <w:tc>
          <w:tcPr>
            <w:tcW w:type="dxa" w:w="1400"/>
            <w:tcMar>
              <w:top w:type="dxa" w:w="70"/>
              <w:left w:type="dxa" w:w="100"/>
              <w:bottom w:type="dxa" w:w="70"/>
              <w:right w:type="dxa" w:w="100"/>
            </w:tcMar>
            <w:vAlign w:val="center"/>
          </w:tcPr>
          <w:p>
            <w:r>
              <w:rPr>
                <w:sz w:val="18"/>
                <w:szCs w:val="18"/>
              </w:rPr>
              <w:t xml:space="preserve">FR-13</w:t>
            </w:r>
          </w:p>
        </w:tc>
        <w:tc>
          <w:tcPr>
            <w:tcW w:type="dxa" w:w="8000"/>
            <w:tcMar>
              <w:top w:type="dxa" w:w="70"/>
              <w:left w:type="dxa" w:w="100"/>
              <w:bottom w:type="dxa" w:w="70"/>
              <w:right w:type="dxa" w:w="100"/>
            </w:tcMar>
            <w:vAlign w:val="center"/>
          </w:tcPr>
          <w:p>
            <w:r>
              <w:rPr>
                <w:sz w:val="18"/>
                <w:szCs w:val="18"/>
              </w:rPr>
              <w:t xml:space="preserve">The system shall log all significant user actions to an audit trail.</w:t>
            </w:r>
          </w:p>
        </w:tc>
      </w:tr>
      <w:tr>
        <w:tc>
          <w:tcPr>
            <w:tcW w:type="dxa" w:w="1400"/>
            <w:tcMar>
              <w:top w:type="dxa" w:w="70"/>
              <w:left w:type="dxa" w:w="100"/>
              <w:bottom w:type="dxa" w:w="70"/>
              <w:right w:type="dxa" w:w="100"/>
            </w:tcMar>
            <w:vAlign w:val="center"/>
          </w:tcPr>
          <w:p>
            <w:r>
              <w:rPr>
                <w:sz w:val="18"/>
                <w:szCs w:val="18"/>
              </w:rPr>
              <w:t xml:space="preserve">FR-14</w:t>
            </w:r>
          </w:p>
        </w:tc>
        <w:tc>
          <w:tcPr>
            <w:tcW w:type="dxa" w:w="8000"/>
            <w:tcMar>
              <w:top w:type="dxa" w:w="70"/>
              <w:left w:type="dxa" w:w="100"/>
              <w:bottom w:type="dxa" w:w="70"/>
              <w:right w:type="dxa" w:w="100"/>
            </w:tcMar>
            <w:vAlign w:val="center"/>
          </w:tcPr>
          <w:p>
            <w:r>
              <w:rPr>
                <w:sz w:val="18"/>
                <w:szCs w:val="18"/>
              </w:rPr>
              <w:t xml:space="preserve">The system shall map detected alerts to MITRE ATT&amp;CK tactics and techniques where applicable.</w:t>
            </w:r>
          </w:p>
        </w:tc>
      </w:tr>
    </w:tbl>
    <w:p>
      <w:pPr>
        <w:pStyle w:val="Heading2"/>
        <w:spacing w:after="140" w:before="300"/>
      </w:pPr>
      <w:r>
        <w:rPr>
          <w:b/>
          <w:bCs/>
          <w:color w:val="2E74B5"/>
        </w:rPr>
        <w:t xml:space="preserve">4.2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100"/>
      </w:tblGrid>
      <w:tr>
        <w:trPr>
          <w:tblHeader/>
        </w:trPr>
        <w:tc>
          <w:tcPr>
            <w:tcW w:type="dxa" w:w="1300"/>
            <w:shd w:fill="1F3864" w:val="clear"/>
            <w:tcMar>
              <w:top w:type="dxa" w:w="80"/>
              <w:left w:type="dxa" w:w="100"/>
              <w:bottom w:type="dxa" w:w="80"/>
              <w:right w:type="dxa" w:w="100"/>
            </w:tcMar>
            <w:vAlign w:val="center"/>
          </w:tcPr>
          <w:p>
            <w:r>
              <w:rPr>
                <w:b/>
                <w:bCs/>
                <w:color w:val="FFFFFF"/>
                <w:sz w:val="17"/>
                <w:szCs w:val="17"/>
              </w:rPr>
              <w:t xml:space="preserve">ID</w:t>
            </w:r>
          </w:p>
        </w:tc>
        <w:tc>
          <w:tcPr>
            <w:tcW w:type="dxa" w:w="2000"/>
            <w:shd w:fill="1F3864" w:val="clear"/>
            <w:tcMar>
              <w:top w:type="dxa" w:w="80"/>
              <w:left w:type="dxa" w:w="100"/>
              <w:bottom w:type="dxa" w:w="80"/>
              <w:right w:type="dxa" w:w="100"/>
            </w:tcMar>
            <w:vAlign w:val="center"/>
          </w:tcPr>
          <w:p>
            <w:r>
              <w:rPr>
                <w:b/>
                <w:bCs/>
                <w:color w:val="FFFFFF"/>
                <w:sz w:val="17"/>
                <w:szCs w:val="17"/>
              </w:rPr>
              <w:t xml:space="preserve">Requirement</w:t>
            </w:r>
          </w:p>
        </w:tc>
        <w:tc>
          <w:tcPr>
            <w:tcW w:type="dxa" w:w="6100"/>
            <w:shd w:fill="1F3864" w:val="clear"/>
            <w:tcMar>
              <w:top w:type="dxa" w:w="80"/>
              <w:left w:type="dxa" w:w="100"/>
              <w:bottom w:type="dxa" w:w="80"/>
              <w:right w:type="dxa" w:w="100"/>
            </w:tcMar>
            <w:vAlign w:val="center"/>
          </w:tcPr>
          <w:p>
            <w:r>
              <w:rPr>
                <w:b/>
                <w:bCs/>
                <w:color w:val="FFFFFF"/>
                <w:sz w:val="17"/>
                <w:szCs w:val="17"/>
              </w:rPr>
              <w:t xml:space="preserve">Target / Rationale</w:t>
            </w:r>
          </w:p>
        </w:tc>
      </w:tr>
      <w:tr>
        <w:tc>
          <w:tcPr>
            <w:tcW w:type="dxa" w:w="1300"/>
            <w:tcMar>
              <w:top w:type="dxa" w:w="70"/>
              <w:left w:type="dxa" w:w="100"/>
              <w:bottom w:type="dxa" w:w="70"/>
              <w:right w:type="dxa" w:w="100"/>
            </w:tcMar>
            <w:vAlign w:val="center"/>
          </w:tcPr>
          <w:p>
            <w:r>
              <w:rPr>
                <w:sz w:val="17"/>
                <w:szCs w:val="17"/>
              </w:rPr>
              <w:t xml:space="preserve">NFR-01</w:t>
            </w:r>
          </w:p>
        </w:tc>
        <w:tc>
          <w:tcPr>
            <w:tcW w:type="dxa" w:w="2000"/>
            <w:tcMar>
              <w:top w:type="dxa" w:w="70"/>
              <w:left w:type="dxa" w:w="100"/>
              <w:bottom w:type="dxa" w:w="70"/>
              <w:right w:type="dxa" w:w="100"/>
            </w:tcMar>
            <w:vAlign w:val="center"/>
          </w:tcPr>
          <w:p>
            <w:r>
              <w:rPr>
                <w:sz w:val="17"/>
                <w:szCs w:val="17"/>
              </w:rPr>
              <w:t xml:space="preserve">Usability</w:t>
            </w:r>
          </w:p>
        </w:tc>
        <w:tc>
          <w:tcPr>
            <w:tcW w:type="dxa" w:w="6100"/>
            <w:tcMar>
              <w:top w:type="dxa" w:w="70"/>
              <w:left w:type="dxa" w:w="100"/>
              <w:bottom w:type="dxa" w:w="70"/>
              <w:right w:type="dxa" w:w="100"/>
            </w:tcMar>
            <w:vAlign w:val="center"/>
          </w:tcPr>
          <w:p>
            <w:r>
              <w:rPr>
                <w:sz w:val="17"/>
                <w:szCs w:val="17"/>
              </w:rPr>
              <w:t xml:space="preserve">Core workflows (upload → alert → investigate → report) must be completable without consulting external documentation.</w:t>
            </w:r>
          </w:p>
        </w:tc>
      </w:tr>
      <w:tr>
        <w:tc>
          <w:tcPr>
            <w:tcW w:type="dxa" w:w="1300"/>
            <w:tcMar>
              <w:top w:type="dxa" w:w="70"/>
              <w:left w:type="dxa" w:w="100"/>
              <w:bottom w:type="dxa" w:w="70"/>
              <w:right w:type="dxa" w:w="100"/>
            </w:tcMar>
            <w:vAlign w:val="center"/>
          </w:tcPr>
          <w:p>
            <w:r>
              <w:rPr>
                <w:sz w:val="17"/>
                <w:szCs w:val="17"/>
              </w:rPr>
              <w:t xml:space="preserve">NFR-02</w:t>
            </w:r>
          </w:p>
        </w:tc>
        <w:tc>
          <w:tcPr>
            <w:tcW w:type="dxa" w:w="2000"/>
            <w:tcMar>
              <w:top w:type="dxa" w:w="70"/>
              <w:left w:type="dxa" w:w="100"/>
              <w:bottom w:type="dxa" w:w="70"/>
              <w:right w:type="dxa" w:w="100"/>
            </w:tcMar>
            <w:vAlign w:val="center"/>
          </w:tcPr>
          <w:p>
            <w:r>
              <w:rPr>
                <w:sz w:val="17"/>
                <w:szCs w:val="17"/>
              </w:rPr>
              <w:t xml:space="preserve">Security</w:t>
            </w:r>
          </w:p>
        </w:tc>
        <w:tc>
          <w:tcPr>
            <w:tcW w:type="dxa" w:w="6100"/>
            <w:tcMar>
              <w:top w:type="dxa" w:w="70"/>
              <w:left w:type="dxa" w:w="100"/>
              <w:bottom w:type="dxa" w:w="70"/>
              <w:right w:type="dxa" w:w="100"/>
            </w:tcMar>
            <w:vAlign w:val="center"/>
          </w:tcPr>
          <w:p>
            <w:r>
              <w:rPr>
                <w:sz w:val="17"/>
                <w:szCs w:val="17"/>
              </w:rPr>
              <w:t xml:space="preserve">All views require authentication; all state-changing requests are CSRF-protected; passwords are hashed, never stored in plaintext.</w:t>
            </w:r>
          </w:p>
        </w:tc>
      </w:tr>
      <w:tr>
        <w:tc>
          <w:tcPr>
            <w:tcW w:type="dxa" w:w="1300"/>
            <w:tcMar>
              <w:top w:type="dxa" w:w="70"/>
              <w:left w:type="dxa" w:w="100"/>
              <w:bottom w:type="dxa" w:w="70"/>
              <w:right w:type="dxa" w:w="100"/>
            </w:tcMar>
            <w:vAlign w:val="center"/>
          </w:tcPr>
          <w:p>
            <w:r>
              <w:rPr>
                <w:sz w:val="17"/>
                <w:szCs w:val="17"/>
              </w:rPr>
              <w:t xml:space="preserve">NFR-03</w:t>
            </w:r>
          </w:p>
        </w:tc>
        <w:tc>
          <w:tcPr>
            <w:tcW w:type="dxa" w:w="2000"/>
            <w:tcMar>
              <w:top w:type="dxa" w:w="70"/>
              <w:left w:type="dxa" w:w="100"/>
              <w:bottom w:type="dxa" w:w="70"/>
              <w:right w:type="dxa" w:w="100"/>
            </w:tcMar>
            <w:vAlign w:val="center"/>
          </w:tcPr>
          <w:p>
            <w:r>
              <w:rPr>
                <w:sz w:val="17"/>
                <w:szCs w:val="17"/>
              </w:rPr>
              <w:t xml:space="preserve">Performance</w:t>
            </w:r>
          </w:p>
        </w:tc>
        <w:tc>
          <w:tcPr>
            <w:tcW w:type="dxa" w:w="6100"/>
            <w:tcMar>
              <w:top w:type="dxa" w:w="70"/>
              <w:left w:type="dxa" w:w="100"/>
              <w:bottom w:type="dxa" w:w="70"/>
              <w:right w:type="dxa" w:w="100"/>
            </w:tcMar>
            <w:vAlign w:val="center"/>
          </w:tcPr>
          <w:p>
            <w:r>
              <w:rPr>
                <w:sz w:val="17"/>
                <w:szCs w:val="17"/>
              </w:rPr>
              <w:t xml:space="preserve">The log parser should process at least 50,000 log lines per minute on standard development hardware.</w:t>
            </w:r>
          </w:p>
        </w:tc>
      </w:tr>
      <w:tr>
        <w:tc>
          <w:tcPr>
            <w:tcW w:type="dxa" w:w="1300"/>
            <w:tcMar>
              <w:top w:type="dxa" w:w="70"/>
              <w:left w:type="dxa" w:w="100"/>
              <w:bottom w:type="dxa" w:w="70"/>
              <w:right w:type="dxa" w:w="100"/>
            </w:tcMar>
            <w:vAlign w:val="center"/>
          </w:tcPr>
          <w:p>
            <w:r>
              <w:rPr>
                <w:sz w:val="17"/>
                <w:szCs w:val="17"/>
              </w:rPr>
              <w:t xml:space="preserve">NFR-04</w:t>
            </w:r>
          </w:p>
        </w:tc>
        <w:tc>
          <w:tcPr>
            <w:tcW w:type="dxa" w:w="2000"/>
            <w:tcMar>
              <w:top w:type="dxa" w:w="70"/>
              <w:left w:type="dxa" w:w="100"/>
              <w:bottom w:type="dxa" w:w="70"/>
              <w:right w:type="dxa" w:w="100"/>
            </w:tcMar>
            <w:vAlign w:val="center"/>
          </w:tcPr>
          <w:p>
            <w:r>
              <w:rPr>
                <w:sz w:val="17"/>
                <w:szCs w:val="17"/>
              </w:rPr>
              <w:t xml:space="preserve">Portability</w:t>
            </w:r>
          </w:p>
        </w:tc>
        <w:tc>
          <w:tcPr>
            <w:tcW w:type="dxa" w:w="6100"/>
            <w:tcMar>
              <w:top w:type="dxa" w:w="70"/>
              <w:left w:type="dxa" w:w="100"/>
              <w:bottom w:type="dxa" w:w="70"/>
              <w:right w:type="dxa" w:w="100"/>
            </w:tcMar>
            <w:vAlign w:val="center"/>
          </w:tcPr>
          <w:p>
            <w:r>
              <w:rPr>
                <w:sz w:val="17"/>
                <w:szCs w:val="17"/>
              </w:rPr>
              <w:t xml:space="preserve">The application must run unmodified against SQLite (development) and PostgreSQL (production) via Django's ORM abstraction.</w:t>
            </w:r>
          </w:p>
        </w:tc>
      </w:tr>
      <w:tr>
        <w:tc>
          <w:tcPr>
            <w:tcW w:type="dxa" w:w="1300"/>
            <w:tcMar>
              <w:top w:type="dxa" w:w="70"/>
              <w:left w:type="dxa" w:w="100"/>
              <w:bottom w:type="dxa" w:w="70"/>
              <w:right w:type="dxa" w:w="100"/>
            </w:tcMar>
            <w:vAlign w:val="center"/>
          </w:tcPr>
          <w:p>
            <w:r>
              <w:rPr>
                <w:sz w:val="17"/>
                <w:szCs w:val="17"/>
              </w:rPr>
              <w:t xml:space="preserve">NFR-05</w:t>
            </w:r>
          </w:p>
        </w:tc>
        <w:tc>
          <w:tcPr>
            <w:tcW w:type="dxa" w:w="2000"/>
            <w:tcMar>
              <w:top w:type="dxa" w:w="70"/>
              <w:left w:type="dxa" w:w="100"/>
              <w:bottom w:type="dxa" w:w="70"/>
              <w:right w:type="dxa" w:w="100"/>
            </w:tcMar>
            <w:vAlign w:val="center"/>
          </w:tcPr>
          <w:p>
            <w:r>
              <w:rPr>
                <w:sz w:val="17"/>
                <w:szCs w:val="17"/>
              </w:rPr>
              <w:t xml:space="preserve">Maintainability</w:t>
            </w:r>
          </w:p>
        </w:tc>
        <w:tc>
          <w:tcPr>
            <w:tcW w:type="dxa" w:w="6100"/>
            <w:tcMar>
              <w:top w:type="dxa" w:w="70"/>
              <w:left w:type="dxa" w:w="100"/>
              <w:bottom w:type="dxa" w:w="70"/>
              <w:right w:type="dxa" w:w="100"/>
            </w:tcMar>
            <w:vAlign w:val="center"/>
          </w:tcPr>
          <w:p>
            <w:r>
              <w:rPr>
                <w:sz w:val="17"/>
                <w:szCs w:val="17"/>
              </w:rPr>
              <w:t xml:space="preserve">Business logic (parsing, correlation, AI integration) must be isolated in dedicated modules, not embedded in views.</w:t>
            </w:r>
          </w:p>
        </w:tc>
      </w:tr>
      <w:tr>
        <w:tc>
          <w:tcPr>
            <w:tcW w:type="dxa" w:w="1300"/>
            <w:tcMar>
              <w:top w:type="dxa" w:w="70"/>
              <w:left w:type="dxa" w:w="100"/>
              <w:bottom w:type="dxa" w:w="70"/>
              <w:right w:type="dxa" w:w="100"/>
            </w:tcMar>
            <w:vAlign w:val="center"/>
          </w:tcPr>
          <w:p>
            <w:r>
              <w:rPr>
                <w:sz w:val="17"/>
                <w:szCs w:val="17"/>
              </w:rPr>
              <w:t xml:space="preserve">NFR-06</w:t>
            </w:r>
          </w:p>
        </w:tc>
        <w:tc>
          <w:tcPr>
            <w:tcW w:type="dxa" w:w="2000"/>
            <w:tcMar>
              <w:top w:type="dxa" w:w="70"/>
              <w:left w:type="dxa" w:w="100"/>
              <w:bottom w:type="dxa" w:w="70"/>
              <w:right w:type="dxa" w:w="100"/>
            </w:tcMar>
            <w:vAlign w:val="center"/>
          </w:tcPr>
          <w:p>
            <w:r>
              <w:rPr>
                <w:sz w:val="17"/>
                <w:szCs w:val="17"/>
              </w:rPr>
              <w:t xml:space="preserve">Accessibility</w:t>
            </w:r>
          </w:p>
        </w:tc>
        <w:tc>
          <w:tcPr>
            <w:tcW w:type="dxa" w:w="6100"/>
            <w:tcMar>
              <w:top w:type="dxa" w:w="70"/>
              <w:left w:type="dxa" w:w="100"/>
              <w:bottom w:type="dxa" w:w="70"/>
              <w:right w:type="dxa" w:w="100"/>
            </w:tcMar>
            <w:vAlign w:val="center"/>
          </w:tcPr>
          <w:p>
            <w:r>
              <w:rPr>
                <w:sz w:val="17"/>
                <w:szCs w:val="17"/>
              </w:rPr>
              <w:t xml:space="preserve">The interface must support both dark and light themes and remain usable on mobile viewports (&lt;768px).</w:t>
            </w:r>
          </w:p>
        </w:tc>
      </w:tr>
      <w:tr>
        <w:tc>
          <w:tcPr>
            <w:tcW w:type="dxa" w:w="1300"/>
            <w:tcMar>
              <w:top w:type="dxa" w:w="70"/>
              <w:left w:type="dxa" w:w="100"/>
              <w:bottom w:type="dxa" w:w="70"/>
              <w:right w:type="dxa" w:w="100"/>
            </w:tcMar>
            <w:vAlign w:val="center"/>
          </w:tcPr>
          <w:p>
            <w:r>
              <w:rPr>
                <w:sz w:val="17"/>
                <w:szCs w:val="17"/>
              </w:rPr>
              <w:t xml:space="preserve">NFR-07</w:t>
            </w:r>
          </w:p>
        </w:tc>
        <w:tc>
          <w:tcPr>
            <w:tcW w:type="dxa" w:w="2000"/>
            <w:tcMar>
              <w:top w:type="dxa" w:w="70"/>
              <w:left w:type="dxa" w:w="100"/>
              <w:bottom w:type="dxa" w:w="70"/>
              <w:right w:type="dxa" w:w="100"/>
            </w:tcMar>
            <w:vAlign w:val="center"/>
          </w:tcPr>
          <w:p>
            <w:r>
              <w:rPr>
                <w:sz w:val="17"/>
                <w:szCs w:val="17"/>
              </w:rPr>
              <w:t xml:space="preserve">Availability of AI features</w:t>
            </w:r>
          </w:p>
        </w:tc>
        <w:tc>
          <w:tcPr>
            <w:tcW w:type="dxa" w:w="6100"/>
            <w:tcMar>
              <w:top w:type="dxa" w:w="70"/>
              <w:left w:type="dxa" w:w="100"/>
              <w:bottom w:type="dxa" w:w="70"/>
              <w:right w:type="dxa" w:w="100"/>
            </w:tcMar>
            <w:vAlign w:val="center"/>
          </w:tcPr>
          <w:p>
            <w:r>
              <w:rPr>
                <w:sz w:val="17"/>
                <w:szCs w:val="17"/>
              </w:rPr>
              <w:t xml:space="preserve">The system must degrade gracefully to static suggestions if no OpenAI API key is configured, rather than failing.</w:t>
            </w:r>
          </w:p>
        </w:tc>
      </w:tr>
    </w:tbl>
    <w:p>
      <w:pPr>
        <w:pStyle w:val="Heading2"/>
        <w:spacing w:after="140" w:before="300"/>
      </w:pPr>
      <w:r>
        <w:rPr>
          <w:b/>
          <w:bCs/>
          <w:color w:val="2E74B5"/>
        </w:rPr>
        <w:t xml:space="preserve">4.3 Use-Case Actors</w:t>
      </w:r>
    </w:p>
    <w:p>
      <w:pPr>
        <w:pStyle w:val="ListParagraph"/>
        <w:numPr>
          <w:ilvl w:val="0"/>
          <w:numId w:val="1"/>
        </w:numPr>
        <w:spacing w:after="80"/>
      </w:pPr>
      <w:r>
        <w:t xml:space="preserve">Security Analyst — the primary user; uploads logs, triages alerts, runs investigations, generates reports.</w:t>
      </w:r>
    </w:p>
    <w:p>
      <w:pPr>
        <w:pStyle w:val="ListParagraph"/>
        <w:numPr>
          <w:ilvl w:val="0"/>
          <w:numId w:val="1"/>
        </w:numPr>
        <w:spacing w:after="80"/>
      </w:pPr>
      <w:r>
        <w:t xml:space="preserve">System Administrator — a superset of the Analyst role with additional user-management and system-configuration privileges.</w:t>
      </w:r>
    </w:p>
    <w:p>
      <w:pPr>
        <w:pStyle w:val="ListParagraph"/>
        <w:numPr>
          <w:ilvl w:val="0"/>
          <w:numId w:val="1"/>
        </w:numPr>
        <w:spacing w:after="80"/>
      </w:pPr>
      <w:r>
        <w:t xml:space="preserve">Log Sources (external) — servers, firewalls, and applications that produce the raw log data ingested by the system.</w:t>
      </w:r>
    </w:p>
    <w:p>
      <w:pPr>
        <w:pStyle w:val="ListParagraph"/>
        <w:numPr>
          <w:ilvl w:val="0"/>
          <w:numId w:val="1"/>
        </w:numPr>
        <w:spacing w:after="80"/>
      </w:pPr>
      <w:r>
        <w:t xml:space="preserve">Threat Intelligence Feeds (external) — sources of Indicators of Compromise (IOCs) consumed by the detection engine.</w:t>
      </w:r>
    </w:p>
    <w:p>
      <w:r>
        <w:br w:type="page"/>
      </w:r>
    </w:p>
    <w:p>
      <w:pPr>
        <w:pStyle w:val="Heading1"/>
        <w:spacing w:after="200" w:before="420"/>
      </w:pPr>
      <w:r>
        <w:rPr>
          <w:b/>
          <w:bCs/>
          <w:color w:val="1F3864"/>
        </w:rPr>
        <w:t xml:space="preserve">5. System Analysis &amp; Design</w:t>
      </w:r>
    </w:p>
    <w:p>
      <w:pPr>
        <w:pStyle w:val="Heading2"/>
        <w:spacing w:after="140" w:before="300"/>
      </w:pPr>
      <w:r>
        <w:rPr>
          <w:b/>
          <w:bCs/>
          <w:color w:val="2E74B5"/>
        </w:rPr>
        <w:t xml:space="preserve">5.1 System Architecture</w:t>
      </w:r>
    </w:p>
    <w:p>
      <w:pPr>
        <w:spacing w:after="160" w:line="300"/>
      </w:pPr>
      <w:r>
        <w:t xml:space="preserve">Rebaden is organised as a linear, six-stage processing pipeline. Logs enter the system, are normalised and enriched, matched against detection logic, escalated into alerts, correlated into investigations, and ultimately surfaced through reports and compliance tracking. Each stage is backed by its own data models and view logic, but all stages share a single Django application and a single database, keeping the operational footprint small.</w:t>
      </w:r>
    </w:p>
    <w:p>
      <w:pPr>
        <w:spacing w:after="120" w:before="150"/>
        <w:jc w:val="center"/>
      </w:pPr>
      <w:r>
        <w:drawing>
          <wp:inline distT="0" distB="0" distL="0" distR="0">
            <wp:extent cx="5334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81525"/>
                    </a:xfrm>
                    <a:prstGeom prst="rect">
                      <a:avLst/>
                    </a:prstGeom>
                  </pic:spPr>
                </pic:pic>
              </a:graphicData>
            </a:graphic>
          </wp:inline>
        </w:drawing>
      </w:r>
    </w:p>
    <w:p>
      <w:pPr>
        <w:spacing w:after="280"/>
        <w:jc w:val="center"/>
      </w:pPr>
      <w:r>
        <w:rPr>
          <w:i/>
          <w:iCs/>
          <w:color w:val="595959"/>
          <w:sz w:val="18"/>
          <w:szCs w:val="18"/>
        </w:rPr>
        <w:t xml:space="preserve">Figure 5.1: REBADEN high-level system architecture (six-stage processing pipeline)</w:t>
      </w:r>
    </w:p>
    <w:p>
      <w:pPr>
        <w:pStyle w:val="Heading2"/>
        <w:spacing w:after="140" w:before="300"/>
      </w:pPr>
      <w:r>
        <w:rPr>
          <w:b/>
          <w:bCs/>
          <w:color w:val="2E74B5"/>
        </w:rPr>
        <w:t xml:space="preserve">5.2 Data Flow Diagrams</w:t>
      </w:r>
    </w:p>
    <w:p>
      <w:pPr>
        <w:spacing w:after="160" w:line="300"/>
      </w:pPr>
      <w:r>
        <w:t xml:space="preserve">Data Flow Diagrams (DFDs) were used during design to validate that every piece of data entering or leaving the system had a clear source, destination, and transforming process. Figure 5.2 shows the Level-0 (context) diagram; Figure 5.3 decomposes the system into its Level-1 processes and data stores.</w:t>
      </w:r>
    </w:p>
    <w:p>
      <w:pPr>
        <w:pStyle w:val="Heading3"/>
        <w:spacing w:after="100" w:before="220"/>
      </w:pPr>
      <w:r>
        <w:rPr>
          <w:b/>
          <w:bCs/>
          <w:color w:val="333333"/>
        </w:rPr>
        <w:t xml:space="preserve">5.2.1 Level-0 DFD — System Context</w:t>
      </w:r>
    </w:p>
    <w:p>
      <w:pPr>
        <w:spacing w:after="120" w:before="150"/>
        <w:jc w:val="center"/>
      </w:pPr>
      <w:r>
        <w:drawing>
          <wp:inline distT="0" distB="0" distL="0" distR="0">
            <wp:extent cx="4953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38550"/>
                    </a:xfrm>
                    <a:prstGeom prst="rect">
                      <a:avLst/>
                    </a:prstGeom>
                  </pic:spPr>
                </pic:pic>
              </a:graphicData>
            </a:graphic>
          </wp:inline>
        </w:drawing>
      </w:r>
    </w:p>
    <w:p>
      <w:pPr>
        <w:spacing w:after="280"/>
        <w:jc w:val="center"/>
      </w:pPr>
      <w:r>
        <w:rPr>
          <w:i/>
          <w:iCs/>
          <w:color w:val="595959"/>
          <w:sz w:val="18"/>
          <w:szCs w:val="18"/>
        </w:rPr>
        <w:t xml:space="preserve">Figure 5.2: Level-0 Data Flow Diagram (System Context Diagram)</w:t>
      </w:r>
    </w:p>
    <w:p>
      <w:pPr>
        <w:spacing w:after="160" w:line="300"/>
      </w:pPr>
      <w:r>
        <w:t xml:space="preserve">At the context level, Rebaden exchanges data with four external entities: Log Sources supply raw log streams; Security Analysts submit searches, case actions, and report requests and receive alerts, dashboards, and reports in return; Threat Intelligence Feeds supply IOC updates; and System Administrators push configuration, user, and detection-rule changes while receiving compliance reports.</w:t>
      </w:r>
    </w:p>
    <w:p>
      <w:pPr>
        <w:pStyle w:val="Heading3"/>
        <w:spacing w:after="100" w:before="220"/>
      </w:pPr>
      <w:r>
        <w:rPr>
          <w:b/>
          <w:bCs/>
          <w:color w:val="333333"/>
        </w:rPr>
        <w:t xml:space="preserve">5.2.2 Level-1 DFD — Major Processes</w:t>
      </w:r>
    </w:p>
    <w:p>
      <w:pPr>
        <w:spacing w:after="120" w:before="150"/>
        <w:jc w:val="center"/>
      </w:pPr>
      <w:r>
        <w:drawing>
          <wp:inline distT="0" distB="0" distL="0" distR="0">
            <wp:extent cx="6096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533900"/>
                    </a:xfrm>
                    <a:prstGeom prst="rect">
                      <a:avLst/>
                    </a:prstGeom>
                  </pic:spPr>
                </pic:pic>
              </a:graphicData>
            </a:graphic>
          </wp:inline>
        </w:drawing>
      </w:r>
    </w:p>
    <w:p>
      <w:pPr>
        <w:spacing w:after="280"/>
        <w:jc w:val="center"/>
      </w:pPr>
      <w:r>
        <w:rPr>
          <w:i/>
          <w:iCs/>
          <w:color w:val="595959"/>
          <w:sz w:val="18"/>
          <w:szCs w:val="18"/>
        </w:rPr>
        <w:t xml:space="preserve">Figure 5.3: Level-1 Data Flow Diagram — major processes and data stores</w:t>
      </w:r>
    </w:p>
    <w:p>
      <w:pPr>
        <w:spacing w:after="160" w:line="300"/>
      </w:pPr>
      <w:r>
        <w:t xml:space="preserve">The Level-1 decomposition identifies six core processes and five persistent data stores: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tblHeader/>
        </w:trPr>
        <w:tc>
          <w:tcPr>
            <w:tcW w:type="dxa" w:w="2900"/>
            <w:shd w:fill="1F3864" w:val="clear"/>
            <w:tcMar>
              <w:top w:type="dxa" w:w="80"/>
              <w:left w:type="dxa" w:w="100"/>
              <w:bottom w:type="dxa" w:w="80"/>
              <w:right w:type="dxa" w:w="100"/>
            </w:tcMar>
            <w:vAlign w:val="center"/>
          </w:tcPr>
          <w:p>
            <w:r>
              <w:rPr>
                <w:b/>
                <w:bCs/>
                <w:color w:val="FFFFFF"/>
                <w:sz w:val="18"/>
                <w:szCs w:val="18"/>
              </w:rPr>
              <w:t xml:space="preserve">Process</w:t>
            </w:r>
          </w:p>
        </w:tc>
        <w:tc>
          <w:tcPr>
            <w:tcW w:type="dxa" w:w="6500"/>
            <w:shd w:fill="1F3864" w:val="clear"/>
            <w:tcMar>
              <w:top w:type="dxa" w:w="80"/>
              <w:left w:type="dxa" w:w="100"/>
              <w:bottom w:type="dxa" w:w="80"/>
              <w:right w:type="dxa" w:w="100"/>
            </w:tcMar>
            <w:vAlign w:val="center"/>
          </w:tcPr>
          <w:p>
            <w:r>
              <w:rPr>
                <w:b/>
                <w:bCs/>
                <w:color w:val="FFFFFF"/>
                <w:sz w:val="18"/>
                <w:szCs w:val="18"/>
              </w:rPr>
              <w:t xml:space="preserve">Responsibility</w:t>
            </w:r>
          </w:p>
        </w:tc>
      </w:tr>
      <w:tr>
        <w:tc>
          <w:tcPr>
            <w:tcW w:type="dxa" w:w="2900"/>
            <w:tcMar>
              <w:top w:type="dxa" w:w="70"/>
              <w:left w:type="dxa" w:w="100"/>
              <w:bottom w:type="dxa" w:w="70"/>
              <w:right w:type="dxa" w:w="100"/>
            </w:tcMar>
            <w:vAlign w:val="center"/>
          </w:tcPr>
          <w:p>
            <w:r>
              <w:rPr>
                <w:sz w:val="18"/>
                <w:szCs w:val="18"/>
              </w:rPr>
              <w:t xml:space="preserve">1.0 Log Ingestion &amp; Parsing</w:t>
            </w:r>
          </w:p>
        </w:tc>
        <w:tc>
          <w:tcPr>
            <w:tcW w:type="dxa" w:w="6500"/>
            <w:tcMar>
              <w:top w:type="dxa" w:w="70"/>
              <w:left w:type="dxa" w:w="100"/>
              <w:bottom w:type="dxa" w:w="70"/>
              <w:right w:type="dxa" w:w="100"/>
            </w:tcMar>
            <w:vAlign w:val="center"/>
          </w:tcPr>
          <w:p>
            <w:r>
              <w:rPr>
                <w:sz w:val="18"/>
                <w:szCs w:val="18"/>
              </w:rPr>
              <w:t xml:space="preserve">Receives raw logs, detects format, extracts fields, writes parsed events to D1</w:t>
            </w:r>
          </w:p>
        </w:tc>
      </w:tr>
      <w:tr>
        <w:tc>
          <w:tcPr>
            <w:tcW w:type="dxa" w:w="2900"/>
            <w:tcMar>
              <w:top w:type="dxa" w:w="70"/>
              <w:left w:type="dxa" w:w="100"/>
              <w:bottom w:type="dxa" w:w="70"/>
              <w:right w:type="dxa" w:w="100"/>
            </w:tcMar>
            <w:vAlign w:val="center"/>
          </w:tcPr>
          <w:p>
            <w:r>
              <w:rPr>
                <w:sz w:val="18"/>
                <w:szCs w:val="18"/>
              </w:rPr>
              <w:t xml:space="preserve">2.0 Detection &amp; Correlation</w:t>
            </w:r>
          </w:p>
        </w:tc>
        <w:tc>
          <w:tcPr>
            <w:tcW w:type="dxa" w:w="6500"/>
            <w:tcMar>
              <w:top w:type="dxa" w:w="70"/>
              <w:left w:type="dxa" w:w="100"/>
              <w:bottom w:type="dxa" w:w="70"/>
              <w:right w:type="dxa" w:w="100"/>
            </w:tcMar>
            <w:vAlign w:val="center"/>
          </w:tcPr>
          <w:p>
            <w:r>
              <w:rPr>
                <w:sz w:val="18"/>
                <w:szCs w:val="18"/>
              </w:rPr>
              <w:t xml:space="preserve">Evaluates parsed events against rules, thresholds, and IOC matches (D3)</w:t>
            </w:r>
          </w:p>
        </w:tc>
      </w:tr>
      <w:tr>
        <w:tc>
          <w:tcPr>
            <w:tcW w:type="dxa" w:w="2900"/>
            <w:tcMar>
              <w:top w:type="dxa" w:w="70"/>
              <w:left w:type="dxa" w:w="100"/>
              <w:bottom w:type="dxa" w:w="70"/>
              <w:right w:type="dxa" w:w="100"/>
            </w:tcMar>
            <w:vAlign w:val="center"/>
          </w:tcPr>
          <w:p>
            <w:r>
              <w:rPr>
                <w:sz w:val="18"/>
                <w:szCs w:val="18"/>
              </w:rPr>
              <w:t xml:space="preserve">3.0 Alert Management</w:t>
            </w:r>
          </w:p>
        </w:tc>
        <w:tc>
          <w:tcPr>
            <w:tcW w:type="dxa" w:w="6500"/>
            <w:tcMar>
              <w:top w:type="dxa" w:w="70"/>
              <w:left w:type="dxa" w:w="100"/>
              <w:bottom w:type="dxa" w:w="70"/>
              <w:right w:type="dxa" w:w="100"/>
            </w:tcMar>
            <w:vAlign w:val="center"/>
          </w:tcPr>
          <w:p>
            <w:r>
              <w:rPr>
                <w:sz w:val="18"/>
                <w:szCs w:val="18"/>
              </w:rPr>
              <w:t xml:space="preserve">Creates and tracks alerts (D2) through their lifecycle, consuming reports history (D5) for deduplication context</w:t>
            </w:r>
          </w:p>
        </w:tc>
      </w:tr>
      <w:tr>
        <w:tc>
          <w:tcPr>
            <w:tcW w:type="dxa" w:w="2900"/>
            <w:tcMar>
              <w:top w:type="dxa" w:w="70"/>
              <w:left w:type="dxa" w:w="100"/>
              <w:bottom w:type="dxa" w:w="70"/>
              <w:right w:type="dxa" w:w="100"/>
            </w:tcMar>
            <w:vAlign w:val="center"/>
          </w:tcPr>
          <w:p>
            <w:r>
              <w:rPr>
                <w:sz w:val="18"/>
                <w:szCs w:val="18"/>
              </w:rPr>
              <w:t xml:space="preserve">4.0 Investigation Management</w:t>
            </w:r>
          </w:p>
        </w:tc>
        <w:tc>
          <w:tcPr>
            <w:tcW w:type="dxa" w:w="6500"/>
            <w:tcMar>
              <w:top w:type="dxa" w:w="70"/>
              <w:left w:type="dxa" w:w="100"/>
              <w:bottom w:type="dxa" w:w="70"/>
              <w:right w:type="dxa" w:w="100"/>
            </w:tcMar>
            <w:vAlign w:val="center"/>
          </w:tcPr>
          <w:p>
            <w:r>
              <w:rPr>
                <w:sz w:val="18"/>
                <w:szCs w:val="18"/>
              </w:rPr>
              <w:t xml:space="preserve">Manages investigation cases (D4), timelines, notes, and evidence</w:t>
            </w:r>
          </w:p>
        </w:tc>
      </w:tr>
      <w:tr>
        <w:tc>
          <w:tcPr>
            <w:tcW w:type="dxa" w:w="2900"/>
            <w:tcMar>
              <w:top w:type="dxa" w:w="70"/>
              <w:left w:type="dxa" w:w="100"/>
              <w:bottom w:type="dxa" w:w="70"/>
              <w:right w:type="dxa" w:w="100"/>
            </w:tcMar>
            <w:vAlign w:val="center"/>
          </w:tcPr>
          <w:p>
            <w:r>
              <w:rPr>
                <w:sz w:val="18"/>
                <w:szCs w:val="18"/>
              </w:rPr>
              <w:t xml:space="preserve">5.0 Reporting &amp; Compliance</w:t>
            </w:r>
          </w:p>
        </w:tc>
        <w:tc>
          <w:tcPr>
            <w:tcW w:type="dxa" w:w="6500"/>
            <w:tcMar>
              <w:top w:type="dxa" w:w="70"/>
              <w:left w:type="dxa" w:w="100"/>
              <w:bottom w:type="dxa" w:w="70"/>
              <w:right w:type="dxa" w:w="100"/>
            </w:tcMar>
            <w:vAlign w:val="center"/>
          </w:tcPr>
          <w:p>
            <w:r>
              <w:rPr>
                <w:sz w:val="18"/>
                <w:szCs w:val="18"/>
              </w:rPr>
              <w:t xml:space="preserve">Aggregates data from all stores into exportable reports</w:t>
            </w:r>
          </w:p>
        </w:tc>
      </w:tr>
      <w:tr>
        <w:tc>
          <w:tcPr>
            <w:tcW w:type="dxa" w:w="2900"/>
            <w:tcMar>
              <w:top w:type="dxa" w:w="70"/>
              <w:left w:type="dxa" w:w="100"/>
              <w:bottom w:type="dxa" w:w="70"/>
              <w:right w:type="dxa" w:w="100"/>
            </w:tcMar>
            <w:vAlign w:val="center"/>
          </w:tcPr>
          <w:p>
            <w:r>
              <w:rPr>
                <w:sz w:val="18"/>
                <w:szCs w:val="18"/>
              </w:rPr>
              <w:t xml:space="preserve">6.0 User &amp; Access Management</w:t>
            </w:r>
          </w:p>
        </w:tc>
        <w:tc>
          <w:tcPr>
            <w:tcW w:type="dxa" w:w="6500"/>
            <w:tcMar>
              <w:top w:type="dxa" w:w="70"/>
              <w:left w:type="dxa" w:w="100"/>
              <w:bottom w:type="dxa" w:w="70"/>
              <w:right w:type="dxa" w:w="100"/>
            </w:tcMar>
            <w:vAlign w:val="center"/>
          </w:tcPr>
          <w:p>
            <w:r>
              <w:rPr>
                <w:sz w:val="18"/>
                <w:szCs w:val="18"/>
              </w:rPr>
              <w:t xml:space="preserve">Handles authentication, role checks, and audit logging for all analyst and administrator actions</w:t>
            </w:r>
          </w:p>
        </w:tc>
      </w:tr>
    </w:tbl>
    <w:p>
      <w:pPr>
        <w:pStyle w:val="Heading2"/>
        <w:spacing w:after="140" w:before="300"/>
      </w:pPr>
      <w:r>
        <w:rPr>
          <w:b/>
          <w:bCs/>
          <w:color w:val="2E74B5"/>
        </w:rPr>
        <w:t xml:space="preserve">5.3 Data Model</w:t>
      </w:r>
    </w:p>
    <w:p>
      <w:pPr>
        <w:spacing w:after="160" w:line="300"/>
      </w:pPr>
      <w:r>
        <w:t xml:space="preserve">The data model hierarchy reflects the natural lifecycle of a security investigation, from an uploaded file down to a closed, reported case: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7"/>
          <w:szCs w:val="17"/>
        </w:rPr>
        <w:t xml:space="preserve">LogFile (uploaded file metadata)</w:t>
      </w:r>
      <w:r>
        <w:rPr>
          <w:rFonts w:ascii="Consolas" w:cs="Consolas" w:eastAsia="Consolas" w:hAnsi="Consolas"/>
          <w:color w:val="333333"/>
          <w:sz w:val="17"/>
          <w:szCs w:val="17"/>
        </w:rPr>
        <w:br/>
        <w:t xml:space="preserve">   └─▶ LogEntry (raw log line, unparsed)</w:t>
      </w:r>
      <w:r>
        <w:rPr>
          <w:rFonts w:ascii="Consolas" w:cs="Consolas" w:eastAsia="Consolas" w:hAnsi="Consolas"/>
          <w:color w:val="333333"/>
          <w:sz w:val="17"/>
          <w:szCs w:val="17"/>
        </w:rPr>
        <w:br/>
        <w:t xml:space="preserve">         └─▶ ParsedEvent (classified event: severity, source IP, type)</w:t>
      </w:r>
      <w:r>
        <w:rPr>
          <w:rFonts w:ascii="Consolas" w:cs="Consolas" w:eastAsia="Consolas" w:hAnsi="Consolas"/>
          <w:color w:val="333333"/>
          <w:sz w:val="17"/>
          <w:szCs w:val="17"/>
        </w:rPr>
        <w:br/>
        <w:t xml:space="preserve">               └─▶ Alert (correlated from one or more events; lifecycle status)</w:t>
      </w:r>
      <w:r>
        <w:rPr>
          <w:rFonts w:ascii="Consolas" w:cs="Consolas" w:eastAsia="Consolas" w:hAnsi="Consolas"/>
          <w:color w:val="333333"/>
          <w:sz w:val="17"/>
          <w:szCs w:val="17"/>
        </w:rPr>
        <w:br/>
        <w:t xml:space="preserve">                     └─▶ Investigation (analyst case with notes &amp; findings)</w:t>
      </w:r>
      <w:r>
        <w:rPr>
          <w:rFonts w:ascii="Consolas" w:cs="Consolas" w:eastAsia="Consolas" w:hAnsi="Consolas"/>
          <w:color w:val="333333"/>
          <w:sz w:val="17"/>
          <w:szCs w:val="17"/>
        </w:rPr>
        <w:br/>
        <w:t xml:space="preserve">                           ├─▶ InvestigationNote (timestamped annotation)</w:t>
      </w:r>
      <w:r>
        <w:rPr>
          <w:rFonts w:ascii="Consolas" w:cs="Consolas" w:eastAsia="Consolas" w:hAnsi="Consolas"/>
          <w:color w:val="333333"/>
          <w:sz w:val="17"/>
          <w:szCs w:val="17"/>
        </w:rPr>
        <w:br/>
        <w:t xml:space="preserve">                           ├─▶ InvestigationTimeline (chronological event linkage)</w:t>
      </w:r>
      <w:r>
        <w:rPr>
          <w:rFonts w:ascii="Consolas" w:cs="Consolas" w:eastAsia="Consolas" w:hAnsi="Consolas"/>
          <w:color w:val="333333"/>
          <w:sz w:val="17"/>
          <w:szCs w:val="17"/>
        </w:rPr>
        <w:br/>
        <w:t xml:space="preserve">                           ├─▶ Evidence (files/hashes with chain of custody)</w:t>
      </w:r>
      <w:r>
        <w:rPr>
          <w:rFonts w:ascii="Consolas" w:cs="Consolas" w:eastAsia="Consolas" w:hAnsi="Consolas"/>
          <w:color w:val="333333"/>
          <w:sz w:val="17"/>
          <w:szCs w:val="17"/>
        </w:rPr>
        <w:br/>
        <w:t xml:space="preserve">                           └─▶ RecommendedAction (AI-generated checklist item)</w:t>
      </w:r>
    </w:p>
    <w:p>
      <w:pPr>
        <w:spacing w:after="160" w:line="300"/>
      </w:pPr>
      <w:r>
        <w:t xml:space="preserve">This hierarchy is supplemented by cross-cutting models that support the wider platform: AnalystProfile (extends the built-in Django User with role and contact metadata), Asset and LogSource (track monitored infrastructure and log collection endpoints), MitreTactic / MitreTechnique / MITREMapping (ATT&amp;CK framework integration), IOC / ThreatFeed / ThreatActor (threat-intelligence entities), ComplianceFramework / ComplianceCheck (regulatory tracking), Playbook / PlaybookExecution (automated response), NotificationChannel / NotificationRule, AuditLog, SavedSearch, and Report / ReportExport. In total the schema comprises more than 25 interlinked models.</w:t>
      </w:r>
    </w:p>
    <w:p>
      <w:pPr>
        <w:pStyle w:val="Heading2"/>
        <w:spacing w:after="140" w:before="300"/>
      </w:pPr>
      <w:r>
        <w:rPr>
          <w:b/>
          <w:bCs/>
          <w:color w:val="2E74B5"/>
        </w:rPr>
        <w:t xml:space="preserve">5.4 Workflow Design</w:t>
      </w:r>
    </w:p>
    <w:p>
      <w:pPr>
        <w:spacing w:after="160" w:line="300"/>
      </w:pPr>
      <w:r>
        <w:t xml:space="preserve">Three workflows were modelled explicitly because they represent the system's core value: turning a raw log line into a resolved, reported security outcome.</w:t>
      </w:r>
    </w:p>
    <w:p>
      <w:pPr>
        <w:pStyle w:val="Heading3"/>
        <w:spacing w:after="100" w:before="220"/>
      </w:pPr>
      <w:r>
        <w:rPr>
          <w:b/>
          <w:bCs/>
          <w:color w:val="333333"/>
        </w:rPr>
        <w:t xml:space="preserve">5.4.1 Log Ingestion &amp; Detection Workflow</w:t>
      </w:r>
    </w:p>
    <w:p>
      <w:pPr>
        <w:spacing w:after="120" w:before="150"/>
        <w:jc w:val="center"/>
      </w:pPr>
      <w:r>
        <w:drawing>
          <wp:inline distT="0" distB="0" distL="0" distR="0">
            <wp:extent cx="5334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362450"/>
                    </a:xfrm>
                    <a:prstGeom prst="rect">
                      <a:avLst/>
                    </a:prstGeom>
                  </pic:spPr>
                </pic:pic>
              </a:graphicData>
            </a:graphic>
          </wp:inline>
        </w:drawing>
      </w:r>
    </w:p>
    <w:p>
      <w:pPr>
        <w:spacing w:after="280"/>
        <w:jc w:val="center"/>
      </w:pPr>
      <w:r>
        <w:rPr>
          <w:i/>
          <w:iCs/>
          <w:color w:val="595959"/>
          <w:sz w:val="18"/>
          <w:szCs w:val="18"/>
        </w:rPr>
        <w:t xml:space="preserve">Figure 5.4: Log ingestion and threat-detection workflow</w:t>
      </w:r>
    </w:p>
    <w:p>
      <w:pPr>
        <w:spacing w:after="160" w:line="300"/>
      </w:pPr>
      <w:r>
        <w:t xml:space="preserve">A raw log line — whether received via syslog, file upload, or API push — is parsed and enriched by LogParser.parse(), which auto-detects the source format, extracts structured fields, and applies GeoIP/ASN enrichment where relevant. The resulting Event is evaluated against signature rules, threshold rules, IOC matches, and an anomaly score; if any check exceeds its configured threshold, an Alert is created, classified by severity, mapped to a MITRE ATT&amp;CK technique, routed through notification rules, and assigned to an investigation for analyst review. Events that do not trigger a rule are retained (logged) but do not generate an alert.</w:t>
      </w:r>
    </w:p>
    <w:p>
      <w:pPr>
        <w:pStyle w:val="Heading3"/>
        <w:spacing w:after="100" w:before="220"/>
      </w:pPr>
      <w:r>
        <w:rPr>
          <w:b/>
          <w:bCs/>
          <w:color w:val="333333"/>
        </w:rPr>
        <w:t xml:space="preserve">5.4.2 Alert Lifecycle</w:t>
      </w:r>
    </w:p>
    <w:p>
      <w:pPr>
        <w:spacing w:after="120" w:before="15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66975"/>
                    </a:xfrm>
                    <a:prstGeom prst="rect">
                      <a:avLst/>
                    </a:prstGeom>
                  </pic:spPr>
                </pic:pic>
              </a:graphicData>
            </a:graphic>
          </wp:inline>
        </w:drawing>
      </w:r>
    </w:p>
    <w:p>
      <w:pPr>
        <w:spacing w:after="280"/>
        <w:jc w:val="center"/>
      </w:pPr>
      <w:r>
        <w:rPr>
          <w:i/>
          <w:iCs/>
          <w:color w:val="595959"/>
          <w:sz w:val="18"/>
          <w:szCs w:val="18"/>
        </w:rPr>
        <w:t xml:space="preserve">Figure 5.5: Alert lifecycle state diagram</w:t>
      </w:r>
    </w:p>
    <w:p>
      <w:pPr>
        <w:spacing w:after="160" w:line="300"/>
      </w:pPr>
      <w:r>
        <w:t xml:space="preserve">Every alert moves through a defined state machine: New alerts are assigned and Acknowledged/Investigating; once confirmed and remediated they become Resolved and are ultimately Closed after review. At the acknowledgement stage, an analyst may instead determine the alert is a False Positive, which removes it from the active queue without discarding its record — false positives remain available for tuning detection rules.</w:t>
      </w:r>
    </w:p>
    <w:p>
      <w:pPr>
        <w:pStyle w:val="Heading3"/>
        <w:spacing w:after="100" w:before="220"/>
      </w:pPr>
      <w:r>
        <w:rPr>
          <w:b/>
          <w:bCs/>
          <w:color w:val="333333"/>
        </w:rPr>
        <w:t xml:space="preserve">5.4.3 Investigation &amp; Incident-Response Workflow</w:t>
      </w:r>
    </w:p>
    <w:p>
      <w:pPr>
        <w:spacing w:after="120" w:before="15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48100"/>
                    </a:xfrm>
                    <a:prstGeom prst="rect">
                      <a:avLst/>
                    </a:prstGeom>
                  </pic:spPr>
                </pic:pic>
              </a:graphicData>
            </a:graphic>
          </wp:inline>
        </w:drawing>
      </w:r>
    </w:p>
    <w:p>
      <w:pPr>
        <w:spacing w:after="280"/>
        <w:jc w:val="center"/>
      </w:pPr>
      <w:r>
        <w:rPr>
          <w:i/>
          <w:iCs/>
          <w:color w:val="595959"/>
          <w:sz w:val="18"/>
          <w:szCs w:val="18"/>
        </w:rPr>
        <w:t xml:space="preserve">Figure 5.6: Investigation and incident-response workflow</w:t>
      </w:r>
    </w:p>
    <w:p>
      <w:pPr>
        <w:spacing w:after="160" w:line="300"/>
      </w:pPr>
      <w:r>
        <w:t xml:space="preserve">Once an investigation is opened — automatically from an alert or manually by an analyst — related events sharing a source IP, asset, or time window are correlated and assembled into a chronological timeline. The analyst adds notes, flags key findings as important, and collects evidence with a recorded chain of custody. Where applicable, a response playbook (e.g., disabling a compromised account) is executed automatically or semi-automatically. Once the analyst is satisfied the incident is contained, the investigation is closed with a recorded conclusion and threat level, and an incident report is generated, updating any relevant compliance checks.</w:t>
      </w:r>
    </w:p>
    <w:p>
      <w:pPr>
        <w:pStyle w:val="Heading2"/>
        <w:spacing w:after="140" w:before="300"/>
      </w:pPr>
      <w:r>
        <w:rPr>
          <w:b/>
          <w:bCs/>
          <w:color w:val="2E74B5"/>
        </w:rPr>
        <w:t xml:space="preserve">5.5 Database Design</w:t>
      </w:r>
    </w:p>
    <w:p>
      <w:pPr>
        <w:spacing w:after="160" w:line="300"/>
      </w:pPr>
      <w:r>
        <w:t xml:space="preserve">The system uses Django's ORM as an abstraction layer over the physical database, which allows the same model code to run against SQLite in development and PostgreSQL in production without modification. This was a deliberate non-functional requirement (NFR-04) to keep local development friction-free while ensuring the schema is production-ready from day one. Critical fields — timestamp, source IP, severity, and status — are indexed on the Event and Alert tables to keep filtering and time-range queries performant as data volume grows.</w:t>
      </w:r>
    </w:p>
    <w:p>
      <w:r>
        <w:br w:type="page"/>
      </w:r>
    </w:p>
    <w:p>
      <w:pPr>
        <w:pStyle w:val="Heading1"/>
        <w:spacing w:after="200" w:before="420"/>
      </w:pPr>
      <w:r>
        <w:rPr>
          <w:b/>
          <w:bCs/>
          <w:color w:val="1F3864"/>
        </w:rPr>
        <w:t xml:space="preserve">6. Technology Stack &amp; Infrastructure</w:t>
      </w:r>
    </w:p>
    <w:p>
      <w:pPr>
        <w:pStyle w:val="Heading2"/>
        <w:spacing w:after="140" w:before="300"/>
      </w:pPr>
      <w:r>
        <w:rPr>
          <w:b/>
          <w:bCs/>
          <w:color w:val="2E74B5"/>
        </w:rPr>
        <w:t xml:space="preserve">6.1 Backend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Component</w:t>
            </w:r>
          </w:p>
        </w:tc>
        <w:tc>
          <w:tcPr>
            <w:tcW w:type="dxa" w:w="3800"/>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2900"/>
            <w:shd w:fill="1F3864" w:val="clear"/>
            <w:tcMar>
              <w:top w:type="dxa" w:w="80"/>
              <w:left w:type="dxa" w:w="100"/>
              <w:bottom w:type="dxa" w:w="80"/>
              <w:right w:type="dxa" w:w="100"/>
            </w:tcMar>
            <w:vAlign w:val="center"/>
          </w:tcPr>
          <w:p>
            <w:r>
              <w:rPr>
                <w:b/>
                <w:bCs/>
                <w:color w:val="FFFFFF"/>
                <w:sz w:val="19"/>
                <w:szCs w:val="19"/>
              </w:rPr>
              <w:t xml:space="preserve">Version</w:t>
            </w:r>
          </w:p>
        </w:tc>
      </w:tr>
      <w:tr>
        <w:tc>
          <w:tcPr>
            <w:tcW w:type="dxa" w:w="2400"/>
            <w:tcMar>
              <w:top w:type="dxa" w:w="70"/>
              <w:left w:type="dxa" w:w="100"/>
              <w:bottom w:type="dxa" w:w="70"/>
              <w:right w:type="dxa" w:w="100"/>
            </w:tcMar>
            <w:vAlign w:val="center"/>
          </w:tcPr>
          <w:p>
            <w:r>
              <w:rPr>
                <w:sz w:val="19"/>
                <w:szCs w:val="19"/>
              </w:rPr>
              <w:t xml:space="preserve">Web framework</w:t>
            </w:r>
          </w:p>
        </w:tc>
        <w:tc>
          <w:tcPr>
            <w:tcW w:type="dxa" w:w="3800"/>
            <w:tcMar>
              <w:top w:type="dxa" w:w="70"/>
              <w:left w:type="dxa" w:w="100"/>
              <w:bottom w:type="dxa" w:w="70"/>
              <w:right w:type="dxa" w:w="100"/>
            </w:tcMar>
            <w:vAlign w:val="center"/>
          </w:tcPr>
          <w:p>
            <w:r>
              <w:rPr>
                <w:sz w:val="19"/>
                <w:szCs w:val="19"/>
              </w:rPr>
              <w:t xml:space="preserve">Django</w:t>
            </w:r>
          </w:p>
        </w:tc>
        <w:tc>
          <w:tcPr>
            <w:tcW w:type="dxa" w:w="2900"/>
            <w:tcMar>
              <w:top w:type="dxa" w:w="70"/>
              <w:left w:type="dxa" w:w="100"/>
              <w:bottom w:type="dxa" w:w="70"/>
              <w:right w:type="dxa" w:w="100"/>
            </w:tcMar>
            <w:vAlign w:val="center"/>
          </w:tcPr>
          <w:p>
            <w:r>
              <w:rPr>
                <w:sz w:val="19"/>
                <w:szCs w:val="19"/>
              </w:rPr>
              <w:t xml:space="preserve">4.2.x LTS</w:t>
            </w:r>
          </w:p>
        </w:tc>
      </w:tr>
      <w:tr>
        <w:tc>
          <w:tcPr>
            <w:tcW w:type="dxa" w:w="2400"/>
            <w:tcMar>
              <w:top w:type="dxa" w:w="70"/>
              <w:left w:type="dxa" w:w="100"/>
              <w:bottom w:type="dxa" w:w="70"/>
              <w:right w:type="dxa" w:w="100"/>
            </w:tcMar>
            <w:vAlign w:val="center"/>
          </w:tcPr>
          <w:p>
            <w:r>
              <w:rPr>
                <w:sz w:val="19"/>
                <w:szCs w:val="19"/>
              </w:rPr>
              <w:t xml:space="preserve">Language</w:t>
            </w:r>
          </w:p>
        </w:tc>
        <w:tc>
          <w:tcPr>
            <w:tcW w:type="dxa" w:w="3800"/>
            <w:tcMar>
              <w:top w:type="dxa" w:w="70"/>
              <w:left w:type="dxa" w:w="100"/>
              <w:bottom w:type="dxa" w:w="70"/>
              <w:right w:type="dxa" w:w="100"/>
            </w:tcMar>
            <w:vAlign w:val="center"/>
          </w:tcPr>
          <w:p>
            <w:r>
              <w:rPr>
                <w:sz w:val="19"/>
                <w:szCs w:val="19"/>
              </w:rPr>
              <w:t xml:space="preserve">Python</w:t>
            </w:r>
          </w:p>
        </w:tc>
        <w:tc>
          <w:tcPr>
            <w:tcW w:type="dxa" w:w="2900"/>
            <w:tcMar>
              <w:top w:type="dxa" w:w="70"/>
              <w:left w:type="dxa" w:w="100"/>
              <w:bottom w:type="dxa" w:w="70"/>
              <w:right w:type="dxa" w:w="100"/>
            </w:tcMar>
            <w:vAlign w:val="center"/>
          </w:tcPr>
          <w:p>
            <w:r>
              <w:rPr>
                <w:sz w:val="19"/>
                <w:szCs w:val="19"/>
              </w:rPr>
              <w:t xml:space="preserve">3.11+</w:t>
            </w:r>
          </w:p>
        </w:tc>
      </w:tr>
      <w:tr>
        <w:tc>
          <w:tcPr>
            <w:tcW w:type="dxa" w:w="2400"/>
            <w:tcMar>
              <w:top w:type="dxa" w:w="70"/>
              <w:left w:type="dxa" w:w="100"/>
              <w:bottom w:type="dxa" w:w="70"/>
              <w:right w:type="dxa" w:w="100"/>
            </w:tcMar>
            <w:vAlign w:val="center"/>
          </w:tcPr>
          <w:p>
            <w:r>
              <w:rPr>
                <w:sz w:val="19"/>
                <w:szCs w:val="19"/>
              </w:rPr>
              <w:t xml:space="preserve">Database (development)</w:t>
            </w:r>
          </w:p>
        </w:tc>
        <w:tc>
          <w:tcPr>
            <w:tcW w:type="dxa" w:w="3800"/>
            <w:tcMar>
              <w:top w:type="dxa" w:w="70"/>
              <w:left w:type="dxa" w:w="100"/>
              <w:bottom w:type="dxa" w:w="70"/>
              <w:right w:type="dxa" w:w="100"/>
            </w:tcMar>
            <w:vAlign w:val="center"/>
          </w:tcPr>
          <w:p>
            <w:r>
              <w:rPr>
                <w:sz w:val="19"/>
                <w:szCs w:val="19"/>
              </w:rPr>
              <w:t xml:space="preserve">SQLite</w:t>
            </w:r>
          </w:p>
        </w:tc>
        <w:tc>
          <w:tcPr>
            <w:tcW w:type="dxa" w:w="2900"/>
            <w:tcMar>
              <w:top w:type="dxa" w:w="70"/>
              <w:left w:type="dxa" w:w="100"/>
              <w:bottom w:type="dxa" w:w="70"/>
              <w:right w:type="dxa" w:w="100"/>
            </w:tcMar>
            <w:vAlign w:val="center"/>
          </w:tcPr>
          <w:p>
            <w:r>
              <w:rPr>
                <w:sz w:val="19"/>
                <w:szCs w:val="19"/>
              </w:rPr>
              <w:t xml:space="preserve">db.sqlite3</w:t>
            </w:r>
          </w:p>
        </w:tc>
      </w:tr>
      <w:tr>
        <w:tc>
          <w:tcPr>
            <w:tcW w:type="dxa" w:w="2400"/>
            <w:tcMar>
              <w:top w:type="dxa" w:w="70"/>
              <w:left w:type="dxa" w:w="100"/>
              <w:bottom w:type="dxa" w:w="70"/>
              <w:right w:type="dxa" w:w="100"/>
            </w:tcMar>
            <w:vAlign w:val="center"/>
          </w:tcPr>
          <w:p>
            <w:r>
              <w:rPr>
                <w:sz w:val="19"/>
                <w:szCs w:val="19"/>
              </w:rPr>
              <w:t xml:space="preserve">Database (production)</w:t>
            </w:r>
          </w:p>
        </w:tc>
        <w:tc>
          <w:tcPr>
            <w:tcW w:type="dxa" w:w="3800"/>
            <w:tcMar>
              <w:top w:type="dxa" w:w="70"/>
              <w:left w:type="dxa" w:w="100"/>
              <w:bottom w:type="dxa" w:w="70"/>
              <w:right w:type="dxa" w:w="100"/>
            </w:tcMar>
            <w:vAlign w:val="center"/>
          </w:tcPr>
          <w:p>
            <w:r>
              <w:rPr>
                <w:sz w:val="19"/>
                <w:szCs w:val="19"/>
              </w:rPr>
              <w:t xml:space="preserve">PostgreSQL (via Supabase)</w:t>
            </w:r>
          </w:p>
        </w:tc>
        <w:tc>
          <w:tcPr>
            <w:tcW w:type="dxa" w:w="2900"/>
            <w:tcMar>
              <w:top w:type="dxa" w:w="70"/>
              <w:left w:type="dxa" w:w="100"/>
              <w:bottom w:type="dxa" w:w="70"/>
              <w:right w:type="dxa" w:w="100"/>
            </w:tcMar>
            <w:vAlign w:val="center"/>
          </w:tcPr>
          <w:p>
            <w:r>
              <w:rPr>
                <w:sz w:val="19"/>
                <w:szCs w:val="19"/>
              </w:rPr>
              <w:t xml:space="preserve">—</w:t>
            </w:r>
          </w:p>
        </w:tc>
      </w:tr>
      <w:tr>
        <w:tc>
          <w:tcPr>
            <w:tcW w:type="dxa" w:w="2400"/>
            <w:tcMar>
              <w:top w:type="dxa" w:w="70"/>
              <w:left w:type="dxa" w:w="100"/>
              <w:bottom w:type="dxa" w:w="70"/>
              <w:right w:type="dxa" w:w="100"/>
            </w:tcMar>
            <w:vAlign w:val="center"/>
          </w:tcPr>
          <w:p>
            <w:r>
              <w:rPr>
                <w:sz w:val="19"/>
                <w:szCs w:val="19"/>
              </w:rPr>
              <w:t xml:space="preserve">ORM</w:t>
            </w:r>
          </w:p>
        </w:tc>
        <w:tc>
          <w:tcPr>
            <w:tcW w:type="dxa" w:w="3800"/>
            <w:tcMar>
              <w:top w:type="dxa" w:w="70"/>
              <w:left w:type="dxa" w:w="100"/>
              <w:bottom w:type="dxa" w:w="70"/>
              <w:right w:type="dxa" w:w="100"/>
            </w:tcMar>
            <w:vAlign w:val="center"/>
          </w:tcPr>
          <w:p>
            <w:r>
              <w:rPr>
                <w:sz w:val="19"/>
                <w:szCs w:val="19"/>
              </w:rPr>
              <w:t xml:space="preserve">Django ORM</w:t>
            </w:r>
          </w:p>
        </w:tc>
        <w:tc>
          <w:tcPr>
            <w:tcW w:type="dxa" w:w="2900"/>
            <w:tcMar>
              <w:top w:type="dxa" w:w="70"/>
              <w:left w:type="dxa" w:w="100"/>
              <w:bottom w:type="dxa" w:w="70"/>
              <w:right w:type="dxa" w:w="100"/>
            </w:tcMar>
            <w:vAlign w:val="center"/>
          </w:tcPr>
          <w:p>
            <w:r>
              <w:rPr>
                <w:sz w:val="19"/>
                <w:szCs w:val="19"/>
              </w:rPr>
              <w:t xml:space="preserve">Built-in</w:t>
            </w:r>
          </w:p>
        </w:tc>
      </w:tr>
      <w:tr>
        <w:tc>
          <w:tcPr>
            <w:tcW w:type="dxa" w:w="2400"/>
            <w:tcMar>
              <w:top w:type="dxa" w:w="70"/>
              <w:left w:type="dxa" w:w="100"/>
              <w:bottom w:type="dxa" w:w="70"/>
              <w:right w:type="dxa" w:w="100"/>
            </w:tcMar>
            <w:vAlign w:val="center"/>
          </w:tcPr>
          <w:p>
            <w:r>
              <w:rPr>
                <w:sz w:val="19"/>
                <w:szCs w:val="19"/>
              </w:rPr>
              <w:t xml:space="preserve">Authentication</w:t>
            </w:r>
          </w:p>
        </w:tc>
        <w:tc>
          <w:tcPr>
            <w:tcW w:type="dxa" w:w="3800"/>
            <w:tcMar>
              <w:top w:type="dxa" w:w="70"/>
              <w:left w:type="dxa" w:w="100"/>
              <w:bottom w:type="dxa" w:w="70"/>
              <w:right w:type="dxa" w:w="100"/>
            </w:tcMar>
            <w:vAlign w:val="center"/>
          </w:tcPr>
          <w:p>
            <w:r>
              <w:rPr>
                <w:sz w:val="19"/>
                <w:szCs w:val="19"/>
              </w:rPr>
              <w:t xml:space="preserve">Django Auth</w:t>
            </w:r>
          </w:p>
        </w:tc>
        <w:tc>
          <w:tcPr>
            <w:tcW w:type="dxa" w:w="2900"/>
            <w:tcMar>
              <w:top w:type="dxa" w:w="70"/>
              <w:left w:type="dxa" w:w="100"/>
              <w:bottom w:type="dxa" w:w="70"/>
              <w:right w:type="dxa" w:w="100"/>
            </w:tcMar>
            <w:vAlign w:val="center"/>
          </w:tcPr>
          <w:p>
            <w:r>
              <w:rPr>
                <w:sz w:val="19"/>
                <w:szCs w:val="19"/>
              </w:rPr>
              <w:t xml:space="preserve">Built-in, session-based</w:t>
            </w:r>
          </w:p>
        </w:tc>
      </w:tr>
      <w:tr>
        <w:tc>
          <w:tcPr>
            <w:tcW w:type="dxa" w:w="2400"/>
            <w:tcMar>
              <w:top w:type="dxa" w:w="70"/>
              <w:left w:type="dxa" w:w="100"/>
              <w:bottom w:type="dxa" w:w="70"/>
              <w:right w:type="dxa" w:w="100"/>
            </w:tcMar>
            <w:vAlign w:val="center"/>
          </w:tcPr>
          <w:p>
            <w:r>
              <w:rPr>
                <w:sz w:val="19"/>
                <w:szCs w:val="19"/>
              </w:rPr>
              <w:t xml:space="preserve">AI integration</w:t>
            </w:r>
          </w:p>
        </w:tc>
        <w:tc>
          <w:tcPr>
            <w:tcW w:type="dxa" w:w="3800"/>
            <w:tcMar>
              <w:top w:type="dxa" w:w="70"/>
              <w:left w:type="dxa" w:w="100"/>
              <w:bottom w:type="dxa" w:w="70"/>
              <w:right w:type="dxa" w:w="100"/>
            </w:tcMar>
            <w:vAlign w:val="center"/>
          </w:tcPr>
          <w:p>
            <w:r>
              <w:rPr>
                <w:sz w:val="19"/>
                <w:szCs w:val="19"/>
              </w:rPr>
              <w:t xml:space="preserve">OpenAI API</w:t>
            </w:r>
          </w:p>
        </w:tc>
        <w:tc>
          <w:tcPr>
            <w:tcW w:type="dxa" w:w="2900"/>
            <w:tcMar>
              <w:top w:type="dxa" w:w="70"/>
              <w:left w:type="dxa" w:w="100"/>
              <w:bottom w:type="dxa" w:w="70"/>
              <w:right w:type="dxa" w:w="100"/>
            </w:tcMar>
            <w:vAlign w:val="center"/>
          </w:tcPr>
          <w:p>
            <w:r>
              <w:rPr>
                <w:sz w:val="19"/>
                <w:szCs w:val="19"/>
              </w:rPr>
              <w:t xml:space="preserve">GPT-4o</w:t>
            </w:r>
          </w:p>
        </w:tc>
      </w:tr>
      <w:tr>
        <w:tc>
          <w:tcPr>
            <w:tcW w:type="dxa" w:w="2400"/>
            <w:tcMar>
              <w:top w:type="dxa" w:w="70"/>
              <w:left w:type="dxa" w:w="100"/>
              <w:bottom w:type="dxa" w:w="70"/>
              <w:right w:type="dxa" w:w="100"/>
            </w:tcMar>
            <w:vAlign w:val="center"/>
          </w:tcPr>
          <w:p>
            <w:r>
              <w:rPr>
                <w:sz w:val="19"/>
                <w:szCs w:val="19"/>
              </w:rPr>
              <w:t xml:space="preserve">WSGI server</w:t>
            </w:r>
          </w:p>
        </w:tc>
        <w:tc>
          <w:tcPr>
            <w:tcW w:type="dxa" w:w="3800"/>
            <w:tcMar>
              <w:top w:type="dxa" w:w="70"/>
              <w:left w:type="dxa" w:w="100"/>
              <w:bottom w:type="dxa" w:w="70"/>
              <w:right w:type="dxa" w:w="100"/>
            </w:tcMar>
            <w:vAlign w:val="center"/>
          </w:tcPr>
          <w:p>
            <w:r>
              <w:rPr>
                <w:sz w:val="19"/>
                <w:szCs w:val="19"/>
              </w:rPr>
              <w:t xml:space="preserve">Gunicorn</w:t>
            </w:r>
          </w:p>
        </w:tc>
        <w:tc>
          <w:tcPr>
            <w:tcW w:type="dxa" w:w="2900"/>
            <w:tcMar>
              <w:top w:type="dxa" w:w="70"/>
              <w:left w:type="dxa" w:w="100"/>
              <w:bottom w:type="dxa" w:w="70"/>
              <w:right w:type="dxa" w:w="100"/>
            </w:tcMar>
            <w:vAlign w:val="center"/>
          </w:tcPr>
          <w:p>
            <w:r>
              <w:rPr>
                <w:sz w:val="19"/>
                <w:szCs w:val="19"/>
              </w:rPr>
              <w:t xml:space="preserve">21.x</w:t>
            </w:r>
          </w:p>
        </w:tc>
      </w:tr>
    </w:tbl>
    <w:p>
      <w:pPr>
        <w:spacing w:after="160" w:line="300"/>
      </w:pPr>
      <w:r>
        <w:t xml:space="preserve">Django was selected for its "batteries-included" philosophy: authentication, ORM, admin interface, forms, and CSRF protection are provided out of the box. This allowed development effort to concentrate on security-domain logic (parsing, correlation, AI-assisted analysis) rather than re-implementing common web-application infrastructure.</w:t>
      </w:r>
    </w:p>
    <w:p>
      <w:pPr>
        <w:pStyle w:val="Heading2"/>
        <w:spacing w:after="140" w:before="300"/>
      </w:pPr>
      <w:r>
        <w:rPr>
          <w:b/>
          <w:bCs/>
          <w:color w:val="2E74B5"/>
        </w:rPr>
        <w:t xml:space="preserve">6.2 Frontend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Component</w:t>
            </w:r>
          </w:p>
        </w:tc>
        <w:tc>
          <w:tcPr>
            <w:tcW w:type="dxa" w:w="6600"/>
            <w:shd w:fill="1F3864" w:val="clear"/>
            <w:tcMar>
              <w:top w:type="dxa" w:w="80"/>
              <w:left w:type="dxa" w:w="100"/>
              <w:bottom w:type="dxa" w:w="80"/>
              <w:right w:type="dxa" w:w="100"/>
            </w:tcMar>
            <w:vAlign w:val="center"/>
          </w:tcPr>
          <w:p>
            <w:r>
              <w:rPr>
                <w:b/>
                <w:bCs/>
                <w:color w:val="FFFFFF"/>
                <w:sz w:val="19"/>
                <w:szCs w:val="19"/>
              </w:rPr>
              <w:t xml:space="preserve">Technology</w:t>
            </w:r>
          </w:p>
        </w:tc>
      </w:tr>
      <w:tr>
        <w:tc>
          <w:tcPr>
            <w:tcW w:type="dxa" w:w="2600"/>
            <w:tcMar>
              <w:top w:type="dxa" w:w="70"/>
              <w:left w:type="dxa" w:w="100"/>
              <w:bottom w:type="dxa" w:w="70"/>
              <w:right w:type="dxa" w:w="100"/>
            </w:tcMar>
            <w:vAlign w:val="center"/>
          </w:tcPr>
          <w:p>
            <w:r>
              <w:rPr>
                <w:sz w:val="19"/>
                <w:szCs w:val="19"/>
              </w:rPr>
              <w:t xml:space="preserve">Markup</w:t>
            </w:r>
          </w:p>
        </w:tc>
        <w:tc>
          <w:tcPr>
            <w:tcW w:type="dxa" w:w="6600"/>
            <w:tcMar>
              <w:top w:type="dxa" w:w="70"/>
              <w:left w:type="dxa" w:w="100"/>
              <w:bottom w:type="dxa" w:w="70"/>
              <w:right w:type="dxa" w:w="100"/>
            </w:tcMar>
            <w:vAlign w:val="center"/>
          </w:tcPr>
          <w:p>
            <w:r>
              <w:rPr>
                <w:sz w:val="19"/>
                <w:szCs w:val="19"/>
              </w:rPr>
              <w:t xml:space="preserve">Django Templates (Jinja2-compatible)</w:t>
            </w:r>
          </w:p>
        </w:tc>
      </w:tr>
      <w:tr>
        <w:tc>
          <w:tcPr>
            <w:tcW w:type="dxa" w:w="2600"/>
            <w:tcMar>
              <w:top w:type="dxa" w:w="70"/>
              <w:left w:type="dxa" w:w="100"/>
              <w:bottom w:type="dxa" w:w="70"/>
              <w:right w:type="dxa" w:w="100"/>
            </w:tcMar>
            <w:vAlign w:val="center"/>
          </w:tcPr>
          <w:p>
            <w:r>
              <w:rPr>
                <w:sz w:val="19"/>
                <w:szCs w:val="19"/>
              </w:rPr>
              <w:t xml:space="preserve">Styling</w:t>
            </w:r>
          </w:p>
        </w:tc>
        <w:tc>
          <w:tcPr>
            <w:tcW w:type="dxa" w:w="6600"/>
            <w:tcMar>
              <w:top w:type="dxa" w:w="70"/>
              <w:left w:type="dxa" w:w="100"/>
              <w:bottom w:type="dxa" w:w="70"/>
              <w:right w:type="dxa" w:w="100"/>
            </w:tcMar>
            <w:vAlign w:val="center"/>
          </w:tcPr>
          <w:p>
            <w:r>
              <w:rPr>
                <w:sz w:val="19"/>
                <w:szCs w:val="19"/>
              </w:rPr>
              <w:t xml:space="preserve">Vanilla CSS with custom properties (CSS variables)</w:t>
            </w:r>
          </w:p>
        </w:tc>
      </w:tr>
      <w:tr>
        <w:tc>
          <w:tcPr>
            <w:tcW w:type="dxa" w:w="2600"/>
            <w:tcMar>
              <w:top w:type="dxa" w:w="70"/>
              <w:left w:type="dxa" w:w="100"/>
              <w:bottom w:type="dxa" w:w="70"/>
              <w:right w:type="dxa" w:w="100"/>
            </w:tcMar>
            <w:vAlign w:val="center"/>
          </w:tcPr>
          <w:p>
            <w:r>
              <w:rPr>
                <w:sz w:val="19"/>
                <w:szCs w:val="19"/>
              </w:rPr>
              <w:t xml:space="preserve">Interactivity</w:t>
            </w:r>
          </w:p>
        </w:tc>
        <w:tc>
          <w:tcPr>
            <w:tcW w:type="dxa" w:w="6600"/>
            <w:tcMar>
              <w:top w:type="dxa" w:w="70"/>
              <w:left w:type="dxa" w:w="100"/>
              <w:bottom w:type="dxa" w:w="70"/>
              <w:right w:type="dxa" w:w="100"/>
            </w:tcMar>
            <w:vAlign w:val="center"/>
          </w:tcPr>
          <w:p>
            <w:r>
              <w:rPr>
                <w:sz w:val="19"/>
                <w:szCs w:val="19"/>
              </w:rPr>
              <w:t xml:space="preserve">Vanilla JavaScript — no SPA framework</w:t>
            </w:r>
          </w:p>
        </w:tc>
      </w:tr>
      <w:tr>
        <w:tc>
          <w:tcPr>
            <w:tcW w:type="dxa" w:w="2600"/>
            <w:tcMar>
              <w:top w:type="dxa" w:w="70"/>
              <w:left w:type="dxa" w:w="100"/>
              <w:bottom w:type="dxa" w:w="70"/>
              <w:right w:type="dxa" w:w="100"/>
            </w:tcMar>
            <w:vAlign w:val="center"/>
          </w:tcPr>
          <w:p>
            <w:r>
              <w:rPr>
                <w:sz w:val="19"/>
                <w:szCs w:val="19"/>
              </w:rPr>
              <w:t xml:space="preserve">Charting</w:t>
            </w:r>
          </w:p>
        </w:tc>
        <w:tc>
          <w:tcPr>
            <w:tcW w:type="dxa" w:w="6600"/>
            <w:tcMar>
              <w:top w:type="dxa" w:w="70"/>
              <w:left w:type="dxa" w:w="100"/>
              <w:bottom w:type="dxa" w:w="70"/>
              <w:right w:type="dxa" w:w="100"/>
            </w:tcMar>
            <w:vAlign w:val="center"/>
          </w:tcPr>
          <w:p>
            <w:r>
              <w:rPr>
                <w:sz w:val="19"/>
                <w:szCs w:val="19"/>
              </w:rPr>
              <w:t xml:space="preserve">Chart.js 4.x</w:t>
            </w:r>
          </w:p>
        </w:tc>
      </w:tr>
      <w:tr>
        <w:tc>
          <w:tcPr>
            <w:tcW w:type="dxa" w:w="2600"/>
            <w:tcMar>
              <w:top w:type="dxa" w:w="70"/>
              <w:left w:type="dxa" w:w="100"/>
              <w:bottom w:type="dxa" w:w="70"/>
              <w:right w:type="dxa" w:w="100"/>
            </w:tcMar>
            <w:vAlign w:val="center"/>
          </w:tcPr>
          <w:p>
            <w:r>
              <w:rPr>
                <w:sz w:val="19"/>
                <w:szCs w:val="19"/>
              </w:rPr>
              <w:t xml:space="preserve">Mapping</w:t>
            </w:r>
          </w:p>
        </w:tc>
        <w:tc>
          <w:tcPr>
            <w:tcW w:type="dxa" w:w="6600"/>
            <w:tcMar>
              <w:top w:type="dxa" w:w="70"/>
              <w:left w:type="dxa" w:w="100"/>
              <w:bottom w:type="dxa" w:w="70"/>
              <w:right w:type="dxa" w:w="100"/>
            </w:tcMar>
            <w:vAlign w:val="center"/>
          </w:tcPr>
          <w:p>
            <w:r>
              <w:rPr>
                <w:sz w:val="19"/>
                <w:szCs w:val="19"/>
              </w:rPr>
              <w:t xml:space="preserve">Leaflet.js 1.9.x (for geolocated threat visualisation)</w:t>
            </w:r>
          </w:p>
        </w:tc>
      </w:tr>
      <w:tr>
        <w:tc>
          <w:tcPr>
            <w:tcW w:type="dxa" w:w="2600"/>
            <w:tcMar>
              <w:top w:type="dxa" w:w="70"/>
              <w:left w:type="dxa" w:w="100"/>
              <w:bottom w:type="dxa" w:w="70"/>
              <w:right w:type="dxa" w:w="100"/>
            </w:tcMar>
            <w:vAlign w:val="center"/>
          </w:tcPr>
          <w:p>
            <w:r>
              <w:rPr>
                <w:sz w:val="19"/>
                <w:szCs w:val="19"/>
              </w:rPr>
              <w:t xml:space="preserve">Icons</w:t>
            </w:r>
          </w:p>
        </w:tc>
        <w:tc>
          <w:tcPr>
            <w:tcW w:type="dxa" w:w="6600"/>
            <w:tcMar>
              <w:top w:type="dxa" w:w="70"/>
              <w:left w:type="dxa" w:w="100"/>
              <w:bottom w:type="dxa" w:w="70"/>
              <w:right w:type="dxa" w:w="100"/>
            </w:tcMar>
            <w:vAlign w:val="center"/>
          </w:tcPr>
          <w:p>
            <w:r>
              <w:rPr>
                <w:sz w:val="19"/>
                <w:szCs w:val="19"/>
              </w:rPr>
              <w:t xml:space="preserve">Phosphor Icons</w:t>
            </w:r>
          </w:p>
        </w:tc>
      </w:tr>
      <w:tr>
        <w:tc>
          <w:tcPr>
            <w:tcW w:type="dxa" w:w="2600"/>
            <w:tcMar>
              <w:top w:type="dxa" w:w="70"/>
              <w:left w:type="dxa" w:w="100"/>
              <w:bottom w:type="dxa" w:w="70"/>
              <w:right w:type="dxa" w:w="100"/>
            </w:tcMar>
            <w:vAlign w:val="center"/>
          </w:tcPr>
          <w:p>
            <w:r>
              <w:rPr>
                <w:sz w:val="19"/>
                <w:szCs w:val="19"/>
              </w:rPr>
              <w:t xml:space="preserve">Typography</w:t>
            </w:r>
          </w:p>
        </w:tc>
        <w:tc>
          <w:tcPr>
            <w:tcW w:type="dxa" w:w="6600"/>
            <w:tcMar>
              <w:top w:type="dxa" w:w="70"/>
              <w:left w:type="dxa" w:w="100"/>
              <w:bottom w:type="dxa" w:w="70"/>
              <w:right w:type="dxa" w:w="100"/>
            </w:tcMar>
            <w:vAlign w:val="center"/>
          </w:tcPr>
          <w:p>
            <w:r>
              <w:rPr>
                <w:sz w:val="19"/>
                <w:szCs w:val="19"/>
              </w:rPr>
              <w:t xml:space="preserve">Inter (body text) and JetBrains Mono (metrics / log data)</w:t>
            </w:r>
          </w:p>
        </w:tc>
      </w:tr>
    </w:tbl>
    <w:p>
      <w:pPr>
        <w:spacing w:after="160" w:line="300"/>
      </w:pPr>
      <w:r>
        <w:t xml:space="preserve">A framework-free frontend was a deliberate architectural choice. Server-side rendering via Django Templates avoids the complexity of maintaining a separate API surface purely to feed a single-page application, and CSS custom properties provide complete control over the dual-theme design system without a build/compile step.</w:t>
      </w:r>
    </w:p>
    <w:p>
      <w:pPr>
        <w:pStyle w:val="Heading2"/>
        <w:spacing w:after="140" w:before="300"/>
      </w:pPr>
      <w:r>
        <w:rPr>
          <w:b/>
          <w:bCs/>
          <w:color w:val="2E74B5"/>
        </w:rPr>
        <w:t xml:space="preserve">6.3 Infrastructure &amp; Deployment Path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7"/>
          <w:szCs w:val="17"/>
        </w:rPr>
        <w:t xml:space="preserve">Browser → Nginx (reverse proxy) → Gunicorn (WSGI) → Django Application → Database</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Local development:  python manage.py runserver   (http://localhost:8000)</w:t>
      </w:r>
      <w:r>
        <w:rPr>
          <w:rFonts w:ascii="Consolas" w:cs="Consolas" w:eastAsia="Consolas" w:hAnsi="Consolas"/>
          <w:color w:val="333333"/>
          <w:sz w:val="17"/>
          <w:szCs w:val="17"/>
        </w:rPr>
        <w:br/>
        <w:t xml:space="preserve">Production:         Gunicorn + Nginx + PostgreSQL, with Celery/Redis available</w:t>
      </w:r>
      <w:r>
        <w:rPr>
          <w:rFonts w:ascii="Consolas" w:cs="Consolas" w:eastAsia="Consolas" w:hAnsi="Consolas"/>
          <w:color w:val="333333"/>
          <w:sz w:val="17"/>
          <w:szCs w:val="17"/>
        </w:rPr>
        <w:br/>
        <w:t xml:space="preserve">                     for future asynchronous task processing</w:t>
      </w:r>
    </w:p>
    <w:p>
      <w:pPr>
        <w:pStyle w:val="Heading2"/>
        <w:spacing w:after="140" w:before="300"/>
      </w:pPr>
      <w:r>
        <w:rPr>
          <w:b/>
          <w:bCs/>
          <w:color w:val="2E74B5"/>
        </w:rPr>
        <w:t xml:space="preserve">6.4 Application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7"/>
          <w:szCs w:val="17"/>
        </w:rPr>
        <w:t xml:space="preserve">backend/</w:t>
      </w:r>
      <w:r>
        <w:rPr>
          <w:rFonts w:ascii="Consolas" w:cs="Consolas" w:eastAsia="Consolas" w:hAnsi="Consolas"/>
          <w:color w:val="333333"/>
          <w:sz w:val="17"/>
          <w:szCs w:val="17"/>
        </w:rPr>
        <w:br/>
        <w:t xml:space="preserve">├── apps/</w:t>
      </w:r>
      <w:r>
        <w:rPr>
          <w:rFonts w:ascii="Consolas" w:cs="Consolas" w:eastAsia="Consolas" w:hAnsi="Consolas"/>
          <w:color w:val="333333"/>
          <w:sz w:val="17"/>
          <w:szCs w:val="17"/>
        </w:rPr>
        <w:br/>
        <w:t xml:space="preserve">│   └── core/                   # Main application module</w:t>
      </w:r>
      <w:r>
        <w:rPr>
          <w:rFonts w:ascii="Consolas" w:cs="Consolas" w:eastAsia="Consolas" w:hAnsi="Consolas"/>
          <w:color w:val="333333"/>
          <w:sz w:val="17"/>
          <w:szCs w:val="17"/>
        </w:rPr>
        <w:br/>
        <w:t xml:space="preserve">│       ├── models.py            # All data models</w:t>
      </w:r>
      <w:r>
        <w:rPr>
          <w:rFonts w:ascii="Consolas" w:cs="Consolas" w:eastAsia="Consolas" w:hAnsi="Consolas"/>
          <w:color w:val="333333"/>
          <w:sz w:val="17"/>
          <w:szCs w:val="17"/>
        </w:rPr>
        <w:br/>
        <w:t xml:space="preserve">│       ├── views.py             # View controllers</w:t>
      </w:r>
      <w:r>
        <w:rPr>
          <w:rFonts w:ascii="Consolas" w:cs="Consolas" w:eastAsia="Consolas" w:hAnsi="Consolas"/>
          <w:color w:val="333333"/>
          <w:sz w:val="17"/>
          <w:szCs w:val="17"/>
        </w:rPr>
        <w:br/>
        <w:t xml:space="preserve">│       ├── log_parser.py        # Log ingestion &amp; parsing engine</w:t>
      </w:r>
      <w:r>
        <w:rPr>
          <w:rFonts w:ascii="Consolas" w:cs="Consolas" w:eastAsia="Consolas" w:hAnsi="Consolas"/>
          <w:color w:val="333333"/>
          <w:sz w:val="17"/>
          <w:szCs w:val="17"/>
        </w:rPr>
        <w:br/>
        <w:t xml:space="preserve">│       ├── alert_generator.py   # Rule-based alert correlation</w:t>
      </w:r>
      <w:r>
        <w:rPr>
          <w:rFonts w:ascii="Consolas" w:cs="Consolas" w:eastAsia="Consolas" w:hAnsi="Consolas"/>
          <w:color w:val="333333"/>
          <w:sz w:val="17"/>
          <w:szCs w:val="17"/>
        </w:rPr>
        <w:br/>
        <w:t xml:space="preserve">│       ├── investigation_ai.py  # AI-assisted recommendations</w:t>
      </w:r>
      <w:r>
        <w:rPr>
          <w:rFonts w:ascii="Consolas" w:cs="Consolas" w:eastAsia="Consolas" w:hAnsi="Consolas"/>
          <w:color w:val="333333"/>
          <w:sz w:val="17"/>
          <w:szCs w:val="17"/>
        </w:rPr>
        <w:br/>
        <w:t xml:space="preserve">│       ├── report_generator.py  # Multi-format report generation</w:t>
      </w:r>
      <w:r>
        <w:rPr>
          <w:rFonts w:ascii="Consolas" w:cs="Consolas" w:eastAsia="Consolas" w:hAnsi="Consolas"/>
          <w:color w:val="333333"/>
          <w:sz w:val="17"/>
          <w:szCs w:val="17"/>
        </w:rPr>
        <w:br/>
        <w:t xml:space="preserve">│       ├── admin.py             # Custom admin interface</w:t>
      </w:r>
      <w:r>
        <w:rPr>
          <w:rFonts w:ascii="Consolas" w:cs="Consolas" w:eastAsia="Consolas" w:hAnsi="Consolas"/>
          <w:color w:val="333333"/>
          <w:sz w:val="17"/>
          <w:szCs w:val="17"/>
        </w:rPr>
        <w:br/>
        <w:t xml:space="preserve">│       ├── forms.py             # Django forms (11 forms)</w:t>
      </w:r>
      <w:r>
        <w:rPr>
          <w:rFonts w:ascii="Consolas" w:cs="Consolas" w:eastAsia="Consolas" w:hAnsi="Consolas"/>
          <w:color w:val="333333"/>
          <w:sz w:val="17"/>
          <w:szCs w:val="17"/>
        </w:rPr>
        <w:br/>
        <w:t xml:space="preserve">│       ├── urls.py              # URL routing</w:t>
      </w:r>
      <w:r>
        <w:rPr>
          <w:rFonts w:ascii="Consolas" w:cs="Consolas" w:eastAsia="Consolas" w:hAnsi="Consolas"/>
          <w:color w:val="333333"/>
          <w:sz w:val="17"/>
          <w:szCs w:val="17"/>
        </w:rPr>
        <w:br/>
        <w:t xml:space="preserve">│       └── serializers.py       # DRF serializers for API views</w:t>
      </w:r>
      <w:r>
        <w:rPr>
          <w:rFonts w:ascii="Consolas" w:cs="Consolas" w:eastAsia="Consolas" w:hAnsi="Consolas"/>
          <w:color w:val="333333"/>
          <w:sz w:val="17"/>
          <w:szCs w:val="17"/>
        </w:rPr>
        <w:br/>
        <w:t xml:space="preserve">├── templates/</w:t>
      </w:r>
      <w:r>
        <w:rPr>
          <w:rFonts w:ascii="Consolas" w:cs="Consolas" w:eastAsia="Consolas" w:hAnsi="Consolas"/>
          <w:color w:val="333333"/>
          <w:sz w:val="17"/>
          <w:szCs w:val="17"/>
        </w:rPr>
        <w:br/>
        <w:t xml:space="preserve">│   ├── base.html                # Master layout (sidebar, theme)</w:t>
      </w:r>
      <w:r>
        <w:rPr>
          <w:rFonts w:ascii="Consolas" w:cs="Consolas" w:eastAsia="Consolas" w:hAnsi="Consolas"/>
          <w:color w:val="333333"/>
          <w:sz w:val="17"/>
          <w:szCs w:val="17"/>
        </w:rPr>
        <w:br/>
        <w:t xml:space="preserve">│   ├── siem/                    # All SIEM page templates</w:t>
      </w:r>
      <w:r>
        <w:rPr>
          <w:rFonts w:ascii="Consolas" w:cs="Consolas" w:eastAsia="Consolas" w:hAnsi="Consolas"/>
          <w:color w:val="333333"/>
          <w:sz w:val="17"/>
          <w:szCs w:val="17"/>
        </w:rPr>
        <w:br/>
        <w:t xml:space="preserve">│   └── registration/            # Authentication templates</w:t>
      </w:r>
      <w:r>
        <w:rPr>
          <w:rFonts w:ascii="Consolas" w:cs="Consolas" w:eastAsia="Consolas" w:hAnsi="Consolas"/>
          <w:color w:val="333333"/>
          <w:sz w:val="17"/>
          <w:szCs w:val="17"/>
        </w:rPr>
        <w:br/>
        <w:t xml:space="preserve">├── static/</w:t>
      </w:r>
      <w:r>
        <w:rPr>
          <w:rFonts w:ascii="Consolas" w:cs="Consolas" w:eastAsia="Consolas" w:hAnsi="Consolas"/>
          <w:color w:val="333333"/>
          <w:sz w:val="17"/>
          <w:szCs w:val="17"/>
        </w:rPr>
        <w:br/>
        <w:t xml:space="preserve">│   └── css/styles.css           # Global design system</w:t>
      </w:r>
      <w:r>
        <w:rPr>
          <w:rFonts w:ascii="Consolas" w:cs="Consolas" w:eastAsia="Consolas" w:hAnsi="Consolas"/>
          <w:color w:val="333333"/>
          <w:sz w:val="17"/>
          <w:szCs w:val="17"/>
        </w:rPr>
        <w:br/>
        <w:t xml:space="preserve">└── project/</w:t>
      </w:r>
      <w:r>
        <w:rPr>
          <w:rFonts w:ascii="Consolas" w:cs="Consolas" w:eastAsia="Consolas" w:hAnsi="Consolas"/>
          <w:color w:val="333333"/>
          <w:sz w:val="17"/>
          <w:szCs w:val="17"/>
        </w:rPr>
        <w:br/>
        <w:t xml:space="preserve">    └── settings.py              # Django configuration</w:t>
      </w:r>
    </w:p>
    <w:p>
      <w:pPr>
        <w:pStyle w:val="Heading2"/>
        <w:spacing w:after="140" w:before="300"/>
      </w:pPr>
      <w:r>
        <w:rPr>
          <w:b/>
          <w:bCs/>
          <w:color w:val="2E74B5"/>
        </w:rPr>
        <w:t xml:space="preserve">6.5 Justification of Technology Choices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Decision</w:t>
            </w:r>
          </w:p>
        </w:tc>
        <w:tc>
          <w:tcPr>
            <w:tcW w:type="dxa" w:w="6000"/>
            <w:shd w:fill="1F3864" w:val="clear"/>
            <w:tcMar>
              <w:top w:type="dxa" w:w="80"/>
              <w:left w:type="dxa" w:w="100"/>
              <w:bottom w:type="dxa" w:w="80"/>
              <w:right w:type="dxa" w:w="100"/>
            </w:tcMar>
            <w:vAlign w:val="center"/>
          </w:tcPr>
          <w:p>
            <w:r>
              <w:rPr>
                <w:b/>
                <w:bCs/>
                <w:color w:val="FFFFFF"/>
                <w:sz w:val="18"/>
                <w:szCs w:val="18"/>
              </w:rPr>
              <w:t xml:space="preserve">Justification</w:t>
            </w:r>
          </w:p>
        </w:tc>
      </w:tr>
      <w:tr>
        <w:tc>
          <w:tcPr>
            <w:tcW w:type="dxa" w:w="3400"/>
            <w:tcMar>
              <w:top w:type="dxa" w:w="70"/>
              <w:left w:type="dxa" w:w="100"/>
              <w:bottom w:type="dxa" w:w="70"/>
              <w:right w:type="dxa" w:w="100"/>
            </w:tcMar>
            <w:vAlign w:val="center"/>
          </w:tcPr>
          <w:p>
            <w:r>
              <w:rPr>
                <w:sz w:val="18"/>
                <w:szCs w:val="18"/>
              </w:rPr>
              <w:t xml:space="preserve">Django over a micro-framework (Flask/FastAPI)</w:t>
            </w:r>
          </w:p>
        </w:tc>
        <w:tc>
          <w:tcPr>
            <w:tcW w:type="dxa" w:w="6000"/>
            <w:tcMar>
              <w:top w:type="dxa" w:w="70"/>
              <w:left w:type="dxa" w:w="100"/>
              <w:bottom w:type="dxa" w:w="70"/>
              <w:right w:type="dxa" w:w="100"/>
            </w:tcMar>
            <w:vAlign w:val="center"/>
          </w:tcPr>
          <w:p>
            <w:r>
              <w:rPr>
                <w:sz w:val="18"/>
                <w:szCs w:val="18"/>
              </w:rPr>
              <w:t xml:space="preserve">Built-in ORM, admin, and auth remove the need to hand-build user management and a data-admin console</w:t>
            </w:r>
          </w:p>
        </w:tc>
      </w:tr>
      <w:tr>
        <w:tc>
          <w:tcPr>
            <w:tcW w:type="dxa" w:w="3400"/>
            <w:tcMar>
              <w:top w:type="dxa" w:w="70"/>
              <w:left w:type="dxa" w:w="100"/>
              <w:bottom w:type="dxa" w:w="70"/>
              <w:right w:type="dxa" w:w="100"/>
            </w:tcMar>
            <w:vAlign w:val="center"/>
          </w:tcPr>
          <w:p>
            <w:r>
              <w:rPr>
                <w:sz w:val="18"/>
                <w:szCs w:val="18"/>
              </w:rPr>
              <w:t xml:space="preserve">SQLite in development, PostgreSQL in production</w:t>
            </w:r>
          </w:p>
        </w:tc>
        <w:tc>
          <w:tcPr>
            <w:tcW w:type="dxa" w:w="6000"/>
            <w:tcMar>
              <w:top w:type="dxa" w:w="70"/>
              <w:left w:type="dxa" w:w="100"/>
              <w:bottom w:type="dxa" w:w="70"/>
              <w:right w:type="dxa" w:w="100"/>
            </w:tcMar>
            <w:vAlign w:val="center"/>
          </w:tcPr>
          <w:p>
            <w:r>
              <w:rPr>
                <w:sz w:val="18"/>
                <w:szCs w:val="18"/>
              </w:rPr>
              <w:t xml:space="preserve">Zero-configuration local development; production-grade concurrency and scalability when deployed</w:t>
            </w:r>
          </w:p>
        </w:tc>
      </w:tr>
      <w:tr>
        <w:tc>
          <w:tcPr>
            <w:tcW w:type="dxa" w:w="3400"/>
            <w:tcMar>
              <w:top w:type="dxa" w:w="70"/>
              <w:left w:type="dxa" w:w="100"/>
              <w:bottom w:type="dxa" w:w="70"/>
              <w:right w:type="dxa" w:w="100"/>
            </w:tcMar>
            <w:vAlign w:val="center"/>
          </w:tcPr>
          <w:p>
            <w:r>
              <w:rPr>
                <w:sz w:val="18"/>
                <w:szCs w:val="18"/>
              </w:rPr>
              <w:t xml:space="preserve">Server-rendered templates over a JS framework (React/Vue)</w:t>
            </w:r>
          </w:p>
        </w:tc>
        <w:tc>
          <w:tcPr>
            <w:tcW w:type="dxa" w:w="6000"/>
            <w:tcMar>
              <w:top w:type="dxa" w:w="70"/>
              <w:left w:type="dxa" w:w="100"/>
              <w:bottom w:type="dxa" w:w="70"/>
              <w:right w:type="dxa" w:w="100"/>
            </w:tcMar>
            <w:vAlign w:val="center"/>
          </w:tcPr>
          <w:p>
            <w:r>
              <w:rPr>
                <w:sz w:val="18"/>
                <w:szCs w:val="18"/>
              </w:rPr>
              <w:t xml:space="preserve">Eliminates a separate API layer and build pipeline for a single-developer project with a fixed page set</w:t>
            </w:r>
          </w:p>
        </w:tc>
      </w:tr>
      <w:tr>
        <w:tc>
          <w:tcPr>
            <w:tcW w:type="dxa" w:w="3400"/>
            <w:tcMar>
              <w:top w:type="dxa" w:w="70"/>
              <w:left w:type="dxa" w:w="100"/>
              <w:bottom w:type="dxa" w:w="70"/>
              <w:right w:type="dxa" w:w="100"/>
            </w:tcMar>
            <w:vAlign w:val="center"/>
          </w:tcPr>
          <w:p>
            <w:r>
              <w:rPr>
                <w:sz w:val="18"/>
                <w:szCs w:val="18"/>
              </w:rPr>
              <w:t xml:space="preserve">Chart.js over a heavier visualisation library</w:t>
            </w:r>
          </w:p>
        </w:tc>
        <w:tc>
          <w:tcPr>
            <w:tcW w:type="dxa" w:w="6000"/>
            <w:tcMar>
              <w:top w:type="dxa" w:w="70"/>
              <w:left w:type="dxa" w:w="100"/>
              <w:bottom w:type="dxa" w:w="70"/>
              <w:right w:type="dxa" w:w="100"/>
            </w:tcMar>
            <w:vAlign w:val="center"/>
          </w:tcPr>
          <w:p>
            <w:r>
              <w:rPr>
                <w:sz w:val="18"/>
                <w:szCs w:val="18"/>
              </w:rPr>
              <w:t xml:space="preserve">Lightweight, well-documented, and sufficient for the dashboard's trend/severity/attack-pattern charts</w:t>
            </w:r>
          </w:p>
        </w:tc>
      </w:tr>
      <w:tr>
        <w:tc>
          <w:tcPr>
            <w:tcW w:type="dxa" w:w="3400"/>
            <w:tcMar>
              <w:top w:type="dxa" w:w="70"/>
              <w:left w:type="dxa" w:w="100"/>
              <w:bottom w:type="dxa" w:w="70"/>
              <w:right w:type="dxa" w:w="100"/>
            </w:tcMar>
            <w:vAlign w:val="center"/>
          </w:tcPr>
          <w:p>
            <w:r>
              <w:rPr>
                <w:sz w:val="18"/>
                <w:szCs w:val="18"/>
              </w:rPr>
              <w:t xml:space="preserve">OpenAI GPT-4o for the investigation assistant</w:t>
            </w:r>
          </w:p>
        </w:tc>
        <w:tc>
          <w:tcPr>
            <w:tcW w:type="dxa" w:w="6000"/>
            <w:tcMar>
              <w:top w:type="dxa" w:w="70"/>
              <w:left w:type="dxa" w:w="100"/>
              <w:bottom w:type="dxa" w:w="70"/>
              <w:right w:type="dxa" w:w="100"/>
            </w:tcMar>
            <w:vAlign w:val="center"/>
          </w:tcPr>
          <w:p>
            <w:r>
              <w:rPr>
                <w:sz w:val="18"/>
                <w:szCs w:val="18"/>
              </w:rPr>
              <w:t xml:space="preserve">High-quality natural-language reasoning over structured alert/event context with a simple REST integration</w:t>
            </w:r>
          </w:p>
        </w:tc>
      </w:tr>
    </w:tbl>
    <w:p>
      <w:r>
        <w:br w:type="page"/>
      </w:r>
    </w:p>
    <w:p>
      <w:pPr>
        <w:pStyle w:val="Heading1"/>
        <w:spacing w:after="200" w:before="420"/>
      </w:pPr>
      <w:r>
        <w:rPr>
          <w:b/>
          <w:bCs/>
          <w:color w:val="1F3864"/>
        </w:rPr>
        <w:t xml:space="preserve">7. Implementation</w:t>
      </w:r>
    </w:p>
    <w:p>
      <w:pPr>
        <w:spacing w:after="160" w:line="300"/>
      </w:pPr>
      <w:r>
        <w:t xml:space="preserve">This chapter walks through the implementation module by module, describing what each component does, how it was built, and the design decisions behind it.</w:t>
      </w:r>
    </w:p>
    <w:p>
      <w:pPr>
        <w:pStyle w:val="Heading2"/>
        <w:spacing w:after="140" w:before="300"/>
      </w:pPr>
      <w:r>
        <w:rPr>
          <w:b/>
          <w:bCs/>
          <w:color w:val="2E74B5"/>
        </w:rPr>
        <w:t xml:space="preserve">7.1 Log Parser (log_parser.py)</w:t>
      </w:r>
    </w:p>
    <w:p>
      <w:pPr>
        <w:spacing w:after="160" w:line="300"/>
      </w:pPr>
      <w:r>
        <w:t xml:space="preserve">The parser uses a pipeline of compiled regular expressions to classify incoming log lines through four stages:</w:t>
      </w:r>
    </w:p>
    <w:p>
      <w:pPr>
        <w:pStyle w:val="ListParagraph"/>
        <w:numPr>
          <w:ilvl w:val="0"/>
          <w:numId w:val="1"/>
        </w:numPr>
        <w:spacing w:after="80"/>
      </w:pPr>
      <w:r>
        <w:t xml:space="preserve">Format detection — the line is matched against known format patterns in priority order: Apache Combined → Apache Common → Syslog → JSON.</w:t>
      </w:r>
    </w:p>
    <w:p>
      <w:pPr>
        <w:pStyle w:val="ListParagraph"/>
        <w:numPr>
          <w:ilvl w:val="0"/>
          <w:numId w:val="1"/>
        </w:numPr>
        <w:spacing w:after="80"/>
      </w:pPr>
      <w:r>
        <w:t xml:space="preserve">Field extraction — structured fields are pulled out: timestamp, source IP, HTTP method, URI, status code, user agent, and message body.</w:t>
      </w:r>
    </w:p>
    <w:p>
      <w:pPr>
        <w:pStyle w:val="ListParagraph"/>
        <w:numPr>
          <w:ilvl w:val="0"/>
          <w:numId w:val="1"/>
        </w:numPr>
        <w:spacing w:after="80"/>
      </w:pPr>
      <w:r>
        <w:t xml:space="preserve">Event classification — secondary regex patterns examine the URI and message body to classify the event: SQL-injection signatures in parameters, authentication-failure keywords in syslog messages, port-scan indicators (sequential port access from a single IP), and brute-force patterns (repeated failed authentication from the same source).</w:t>
      </w:r>
    </w:p>
    <w:p>
      <w:pPr>
        <w:pStyle w:val="ListParagraph"/>
        <w:numPr>
          <w:ilvl w:val="0"/>
          <w:numId w:val="1"/>
        </w:numPr>
        <w:spacing w:after="80"/>
      </w:pPr>
      <w:r>
        <w:t xml:space="preserve">Severity assignment — an initial severity (Low / Medium / High / Critical) is assigned based on event type and contextual signals.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Metric</w:t>
            </w:r>
          </w:p>
        </w:tc>
        <w:tc>
          <w:tcPr>
            <w:tcW w:type="dxa" w:w="62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70"/>
              <w:left w:type="dxa" w:w="100"/>
              <w:bottom w:type="dxa" w:w="70"/>
              <w:right w:type="dxa" w:w="100"/>
            </w:tcMar>
            <w:vAlign w:val="center"/>
          </w:tcPr>
          <w:p>
            <w:r>
              <w:rPr>
                <w:sz w:val="19"/>
                <w:szCs w:val="19"/>
              </w:rPr>
              <w:t xml:space="preserve">Lines of code</w:t>
            </w:r>
          </w:p>
        </w:tc>
        <w:tc>
          <w:tcPr>
            <w:tcW w:type="dxa" w:w="6200"/>
            <w:tcMar>
              <w:top w:type="dxa" w:w="70"/>
              <w:left w:type="dxa" w:w="100"/>
              <w:bottom w:type="dxa" w:w="70"/>
              <w:right w:type="dxa" w:w="100"/>
            </w:tcMar>
            <w:vAlign w:val="center"/>
          </w:tcPr>
          <w:p>
            <w:r>
              <w:rPr>
                <w:sz w:val="19"/>
                <w:szCs w:val="19"/>
              </w:rPr>
              <w:t xml:space="preserve">~380 (log_parser.py) plus ~280 in the standalone parsing utility module</w:t>
            </w:r>
          </w:p>
        </w:tc>
      </w:tr>
      <w:tr>
        <w:tc>
          <w:tcPr>
            <w:tcW w:type="dxa" w:w="3200"/>
            <w:tcMar>
              <w:top w:type="dxa" w:w="70"/>
              <w:left w:type="dxa" w:w="100"/>
              <w:bottom w:type="dxa" w:w="70"/>
              <w:right w:type="dxa" w:w="100"/>
            </w:tcMar>
            <w:vAlign w:val="center"/>
          </w:tcPr>
          <w:p>
            <w:r>
              <w:rPr>
                <w:sz w:val="19"/>
                <w:szCs w:val="19"/>
              </w:rPr>
              <w:t xml:space="preserve">Supported formats</w:t>
            </w:r>
          </w:p>
        </w:tc>
        <w:tc>
          <w:tcPr>
            <w:tcW w:type="dxa" w:w="6200"/>
            <w:tcMar>
              <w:top w:type="dxa" w:w="70"/>
              <w:left w:type="dxa" w:w="100"/>
              <w:bottom w:type="dxa" w:w="70"/>
              <w:right w:type="dxa" w:w="100"/>
            </w:tcMar>
            <w:vAlign w:val="center"/>
          </w:tcPr>
          <w:p>
            <w:r>
              <w:rPr>
                <w:sz w:val="19"/>
                <w:szCs w:val="19"/>
              </w:rPr>
              <w:t xml:space="preserve">Apache Common, Apache Combined, Syslog, JSON — 7 formats counting Windows Event, Firewall, and Generic variants in the upload UI</w:t>
            </w:r>
          </w:p>
        </w:tc>
      </w:tr>
      <w:tr>
        <w:tc>
          <w:tcPr>
            <w:tcW w:type="dxa" w:w="3200"/>
            <w:tcMar>
              <w:top w:type="dxa" w:w="70"/>
              <w:left w:type="dxa" w:w="100"/>
              <w:bottom w:type="dxa" w:w="70"/>
              <w:right w:type="dxa" w:w="100"/>
            </w:tcMar>
            <w:vAlign w:val="center"/>
          </w:tcPr>
          <w:p>
            <w:r>
              <w:rPr>
                <w:sz w:val="19"/>
                <w:szCs w:val="19"/>
              </w:rPr>
              <w:t xml:space="preserve">Threat types detected</w:t>
            </w:r>
          </w:p>
        </w:tc>
        <w:tc>
          <w:tcPr>
            <w:tcW w:type="dxa" w:w="6200"/>
            <w:tcMar>
              <w:top w:type="dxa" w:w="70"/>
              <w:left w:type="dxa" w:w="100"/>
              <w:bottom w:type="dxa" w:w="70"/>
              <w:right w:type="dxa" w:w="100"/>
            </w:tcMar>
            <w:vAlign w:val="center"/>
          </w:tcPr>
          <w:p>
            <w:r>
              <w:rPr>
                <w:sz w:val="19"/>
                <w:szCs w:val="19"/>
              </w:rPr>
              <w:t xml:space="preserve">SQL Injection, XSS, Path Traversal, Command Injection, Code Execution, Brute Force</w:t>
            </w:r>
          </w:p>
        </w:tc>
      </w:tr>
      <w:tr>
        <w:tc>
          <w:tcPr>
            <w:tcW w:type="dxa" w:w="3200"/>
            <w:tcMar>
              <w:top w:type="dxa" w:w="70"/>
              <w:left w:type="dxa" w:w="100"/>
              <w:bottom w:type="dxa" w:w="70"/>
              <w:right w:type="dxa" w:w="100"/>
            </w:tcMar>
            <w:vAlign w:val="center"/>
          </w:tcPr>
          <w:p>
            <w:r>
              <w:rPr>
                <w:sz w:val="19"/>
                <w:szCs w:val="19"/>
              </w:rPr>
              <w:t xml:space="preserve">Measured throughput</w:t>
            </w:r>
          </w:p>
        </w:tc>
        <w:tc>
          <w:tcPr>
            <w:tcW w:type="dxa" w:w="6200"/>
            <w:tcMar>
              <w:top w:type="dxa" w:w="70"/>
              <w:left w:type="dxa" w:w="100"/>
              <w:bottom w:type="dxa" w:w="70"/>
              <w:right w:type="dxa" w:w="100"/>
            </w:tcMar>
            <w:vAlign w:val="center"/>
          </w:tcPr>
          <w:p>
            <w:r>
              <w:rPr>
                <w:sz w:val="19"/>
                <w:szCs w:val="19"/>
              </w:rPr>
              <w:t xml:space="preserve">~50,000 log lines per minute on standard development hardware</w:t>
            </w:r>
          </w:p>
        </w:tc>
      </w:tr>
    </w:tbl>
    <w:p>
      <w:pPr>
        <w:spacing w:after="160" w:line="300"/>
      </w:pPr>
      <w:r>
        <w:t xml:space="preserve">A key robustness decision made during Sprint 4 was to detect log format on a per-line basis with graceful fallback, rather than assuming a single uniform format for an entire uploaded file — mixed-format files (common when multiple sources are concatenated) previously caused the parser to fail outright.</w:t>
      </w:r>
    </w:p>
    <w:p>
      <w:pPr>
        <w:pStyle w:val="Heading2"/>
        <w:spacing w:after="140" w:before="300"/>
      </w:pPr>
      <w:r>
        <w:rPr>
          <w:b/>
          <w:bCs/>
          <w:color w:val="2E74B5"/>
        </w:rPr>
        <w:t xml:space="preserve">7.2 Alert Generator (alert_generator.py)</w:t>
      </w:r>
    </w:p>
    <w:p>
      <w:pPr>
        <w:spacing w:after="160" w:line="300"/>
      </w:pPr>
      <w:r>
        <w:t xml:space="preserve">The alert generator runs after log parsing completes. It queries recently parsed events and applies a set of correlation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vAlign w:val="center"/>
          </w:tcPr>
          <w:p>
            <w:r>
              <w:rPr>
                <w:b/>
                <w:bCs/>
                <w:color w:val="FFFFFF"/>
                <w:sz w:val="18"/>
                <w:szCs w:val="18"/>
              </w:rPr>
              <w:t xml:space="preserve">Rule</w:t>
            </w:r>
          </w:p>
        </w:tc>
        <w:tc>
          <w:tcPr>
            <w:tcW w:type="dxa" w:w="6600"/>
            <w:shd w:fill="1F3864" w:val="clear"/>
            <w:tcMar>
              <w:top w:type="dxa" w:w="80"/>
              <w:left w:type="dxa" w:w="100"/>
              <w:bottom w:type="dxa" w:w="80"/>
              <w:right w:type="dxa" w:w="100"/>
            </w:tcMar>
            <w:vAlign w:val="center"/>
          </w:tcPr>
          <w:p>
            <w:r>
              <w:rPr>
                <w:b/>
                <w:bCs/>
                <w:color w:val="FFFFFF"/>
                <w:sz w:val="18"/>
                <w:szCs w:val="18"/>
              </w:rPr>
              <w:t xml:space="preserve">Logic</w:t>
            </w:r>
          </w:p>
        </w:tc>
      </w:tr>
      <w:tr>
        <w:tc>
          <w:tcPr>
            <w:tcW w:type="dxa" w:w="2400"/>
            <w:tcMar>
              <w:top w:type="dxa" w:w="70"/>
              <w:left w:type="dxa" w:w="100"/>
              <w:bottom w:type="dxa" w:w="70"/>
              <w:right w:type="dxa" w:w="100"/>
            </w:tcMar>
            <w:vAlign w:val="center"/>
          </w:tcPr>
          <w:p>
            <w:r>
              <w:rPr>
                <w:sz w:val="18"/>
                <w:szCs w:val="18"/>
              </w:rPr>
              <w:t xml:space="preserve">Brute Force</w:t>
            </w:r>
          </w:p>
        </w:tc>
        <w:tc>
          <w:tcPr>
            <w:tcW w:type="dxa" w:w="6600"/>
            <w:tcMar>
              <w:top w:type="dxa" w:w="70"/>
              <w:left w:type="dxa" w:w="100"/>
              <w:bottom w:type="dxa" w:w="70"/>
              <w:right w:type="dxa" w:w="100"/>
            </w:tcMar>
            <w:vAlign w:val="center"/>
          </w:tcPr>
          <w:p>
            <w:r>
              <w:rPr>
                <w:sz w:val="18"/>
                <w:szCs w:val="18"/>
              </w:rPr>
              <w:t xml:space="preserve">Five or more authentication failures from the same IP within 10 minutes</w:t>
            </w:r>
          </w:p>
        </w:tc>
      </w:tr>
      <w:tr>
        <w:tc>
          <w:tcPr>
            <w:tcW w:type="dxa" w:w="2400"/>
            <w:tcMar>
              <w:top w:type="dxa" w:w="70"/>
              <w:left w:type="dxa" w:w="100"/>
              <w:bottom w:type="dxa" w:w="70"/>
              <w:right w:type="dxa" w:w="100"/>
            </w:tcMar>
            <w:vAlign w:val="center"/>
          </w:tcPr>
          <w:p>
            <w:r>
              <w:rPr>
                <w:sz w:val="18"/>
                <w:szCs w:val="18"/>
              </w:rPr>
              <w:t xml:space="preserve">SQL Injection</w:t>
            </w:r>
          </w:p>
        </w:tc>
        <w:tc>
          <w:tcPr>
            <w:tcW w:type="dxa" w:w="6600"/>
            <w:tcMar>
              <w:top w:type="dxa" w:w="70"/>
              <w:left w:type="dxa" w:w="100"/>
              <w:bottom w:type="dxa" w:w="70"/>
              <w:right w:type="dxa" w:w="100"/>
            </w:tcMar>
            <w:vAlign w:val="center"/>
          </w:tcPr>
          <w:p>
            <w:r>
              <w:rPr>
                <w:sz w:val="18"/>
                <w:szCs w:val="18"/>
              </w:rPr>
              <w:t xml:space="preserve">Any event classified as SQL injection returning an HTTP 200 response</w:t>
            </w:r>
          </w:p>
        </w:tc>
      </w:tr>
      <w:tr>
        <w:tc>
          <w:tcPr>
            <w:tcW w:type="dxa" w:w="2400"/>
            <w:tcMar>
              <w:top w:type="dxa" w:w="70"/>
              <w:left w:type="dxa" w:w="100"/>
              <w:bottom w:type="dxa" w:w="70"/>
              <w:right w:type="dxa" w:w="100"/>
            </w:tcMar>
            <w:vAlign w:val="center"/>
          </w:tcPr>
          <w:p>
            <w:r>
              <w:rPr>
                <w:sz w:val="18"/>
                <w:szCs w:val="18"/>
              </w:rPr>
              <w:t xml:space="preserve">Port Scan</w:t>
            </w:r>
          </w:p>
        </w:tc>
        <w:tc>
          <w:tcPr>
            <w:tcW w:type="dxa" w:w="6600"/>
            <w:tcMar>
              <w:top w:type="dxa" w:w="70"/>
              <w:left w:type="dxa" w:w="100"/>
              <w:bottom w:type="dxa" w:w="70"/>
              <w:right w:type="dxa" w:w="100"/>
            </w:tcMar>
            <w:vAlign w:val="center"/>
          </w:tcPr>
          <w:p>
            <w:r>
              <w:rPr>
                <w:sz w:val="18"/>
                <w:szCs w:val="18"/>
              </w:rPr>
              <w:t xml:space="preserve">Ten or more unique ports accessed from the same IP within 5 minutes</w:t>
            </w:r>
          </w:p>
        </w:tc>
      </w:tr>
      <w:tr>
        <w:tc>
          <w:tcPr>
            <w:tcW w:type="dxa" w:w="2400"/>
            <w:tcMar>
              <w:top w:type="dxa" w:w="70"/>
              <w:left w:type="dxa" w:w="100"/>
              <w:bottom w:type="dxa" w:w="70"/>
              <w:right w:type="dxa" w:w="100"/>
            </w:tcMar>
            <w:vAlign w:val="center"/>
          </w:tcPr>
          <w:p>
            <w:r>
              <w:rPr>
                <w:sz w:val="18"/>
                <w:szCs w:val="18"/>
              </w:rPr>
              <w:t xml:space="preserve">Privilege Escalation</w:t>
            </w:r>
          </w:p>
        </w:tc>
        <w:tc>
          <w:tcPr>
            <w:tcW w:type="dxa" w:w="6600"/>
            <w:tcMar>
              <w:top w:type="dxa" w:w="70"/>
              <w:left w:type="dxa" w:w="100"/>
              <w:bottom w:type="dxa" w:w="70"/>
              <w:right w:type="dxa" w:w="100"/>
            </w:tcMar>
            <w:vAlign w:val="center"/>
          </w:tcPr>
          <w:p>
            <w:r>
              <w:rPr>
                <w:sz w:val="18"/>
                <w:szCs w:val="18"/>
              </w:rPr>
              <w:t xml:space="preserve">A successful authentication immediately following repeated failures from the same IP</w:t>
            </w:r>
          </w:p>
        </w:tc>
      </w:tr>
      <w:tr>
        <w:tc>
          <w:tcPr>
            <w:tcW w:type="dxa" w:w="2400"/>
            <w:tcMar>
              <w:top w:type="dxa" w:w="70"/>
              <w:left w:type="dxa" w:w="100"/>
              <w:bottom w:type="dxa" w:w="70"/>
              <w:right w:type="dxa" w:w="100"/>
            </w:tcMar>
            <w:vAlign w:val="center"/>
          </w:tcPr>
          <w:p>
            <w:r>
              <w:rPr>
                <w:sz w:val="18"/>
                <w:szCs w:val="18"/>
              </w:rPr>
              <w:t xml:space="preserve">Data Exfiltration</w:t>
            </w:r>
          </w:p>
        </w:tc>
        <w:tc>
          <w:tcPr>
            <w:tcW w:type="dxa" w:w="6600"/>
            <w:tcMar>
              <w:top w:type="dxa" w:w="70"/>
              <w:left w:type="dxa" w:w="100"/>
              <w:bottom w:type="dxa" w:w="70"/>
              <w:right w:type="dxa" w:w="100"/>
            </w:tcMar>
            <w:vAlign w:val="center"/>
          </w:tcPr>
          <w:p>
            <w:r>
              <w:rPr>
                <w:sz w:val="18"/>
                <w:szCs w:val="18"/>
              </w:rPr>
              <w:t xml:space="preserve">Outbound response size greater than 10MB to an external IP</w:t>
            </w:r>
          </w:p>
        </w:tc>
      </w:tr>
    </w:tbl>
    <w:p>
      <w:pPr>
        <w:spacing w:after="160" w:line="300"/>
      </w:pPr>
      <w:r>
        <w:t xml:space="preserve">Alerts are deduplicated: if an identical rule fires again for the same IP within the deduplication window, the existing alert is updated in place rather than a duplicate being created, keeping the analyst's alert queue meaningful rather than repetitive.</w:t>
      </w:r>
    </w:p>
    <w:p>
      <w:pPr>
        <w:pStyle w:val="Heading2"/>
        <w:spacing w:after="140" w:before="300"/>
      </w:pPr>
      <w:r>
        <w:rPr>
          <w:b/>
          <w:bCs/>
          <w:color w:val="2E74B5"/>
        </w:rPr>
        <w:t xml:space="preserve">7.3 Dashboard (views.py::dashboard)</w:t>
      </w:r>
    </w:p>
    <w:p>
      <w:pPr>
        <w:spacing w:after="160" w:line="300"/>
      </w:pPr>
      <w:r>
        <w:t xml:space="preserve">The dashboard view aggregates three categories of data entirely server-side before handing them to Chart.js:</w:t>
      </w:r>
    </w:p>
    <w:p>
      <w:pPr>
        <w:pStyle w:val="ListParagraph"/>
        <w:numPr>
          <w:ilvl w:val="0"/>
          <w:numId w:val="1"/>
        </w:numPr>
        <w:spacing w:after="80"/>
      </w:pPr>
      <w:r>
        <w:t xml:space="preserve">Count metrics — total events, active alerts, open investigations, and critical alerts, computed via Django ORM .count()/.filter() calls.</w:t>
      </w:r>
    </w:p>
    <w:p>
      <w:pPr>
        <w:pStyle w:val="ListParagraph"/>
        <w:numPr>
          <w:ilvl w:val="0"/>
          <w:numId w:val="1"/>
        </w:numPr>
        <w:spacing w:after="80"/>
      </w:pPr>
      <w:r>
        <w:t xml:space="preserve">Time-series data — events per day for the last 7 days using TruncDay aggregation, driving the trend line chart.</w:t>
      </w:r>
    </w:p>
    <w:p>
      <w:pPr>
        <w:pStyle w:val="ListParagraph"/>
        <w:numPr>
          <w:ilvl w:val="0"/>
          <w:numId w:val="1"/>
        </w:numPr>
        <w:spacing w:after="80"/>
      </w:pPr>
      <w:r>
        <w:t xml:space="preserve">Distribution data — alert severity breakdown and top event types, driving the pie and bar charts.</w:t>
      </w:r>
    </w:p>
    <w:p>
      <w:pPr>
        <w:spacing w:after="160" w:line="300"/>
      </w:pPr>
      <w:r>
        <w:t xml:space="preserve">All aggregation happens server-side; results are passed to the template as Python dictionaries serialised to JSON via Django's json_script tag for safe injection into Chart.js datasets, avoiding any risk of template-based script injection.</w:t>
      </w:r>
    </w:p>
    <w:p>
      <w:pPr>
        <w:pStyle w:val="Heading2"/>
        <w:spacing w:after="140" w:before="300"/>
      </w:pPr>
      <w:r>
        <w:rPr>
          <w:b/>
          <w:bCs/>
          <w:color w:val="2E74B5"/>
        </w:rPr>
        <w:t xml:space="preserve">7.4 AI Investigation Assistant (investigation_ai.py)</w:t>
      </w:r>
    </w:p>
    <w:p>
      <w:pPr>
        <w:spacing w:after="160" w:line="300"/>
      </w:pPr>
      <w:r>
        <w:t xml:space="preserve">When an analyst opens an investigation, the assistant module performs five steps:</w:t>
      </w:r>
    </w:p>
    <w:p>
      <w:pPr>
        <w:spacing w:after="90"/>
      </w:pPr>
      <w:r>
        <w:rPr>
          <w:b/>
          <w:bCs/>
          <w:color w:val="2E74B5"/>
        </w:rPr>
        <w:t xml:space="preserve">1.  </w:t>
      </w:r>
      <w:r>
        <w:t xml:space="preserve">Fetches all linked Alert objects and their underlying ParsedEvent records.</w:t>
      </w:r>
    </w:p>
    <w:p>
      <w:pPr>
        <w:spacing w:after="90"/>
      </w:pPr>
      <w:r>
        <w:rPr>
          <w:b/>
          <w:bCs/>
          <w:color w:val="2E74B5"/>
        </w:rPr>
        <w:t xml:space="preserve">2.  </w:t>
      </w:r>
      <w:r>
        <w:t xml:space="preserve">Constructs a structured prompt containing the alert summary, event types, affected IPs, timestamps, severity, and any existing analyst notes.</w:t>
      </w:r>
    </w:p>
    <w:p>
      <w:pPr>
        <w:spacing w:after="90"/>
      </w:pPr>
      <w:r>
        <w:rPr>
          <w:b/>
          <w:bCs/>
          <w:color w:val="2E74B5"/>
        </w:rPr>
        <w:t xml:space="preserve">3.  </w:t>
      </w:r>
      <w:r>
        <w:t xml:space="preserve">Submits the prompt to the OpenAI API (gpt-4o, temperature = 0.3 for consistent output).</w:t>
      </w:r>
    </w:p>
    <w:p>
      <w:pPr>
        <w:spacing w:after="90"/>
      </w:pPr>
      <w:r>
        <w:rPr>
          <w:b/>
          <w:bCs/>
          <w:color w:val="2E74B5"/>
        </w:rPr>
        <w:t xml:space="preserve">4.  </w:t>
      </w:r>
      <w:r>
        <w:t xml:space="preserve">Parses the numbered response into individual RecommendedAction records stored against the investigation.</w:t>
      </w:r>
    </w:p>
    <w:p>
      <w:pPr>
        <w:spacing w:after="90"/>
      </w:pPr>
      <w:r>
        <w:rPr>
          <w:b/>
          <w:bCs/>
          <w:color w:val="2E74B5"/>
        </w:rPr>
        <w:t xml:space="preserve">5.  </w:t>
      </w:r>
      <w:r>
        <w:t xml:space="preserve">Renders the actions as interactive checkboxes in the investigation detail view.</w:t>
      </w:r>
    </w:p>
    <w:p>
      <w:pPr>
        <w:spacing w:after="160" w:line="300"/>
      </w:pPr>
      <w:r>
        <w:t xml:space="preserve">Results are cached per investigation to avoid redundant API calls on page refresh, and — satisfying non-functional requirement NFR-07 — the system falls back to static, rule-based suggestions if no OpenAI API key is configured, so the investigation workflow never hard-fails due to a missing external dependency.</w:t>
      </w:r>
    </w:p>
    <w:p>
      <w:pPr>
        <w:pStyle w:val="Heading2"/>
        <w:spacing w:after="140" w:before="300"/>
      </w:pPr>
      <w:r>
        <w:rPr>
          <w:b/>
          <w:bCs/>
          <w:color w:val="2E74B5"/>
        </w:rPr>
        <w:t xml:space="preserve">7.5 User Management &amp; Role-Based Access Control</w:t>
      </w:r>
    </w:p>
    <w:p>
      <w:pPr>
        <w:spacing w:after="160" w:line="300"/>
      </w:pPr>
      <w:r>
        <w:t xml:space="preserve">Two roles are defined:</w:t>
      </w:r>
    </w:p>
    <w:p>
      <w:pPr>
        <w:pStyle w:val="ListParagraph"/>
        <w:numPr>
          <w:ilvl w:val="0"/>
          <w:numId w:val="1"/>
        </w:numPr>
        <w:spacing w:after="80"/>
      </w:pPr>
      <w:r>
        <w:t xml:space="preserve">Analyst — can view all security data, create investigations, add notes, and import logs.</w:t>
      </w:r>
    </w:p>
    <w:p>
      <w:pPr>
        <w:pStyle w:val="ListParagraph"/>
        <w:numPr>
          <w:ilvl w:val="0"/>
          <w:numId w:val="1"/>
        </w:numPr>
        <w:spacing w:after="80"/>
      </w:pPr>
      <w:r>
        <w:t xml:space="preserve">Administrator — full Analyst privileges plus user creation/deactivation, system settings, detection-rule configuration, and report export.</w:t>
      </w:r>
    </w:p>
    <w:p>
      <w:pPr>
        <w:spacing w:after="160" w:line="300"/>
      </w:pPr>
      <w:r>
        <w:t xml:space="preserve">Role is determined by Django's built-in is_superuser flag, extended by a custom AnalystProfile model carrying additional metadata (department, phone, notification preferences, API key). Every view is decorated with @login_required; administrator-only views additionally check request.user.is_superuser, and every significant action is written to the AuditLog model — capturing the acting user, action type, affected resource, old/new values, timestamp, and IP address.</w:t>
      </w:r>
    </w:p>
    <w:p>
      <w:pPr>
        <w:pStyle w:val="Heading2"/>
        <w:spacing w:after="140" w:before="300"/>
      </w:pPr>
      <w:r>
        <w:rPr>
          <w:b/>
          <w:bCs/>
          <w:color w:val="2E74B5"/>
        </w:rPr>
        <w:t xml:space="preserve">7.6 Data Management</w:t>
      </w:r>
    </w:p>
    <w:p>
      <w:pPr>
        <w:spacing w:after="160" w:line="300"/>
      </w:pPr>
      <w:r>
        <w:t xml:space="preserve">Because an operational SIEM must manage data volume as carefully as it manages detection accuracy, a dedicated data-management discipline was defined covering ingestion, storage, cleaning, and deletion.</w:t>
      </w:r>
    </w:p>
    <w:p>
      <w:pPr>
        <w:pStyle w:val="Heading3"/>
        <w:spacing w:after="100" w:before="220"/>
      </w:pPr>
      <w:r>
        <w:rPr>
          <w:b/>
          <w:bCs/>
          <w:color w:val="333333"/>
        </w:rPr>
        <w:t xml:space="preserve">7.6.1 Ingestion</w:t>
      </w:r>
    </w:p>
    <w:p>
      <w:pPr>
        <w:pStyle w:val="ListParagraph"/>
        <w:numPr>
          <w:ilvl w:val="0"/>
          <w:numId w:val="1"/>
        </w:numPr>
        <w:spacing w:after="80"/>
      </w:pPr>
      <w:r>
        <w:t xml:space="preserve">API ingestion (/api/v1/logs/) — external systems and forwarders push structured JSON event payloads directly into the platform.</w:t>
      </w:r>
    </w:p>
    <w:p>
      <w:pPr>
        <w:pStyle w:val="ListParagraph"/>
        <w:numPr>
          <w:ilvl w:val="0"/>
          <w:numId w:val="1"/>
        </w:numPr>
        <w:spacing w:after="80"/>
      </w:pPr>
      <w:r>
        <w:t xml:space="preserve">Web UI upload (/logs/) — analysts manually ingest historical CSV or line-delimited log files, which are processed into Event records through the same parser pipeline.</w:t>
      </w:r>
    </w:p>
    <w:p>
      <w:pPr>
        <w:pStyle w:val="ListParagraph"/>
        <w:numPr>
          <w:ilvl w:val="0"/>
          <w:numId w:val="1"/>
        </w:numPr>
        <w:spacing w:after="80"/>
      </w:pPr>
      <w:r>
        <w:t xml:space="preserve">Anomaly signals — the UEBA/ML layer continuously analyses user behaviour and automatically raises AnomalyDetection records when a baseline deviation is triggered.</w:t>
      </w:r>
    </w:p>
    <w:p>
      <w:pPr>
        <w:pStyle w:val="Heading3"/>
        <w:spacing w:after="100" w:before="220"/>
      </w:pPr>
      <w:r>
        <w:rPr>
          <w:b/>
          <w:bCs/>
          <w:color w:val="333333"/>
        </w:rPr>
        <w:t xml:space="preserve">7.6.2 Storage</w:t>
      </w:r>
    </w:p>
    <w:p>
      <w:pPr>
        <w:pStyle w:val="ListParagraph"/>
        <w:numPr>
          <w:ilvl w:val="0"/>
          <w:numId w:val="1"/>
        </w:numPr>
        <w:spacing w:after="80"/>
      </w:pPr>
      <w:r>
        <w:t xml:space="preserve">Local development defaults to SQLite (db.sqlite3) at the root of the backend/ directory when no DATABASE_URL is set.</w:t>
      </w:r>
    </w:p>
    <w:p>
      <w:pPr>
        <w:pStyle w:val="ListParagraph"/>
        <w:numPr>
          <w:ilvl w:val="0"/>
          <w:numId w:val="1"/>
        </w:numPr>
        <w:spacing w:after="80"/>
      </w:pPr>
      <w:r>
        <w:t xml:space="preserve">Production storage is driven by the DATABASE_URL environment variable and is securely pooled in Supabase (PostgreSQL) for scalable, concurrent access.</w:t>
      </w:r>
    </w:p>
    <w:p>
      <w:pPr>
        <w:pStyle w:val="ListParagraph"/>
        <w:numPr>
          <w:ilvl w:val="0"/>
          <w:numId w:val="1"/>
        </w:numPr>
        <w:spacing w:after="80"/>
      </w:pPr>
      <w:r>
        <w:t xml:space="preserve">The bulk of data growth occurs in the core_event (raw/parsed logs) and core_alert (detected threats) tables, which is why both are indexed on timestamp and severity (see §5.5).</w:t>
      </w:r>
    </w:p>
    <w:p>
      <w:pPr>
        <w:pStyle w:val="Heading3"/>
        <w:spacing w:after="100" w:before="220"/>
      </w:pPr>
      <w:r>
        <w:rPr>
          <w:b/>
          <w:bCs/>
          <w:color w:val="333333"/>
        </w:rPr>
        <w:t xml:space="preserve">7.6.3 Cleaning</w:t>
      </w:r>
    </w:p>
    <w:p>
      <w:pPr>
        <w:pStyle w:val="ListParagraph"/>
        <w:numPr>
          <w:ilvl w:val="0"/>
          <w:numId w:val="1"/>
        </w:numPr>
        <w:spacing w:after="80"/>
      </w:pPr>
      <w:r>
        <w:t xml:space="preserve">Superusers can bulk-select and delete old incidents or alerts through the custom admin panel (/admin-panel/) or the default Django admin (/admin/).</w:t>
      </w:r>
    </w:p>
    <w:p>
      <w:pPr>
        <w:pStyle w:val="ListParagraph"/>
        <w:numPr>
          <w:ilvl w:val="0"/>
          <w:numId w:val="1"/>
        </w:numPr>
        <w:spacing w:after="80"/>
      </w:pPr>
      <w:r>
        <w:t xml:space="preserve">Best practice — not yet automated — is to prune Event rows older than the organisation's retention policy (e.g., 90 days) via a scheduled Celery task; this is recorded as a Chapter 10 recommendation.</w:t>
      </w:r>
    </w:p>
    <w:p>
      <w:pPr>
        <w:pStyle w:val="Heading3"/>
        <w:spacing w:after="100" w:before="220"/>
      </w:pPr>
      <w:r>
        <w:rPr>
          <w:b/>
          <w:bCs/>
          <w:color w:val="333333"/>
        </w:rPr>
        <w:t xml:space="preserve">7.6.4 Deletion</w:t>
      </w:r>
    </w:p>
    <w:p>
      <w:pPr>
        <w:pStyle w:val="ListParagraph"/>
        <w:numPr>
          <w:ilvl w:val="0"/>
          <w:numId w:val="1"/>
        </w:numPr>
        <w:spacing w:after="80"/>
      </w:pPr>
      <w:r>
        <w:t xml:space="preserve">Individual records (Event, Alert, Investigation) can be deleted through the Django admin's "Delete selected" action.</w:t>
      </w:r>
    </w:p>
    <w:p>
      <w:pPr>
        <w:pStyle w:val="ListParagraph"/>
        <w:numPr>
          <w:ilvl w:val="0"/>
          <w:numId w:val="1"/>
        </w:numPr>
        <w:spacing w:after="80"/>
      </w:pPr>
      <w:r>
        <w:t xml:space="preserve">A full local reset is performed by deleting db.sqlite3 and re-running python manage.py migrate; in production, a full wipe is performed via an SQL TRUNCATE core_event CASCADE; statement through the Supabase console.</w:t>
      </w:r>
    </w:p>
    <w:p>
      <w:pPr>
        <w:pStyle w:val="ListParagraph"/>
        <w:numPr>
          <w:ilvl w:val="0"/>
          <w:numId w:val="1"/>
        </w:numPr>
        <w:spacing w:after="80"/>
      </w:pPr>
      <w:r>
        <w:t xml:space="preserve">Deleting an Event cascades to drop its associated alerts and MITRE mappings, so mass deletions are always preceded by a database backup.</w:t>
      </w:r>
    </w:p>
    <w:p>
      <w:pPr>
        <w:pStyle w:val="Heading2"/>
        <w:spacing w:after="140" w:before="300"/>
      </w:pPr>
      <w:r>
        <w:rPr>
          <w:b/>
          <w:bCs/>
          <w:color w:val="2E74B5"/>
        </w:rPr>
        <w:t xml:space="preserve">7.7 API Layer</w:t>
      </w:r>
    </w:p>
    <w:p>
      <w:pPr>
        <w:spacing w:after="160" w:line="300"/>
      </w:pPr>
      <w:r>
        <w:t xml:space="preserve">The platform exposes a functional API today (/api/events/, /api/alerts/stats/, /api/threat-map/) authenticated via Django session cookies, and the codebase includes ready-to-enable Django REST Framework serializers and viewsets for Events, Alerts, IOCs, and Investigations, giving a clear upgrade path to a fully versioned, token-authenticated REST API (/api/v1/) without restructuring the underlying models. Full endpoint listings are provided in Appendix A.</w:t>
      </w:r>
    </w:p>
    <w:p>
      <w:pPr>
        <w:pStyle w:val="Heading2"/>
        <w:spacing w:after="140" w:before="300"/>
      </w:pPr>
      <w:r>
        <w:rPr>
          <w:b/>
          <w:bCs/>
          <w:color w:val="2E74B5"/>
        </w:rPr>
        <w:t xml:space="preserve">7.8 User Interface &amp; Theming</w:t>
      </w:r>
    </w:p>
    <w:p>
      <w:pPr>
        <w:spacing w:after="160" w:line="300"/>
      </w:pPr>
      <w:r>
        <w:t xml:space="preserve">The UI is built on a CSS custom-property design system. Dark mode uses near-black backgrounds (#080c08) with neon-green accents (#22c55e), optimised for low-ambient-light SOC environments; light mode uses cream/off-white backgrounds (#f2ede3) with deep forest-green accents (#16a34a), suited to daytime analysis or presentation contexts. The theme choice is persisted in localStorage and applied before page render via an inline script to prevent a flash of the wrong theme. The left sidebar is collapsible to an icon-only 72px rail, highlights the active page, and becomes an off-canvas drawer on viewports narrower than 768px.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Page</w:t>
            </w:r>
          </w:p>
        </w:tc>
        <w:tc>
          <w:tcPr>
            <w:tcW w:type="dxa" w:w="6800"/>
            <w:shd w:fill="1F3864" w:val="clear"/>
            <w:tcMar>
              <w:top w:type="dxa" w:w="80"/>
              <w:left w:type="dxa" w:w="100"/>
              <w:bottom w:type="dxa" w:w="80"/>
              <w:right w:type="dxa" w:w="100"/>
            </w:tcMar>
            <w:vAlign w:val="center"/>
          </w:tcPr>
          <w:p>
            <w:r>
              <w:rPr>
                <w:b/>
                <w:bCs/>
                <w:color w:val="FFFFFF"/>
                <w:sz w:val="19"/>
                <w:szCs w:val="19"/>
              </w:rPr>
              <w:t xml:space="preserve">Primary Function</w:t>
            </w:r>
          </w:p>
        </w:tc>
      </w:tr>
      <w:tr>
        <w:tc>
          <w:tcPr>
            <w:tcW w:type="dxa" w:w="2400"/>
            <w:tcMar>
              <w:top w:type="dxa" w:w="70"/>
              <w:left w:type="dxa" w:w="100"/>
              <w:bottom w:type="dxa" w:w="70"/>
              <w:right w:type="dxa" w:w="100"/>
            </w:tcMar>
            <w:vAlign w:val="center"/>
          </w:tcPr>
          <w:p>
            <w:r>
              <w:rPr>
                <w:sz w:val="19"/>
                <w:szCs w:val="19"/>
              </w:rPr>
              <w:t xml:space="preserve">Dashboard</w:t>
            </w:r>
          </w:p>
        </w:tc>
        <w:tc>
          <w:tcPr>
            <w:tcW w:type="dxa" w:w="6800"/>
            <w:tcMar>
              <w:top w:type="dxa" w:w="70"/>
              <w:left w:type="dxa" w:w="100"/>
              <w:bottom w:type="dxa" w:w="70"/>
              <w:right w:type="dxa" w:w="100"/>
            </w:tcMar>
            <w:vAlign w:val="center"/>
          </w:tcPr>
          <w:p>
            <w:r>
              <w:rPr>
                <w:sz w:val="19"/>
                <w:szCs w:val="19"/>
              </w:rPr>
              <w:t xml:space="preserve">Security posture overview with metric cards and charts</w:t>
            </w:r>
          </w:p>
        </w:tc>
      </w:tr>
      <w:tr>
        <w:tc>
          <w:tcPr>
            <w:tcW w:type="dxa" w:w="2400"/>
            <w:tcMar>
              <w:top w:type="dxa" w:w="70"/>
              <w:left w:type="dxa" w:w="100"/>
              <w:bottom w:type="dxa" w:w="70"/>
              <w:right w:type="dxa" w:w="100"/>
            </w:tcMar>
            <w:vAlign w:val="center"/>
          </w:tcPr>
          <w:p>
            <w:r>
              <w:rPr>
                <w:sz w:val="19"/>
                <w:szCs w:val="19"/>
              </w:rPr>
              <w:t xml:space="preserve">Events</w:t>
            </w:r>
          </w:p>
        </w:tc>
        <w:tc>
          <w:tcPr>
            <w:tcW w:type="dxa" w:w="6800"/>
            <w:tcMar>
              <w:top w:type="dxa" w:w="70"/>
              <w:left w:type="dxa" w:w="100"/>
              <w:bottom w:type="dxa" w:w="70"/>
              <w:right w:type="dxa" w:w="100"/>
            </w:tcMar>
            <w:vAlign w:val="center"/>
          </w:tcPr>
          <w:p>
            <w:r>
              <w:rPr>
                <w:sz w:val="19"/>
                <w:szCs w:val="19"/>
              </w:rPr>
              <w:t xml:space="preserve">Paginated table of classified security events with filters</w:t>
            </w:r>
          </w:p>
        </w:tc>
      </w:tr>
      <w:tr>
        <w:tc>
          <w:tcPr>
            <w:tcW w:type="dxa" w:w="2400"/>
            <w:tcMar>
              <w:top w:type="dxa" w:w="70"/>
              <w:left w:type="dxa" w:w="100"/>
              <w:bottom w:type="dxa" w:w="70"/>
              <w:right w:type="dxa" w:w="100"/>
            </w:tcMar>
            <w:vAlign w:val="center"/>
          </w:tcPr>
          <w:p>
            <w:r>
              <w:rPr>
                <w:sz w:val="19"/>
                <w:szCs w:val="19"/>
              </w:rPr>
              <w:t xml:space="preserve">Alerts</w:t>
            </w:r>
          </w:p>
        </w:tc>
        <w:tc>
          <w:tcPr>
            <w:tcW w:type="dxa" w:w="6800"/>
            <w:tcMar>
              <w:top w:type="dxa" w:w="70"/>
              <w:left w:type="dxa" w:w="100"/>
              <w:bottom w:type="dxa" w:w="70"/>
              <w:right w:type="dxa" w:w="100"/>
            </w:tcMar>
            <w:vAlign w:val="center"/>
          </w:tcPr>
          <w:p>
            <w:r>
              <w:rPr>
                <w:sz w:val="19"/>
                <w:szCs w:val="19"/>
              </w:rPr>
              <w:t xml:space="preserve">Alert list with severity badges, status filtering, quick-resolve</w:t>
            </w:r>
          </w:p>
        </w:tc>
      </w:tr>
      <w:tr>
        <w:tc>
          <w:tcPr>
            <w:tcW w:type="dxa" w:w="2400"/>
            <w:tcMar>
              <w:top w:type="dxa" w:w="70"/>
              <w:left w:type="dxa" w:w="100"/>
              <w:bottom w:type="dxa" w:w="70"/>
              <w:right w:type="dxa" w:w="100"/>
            </w:tcMar>
            <w:vAlign w:val="center"/>
          </w:tcPr>
          <w:p>
            <w:r>
              <w:rPr>
                <w:sz w:val="19"/>
                <w:szCs w:val="19"/>
              </w:rPr>
              <w:t xml:space="preserve">Investigations</w:t>
            </w:r>
          </w:p>
        </w:tc>
        <w:tc>
          <w:tcPr>
            <w:tcW w:type="dxa" w:w="6800"/>
            <w:tcMar>
              <w:top w:type="dxa" w:w="70"/>
              <w:left w:type="dxa" w:w="100"/>
              <w:bottom w:type="dxa" w:w="70"/>
              <w:right w:type="dxa" w:w="100"/>
            </w:tcMar>
            <w:vAlign w:val="center"/>
          </w:tcPr>
          <w:p>
            <w:r>
              <w:rPr>
                <w:sz w:val="19"/>
                <w:szCs w:val="19"/>
              </w:rPr>
              <w:t xml:space="preserve">Case list and detail view with AI-suggested checklist</w:t>
            </w:r>
          </w:p>
        </w:tc>
      </w:tr>
      <w:tr>
        <w:tc>
          <w:tcPr>
            <w:tcW w:type="dxa" w:w="2400"/>
            <w:tcMar>
              <w:top w:type="dxa" w:w="70"/>
              <w:left w:type="dxa" w:w="100"/>
              <w:bottom w:type="dxa" w:w="70"/>
              <w:right w:type="dxa" w:w="100"/>
            </w:tcMar>
            <w:vAlign w:val="center"/>
          </w:tcPr>
          <w:p>
            <w:r>
              <w:rPr>
                <w:sz w:val="19"/>
                <w:szCs w:val="19"/>
              </w:rPr>
              <w:t xml:space="preserve">Logs</w:t>
            </w:r>
          </w:p>
        </w:tc>
        <w:tc>
          <w:tcPr>
            <w:tcW w:type="dxa" w:w="6800"/>
            <w:tcMar>
              <w:top w:type="dxa" w:w="70"/>
              <w:left w:type="dxa" w:w="100"/>
              <w:bottom w:type="dxa" w:w="70"/>
              <w:right w:type="dxa" w:w="100"/>
            </w:tcMar>
            <w:vAlign w:val="center"/>
          </w:tcPr>
          <w:p>
            <w:r>
              <w:rPr>
                <w:sz w:val="19"/>
                <w:szCs w:val="19"/>
              </w:rPr>
              <w:t xml:space="preserve">Log file import and raw log viewer</w:t>
            </w:r>
          </w:p>
        </w:tc>
      </w:tr>
      <w:tr>
        <w:tc>
          <w:tcPr>
            <w:tcW w:type="dxa" w:w="2400"/>
            <w:tcMar>
              <w:top w:type="dxa" w:w="70"/>
              <w:left w:type="dxa" w:w="100"/>
              <w:bottom w:type="dxa" w:w="70"/>
              <w:right w:type="dxa" w:w="100"/>
            </w:tcMar>
            <w:vAlign w:val="center"/>
          </w:tcPr>
          <w:p>
            <w:r>
              <w:rPr>
                <w:sz w:val="19"/>
                <w:szCs w:val="19"/>
              </w:rPr>
              <w:t xml:space="preserve">Search</w:t>
            </w:r>
          </w:p>
        </w:tc>
        <w:tc>
          <w:tcPr>
            <w:tcW w:type="dxa" w:w="6800"/>
            <w:tcMar>
              <w:top w:type="dxa" w:w="70"/>
              <w:left w:type="dxa" w:w="100"/>
              <w:bottom w:type="dxa" w:w="70"/>
              <w:right w:type="dxa" w:w="100"/>
            </w:tcMar>
            <w:vAlign w:val="center"/>
          </w:tcPr>
          <w:p>
            <w:r>
              <w:rPr>
                <w:sz w:val="19"/>
                <w:szCs w:val="19"/>
              </w:rPr>
              <w:t xml:space="preserve">Cross-entity full-text search</w:t>
            </w:r>
          </w:p>
        </w:tc>
      </w:tr>
      <w:tr>
        <w:tc>
          <w:tcPr>
            <w:tcW w:type="dxa" w:w="2400"/>
            <w:tcMar>
              <w:top w:type="dxa" w:w="70"/>
              <w:left w:type="dxa" w:w="100"/>
              <w:bottom w:type="dxa" w:w="70"/>
              <w:right w:type="dxa" w:w="100"/>
            </w:tcMar>
            <w:vAlign w:val="center"/>
          </w:tcPr>
          <w:p>
            <w:r>
              <w:rPr>
                <w:sz w:val="19"/>
                <w:szCs w:val="19"/>
              </w:rPr>
              <w:t xml:space="preserve">Settings</w:t>
            </w:r>
          </w:p>
        </w:tc>
        <w:tc>
          <w:tcPr>
            <w:tcW w:type="dxa" w:w="6800"/>
            <w:tcMar>
              <w:top w:type="dxa" w:w="70"/>
              <w:left w:type="dxa" w:w="100"/>
              <w:bottom w:type="dxa" w:w="70"/>
              <w:right w:type="dxa" w:w="100"/>
            </w:tcMar>
            <w:vAlign w:val="center"/>
          </w:tcPr>
          <w:p>
            <w:r>
              <w:rPr>
                <w:sz w:val="19"/>
                <w:szCs w:val="19"/>
              </w:rPr>
              <w:t xml:space="preserve">System configuration and log-source management</w:t>
            </w:r>
          </w:p>
        </w:tc>
      </w:tr>
      <w:tr>
        <w:tc>
          <w:tcPr>
            <w:tcW w:type="dxa" w:w="2400"/>
            <w:tcMar>
              <w:top w:type="dxa" w:w="70"/>
              <w:left w:type="dxa" w:w="100"/>
              <w:bottom w:type="dxa" w:w="70"/>
              <w:right w:type="dxa" w:w="100"/>
            </w:tcMar>
            <w:vAlign w:val="center"/>
          </w:tcPr>
          <w:p>
            <w:r>
              <w:rPr>
                <w:sz w:val="19"/>
                <w:szCs w:val="19"/>
              </w:rPr>
              <w:t xml:space="preserve">Admin Panel</w:t>
            </w:r>
          </w:p>
        </w:tc>
        <w:tc>
          <w:tcPr>
            <w:tcW w:type="dxa" w:w="6800"/>
            <w:tcMar>
              <w:top w:type="dxa" w:w="70"/>
              <w:left w:type="dxa" w:w="100"/>
              <w:bottom w:type="dxa" w:w="70"/>
              <w:right w:type="dxa" w:w="100"/>
            </w:tcMar>
            <w:vAlign w:val="center"/>
          </w:tcPr>
          <w:p>
            <w:r>
              <w:rPr>
                <w:sz w:val="19"/>
                <w:szCs w:val="19"/>
              </w:rPr>
              <w:t xml:space="preserve">User management (Administrators only)</w:t>
            </w:r>
          </w:p>
        </w:tc>
      </w:tr>
    </w:tbl>
    <w:p>
      <w:pPr>
        <w:pStyle w:val="Heading2"/>
        <w:spacing w:after="140" w:before="300"/>
      </w:pPr>
      <w:r>
        <w:rPr>
          <w:b/>
          <w:bCs/>
          <w:color w:val="2E74B5"/>
        </w:rPr>
        <w:t xml:space="preserve">7.9 Code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shd w:fill="1F3864" w:val="clear"/>
            <w:tcMar>
              <w:top w:type="dxa" w:w="80"/>
              <w:left w:type="dxa" w:w="100"/>
              <w:bottom w:type="dxa" w:w="80"/>
              <w:right w:type="dxa" w:w="100"/>
            </w:tcMar>
            <w:vAlign w:val="center"/>
          </w:tcPr>
          <w:p>
            <w:r>
              <w:rPr>
                <w:b/>
                <w:bCs/>
                <w:color w:val="FFFFFF"/>
                <w:sz w:val="19"/>
                <w:szCs w:val="19"/>
              </w:rPr>
              <w:t xml:space="preserve">Module</w:t>
            </w:r>
          </w:p>
        </w:tc>
        <w:tc>
          <w:tcPr>
            <w:tcW w:type="dxa" w:w="3600"/>
            <w:shd w:fill="1F3864" w:val="clear"/>
            <w:tcMar>
              <w:top w:type="dxa" w:w="80"/>
              <w:left w:type="dxa" w:w="100"/>
              <w:bottom w:type="dxa" w:w="80"/>
              <w:right w:type="dxa" w:w="100"/>
            </w:tcMar>
            <w:vAlign w:val="center"/>
          </w:tcPr>
          <w:p>
            <w:r>
              <w:rPr>
                <w:b/>
                <w:bCs/>
                <w:color w:val="FFFFFF"/>
                <w:sz w:val="19"/>
                <w:szCs w:val="19"/>
              </w:rPr>
              <w:t xml:space="preserve">Approx. Lines</w:t>
            </w:r>
          </w:p>
        </w:tc>
      </w:tr>
      <w:tr>
        <w:tc>
          <w:tcPr>
            <w:tcW w:type="dxa" w:w="5600"/>
            <w:tcMar>
              <w:top w:type="dxa" w:w="70"/>
              <w:left w:type="dxa" w:w="100"/>
              <w:bottom w:type="dxa" w:w="70"/>
              <w:right w:type="dxa" w:w="100"/>
            </w:tcMar>
            <w:vAlign w:val="center"/>
          </w:tcPr>
          <w:p>
            <w:r>
              <w:rPr>
                <w:sz w:val="19"/>
                <w:szCs w:val="19"/>
              </w:rPr>
              <w:t xml:space="preserve">log_parser.py</w:t>
            </w:r>
          </w:p>
        </w:tc>
        <w:tc>
          <w:tcPr>
            <w:tcW w:type="dxa" w:w="3600"/>
            <w:tcMar>
              <w:top w:type="dxa" w:w="70"/>
              <w:left w:type="dxa" w:w="100"/>
              <w:bottom w:type="dxa" w:w="70"/>
              <w:right w:type="dxa" w:w="100"/>
            </w:tcMar>
            <w:vAlign w:val="center"/>
          </w:tcPr>
          <w:p>
            <w:r>
              <w:rPr>
                <w:sz w:val="19"/>
                <w:szCs w:val="19"/>
              </w:rPr>
              <w:t xml:space="preserve">~380</w:t>
            </w:r>
          </w:p>
        </w:tc>
      </w:tr>
      <w:tr>
        <w:tc>
          <w:tcPr>
            <w:tcW w:type="dxa" w:w="5600"/>
            <w:tcMar>
              <w:top w:type="dxa" w:w="70"/>
              <w:left w:type="dxa" w:w="100"/>
              <w:bottom w:type="dxa" w:w="70"/>
              <w:right w:type="dxa" w:w="100"/>
            </w:tcMar>
            <w:vAlign w:val="center"/>
          </w:tcPr>
          <w:p>
            <w:r>
              <w:rPr>
                <w:sz w:val="19"/>
                <w:szCs w:val="19"/>
              </w:rPr>
              <w:t xml:space="preserve">report_generator.py</w:t>
            </w:r>
          </w:p>
        </w:tc>
        <w:tc>
          <w:tcPr>
            <w:tcW w:type="dxa" w:w="3600"/>
            <w:tcMar>
              <w:top w:type="dxa" w:w="70"/>
              <w:left w:type="dxa" w:w="100"/>
              <w:bottom w:type="dxa" w:w="70"/>
              <w:right w:type="dxa" w:w="100"/>
            </w:tcMar>
            <w:vAlign w:val="center"/>
          </w:tcPr>
          <w:p>
            <w:r>
              <w:rPr>
                <w:sz w:val="19"/>
                <w:szCs w:val="19"/>
              </w:rPr>
              <w:t xml:space="preserve">~350</w:t>
            </w:r>
          </w:p>
        </w:tc>
      </w:tr>
      <w:tr>
        <w:tc>
          <w:tcPr>
            <w:tcW w:type="dxa" w:w="5600"/>
            <w:tcMar>
              <w:top w:type="dxa" w:w="70"/>
              <w:left w:type="dxa" w:w="100"/>
              <w:bottom w:type="dxa" w:w="70"/>
              <w:right w:type="dxa" w:w="100"/>
            </w:tcMar>
            <w:vAlign w:val="center"/>
          </w:tcPr>
          <w:p>
            <w:r>
              <w:rPr>
                <w:sz w:val="19"/>
                <w:szCs w:val="19"/>
              </w:rPr>
              <w:t xml:space="preserve">views.py (interactive views added)</w:t>
            </w:r>
          </w:p>
        </w:tc>
        <w:tc>
          <w:tcPr>
            <w:tcW w:type="dxa" w:w="3600"/>
            <w:tcMar>
              <w:top w:type="dxa" w:w="70"/>
              <w:left w:type="dxa" w:w="100"/>
              <w:bottom w:type="dxa" w:w="70"/>
              <w:right w:type="dxa" w:w="100"/>
            </w:tcMar>
            <w:vAlign w:val="center"/>
          </w:tcPr>
          <w:p>
            <w:r>
              <w:rPr>
                <w:sz w:val="19"/>
                <w:szCs w:val="19"/>
              </w:rPr>
              <w:t xml:space="preserve">~400 added</w:t>
            </w:r>
          </w:p>
        </w:tc>
      </w:tr>
      <w:tr>
        <w:tc>
          <w:tcPr>
            <w:tcW w:type="dxa" w:w="5600"/>
            <w:tcMar>
              <w:top w:type="dxa" w:w="70"/>
              <w:left w:type="dxa" w:w="100"/>
              <w:bottom w:type="dxa" w:w="70"/>
              <w:right w:type="dxa" w:w="100"/>
            </w:tcMar>
            <w:vAlign w:val="center"/>
          </w:tcPr>
          <w:p>
            <w:r>
              <w:rPr>
                <w:sz w:val="19"/>
                <w:szCs w:val="19"/>
              </w:rPr>
              <w:t xml:space="preserve">forms.py (11 forms)</w:t>
            </w:r>
          </w:p>
        </w:tc>
        <w:tc>
          <w:tcPr>
            <w:tcW w:type="dxa" w:w="3600"/>
            <w:tcMar>
              <w:top w:type="dxa" w:w="70"/>
              <w:left w:type="dxa" w:w="100"/>
              <w:bottom w:type="dxa" w:w="70"/>
              <w:right w:type="dxa" w:w="100"/>
            </w:tcMar>
            <w:vAlign w:val="center"/>
          </w:tcPr>
          <w:p>
            <w:r>
              <w:rPr>
                <w:sz w:val="19"/>
                <w:szCs w:val="19"/>
              </w:rPr>
              <w:t xml:space="preserve">~200</w:t>
            </w:r>
          </w:p>
        </w:tc>
      </w:tr>
      <w:tr>
        <w:tc>
          <w:tcPr>
            <w:tcW w:type="dxa" w:w="5600"/>
            <w:tcMar>
              <w:top w:type="dxa" w:w="70"/>
              <w:left w:type="dxa" w:w="100"/>
              <w:bottom w:type="dxa" w:w="70"/>
              <w:right w:type="dxa" w:w="100"/>
            </w:tcMar>
            <w:vAlign w:val="center"/>
          </w:tcPr>
          <w:p>
            <w:r>
              <w:rPr>
                <w:sz w:val="19"/>
                <w:szCs w:val="19"/>
              </w:rPr>
              <w:t xml:space="preserve">Total functional code added in the interactive-features phase</w:t>
            </w:r>
          </w:p>
        </w:tc>
        <w:tc>
          <w:tcPr>
            <w:tcW w:type="dxa" w:w="3600"/>
            <w:tcMar>
              <w:top w:type="dxa" w:w="70"/>
              <w:left w:type="dxa" w:w="100"/>
              <w:bottom w:type="dxa" w:w="70"/>
              <w:right w:type="dxa" w:w="100"/>
            </w:tcMar>
            <w:vAlign w:val="center"/>
          </w:tcPr>
          <w:p>
            <w:r>
              <w:rPr>
                <w:sz w:val="19"/>
                <w:szCs w:val="19"/>
              </w:rPr>
              <w:t xml:space="preserve">~1,230</w:t>
            </w:r>
          </w:p>
        </w:tc>
      </w:tr>
    </w:tbl>
    <w:p>
      <w:r>
        <w:br w:type="page"/>
      </w:r>
    </w:p>
    <w:p>
      <w:pPr>
        <w:pStyle w:val="Heading1"/>
        <w:spacing w:after="200" w:before="420"/>
      </w:pPr>
      <w:r>
        <w:rPr>
          <w:b/>
          <w:bCs/>
          <w:color w:val="1F3864"/>
        </w:rPr>
        <w:t xml:space="preserve">8. Testing</w:t>
      </w:r>
    </w:p>
    <w:p>
      <w:pPr>
        <w:pStyle w:val="Heading2"/>
        <w:spacing w:after="140" w:before="300"/>
      </w:pPr>
      <w:r>
        <w:rPr>
          <w:b/>
          <w:bCs/>
          <w:color w:val="2E74B5"/>
        </w:rPr>
        <w:t xml:space="preserve">8.1 Testing Approach</w:t>
      </w:r>
    </w:p>
    <w:p>
      <w:pPr>
        <w:spacing w:after="160" w:line="300"/>
      </w:pPr>
      <w:r>
        <w:t xml:space="preserve">Each module was manually tested at the end of its sprint against the functional requirements defined in Chapter 4, rather than deferring all testing to the end of the project. This matched the Agile methodology described in Chapter 3: a module was not considered "done" until its expected behaviour had been verified against representative input.</w:t>
      </w:r>
    </w:p>
    <w:p>
      <w:pPr>
        <w:pStyle w:val="Heading2"/>
        <w:spacing w:after="140" w:before="300"/>
      </w:pPr>
      <w:r>
        <w:rPr>
          <w:b/>
          <w:bCs/>
          <w:color w:val="2E74B5"/>
        </w:rPr>
        <w:t xml:space="preserve">8.2 Test Data</w:t>
      </w:r>
    </w:p>
    <w:p>
      <w:pPr>
        <w:spacing w:after="160" w:line="300"/>
      </w:pPr>
      <w:r>
        <w:t xml:space="preserve">A dedicated sample log file (test_sample.log) was created to exercise the parser and alert engine end to end. It contains 12 log entries spanning three threat types (Brute Force, SQL Injection, and Cross-Site Scripting) at multiple severity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val="clear"/>
            <w:tcMar>
              <w:top w:type="dxa" w:w="80"/>
              <w:left w:type="dxa" w:w="100"/>
              <w:bottom w:type="dxa" w:w="80"/>
              <w:right w:type="dxa" w:w="100"/>
            </w:tcMar>
            <w:vAlign w:val="center"/>
          </w:tcPr>
          <w:p>
            <w:r>
              <w:rPr>
                <w:b/>
                <w:bCs/>
                <w:color w:val="FFFFFF"/>
                <w:sz w:val="19"/>
                <w:szCs w:val="19"/>
              </w:rPr>
              <w:t xml:space="preserve">Metric</w:t>
            </w:r>
          </w:p>
        </w:tc>
        <w:tc>
          <w:tcPr>
            <w:tcW w:type="dxa" w:w="4600"/>
            <w:shd w:fill="1F3864" w:val="clear"/>
            <w:tcMar>
              <w:top w:type="dxa" w:w="80"/>
              <w:left w:type="dxa" w:w="100"/>
              <w:bottom w:type="dxa" w:w="80"/>
              <w:right w:type="dxa" w:w="100"/>
            </w:tcMar>
            <w:vAlign w:val="center"/>
          </w:tcPr>
          <w:p>
            <w:r>
              <w:rPr>
                <w:b/>
                <w:bCs/>
                <w:color w:val="FFFFFF"/>
                <w:sz w:val="19"/>
                <w:szCs w:val="19"/>
              </w:rPr>
              <w:t xml:space="preserve">Expected Result</w:t>
            </w:r>
          </w:p>
        </w:tc>
      </w:tr>
      <w:tr>
        <w:tc>
          <w:tcPr>
            <w:tcW w:type="dxa" w:w="4600"/>
            <w:tcMar>
              <w:top w:type="dxa" w:w="70"/>
              <w:left w:type="dxa" w:w="100"/>
              <w:bottom w:type="dxa" w:w="70"/>
              <w:right w:type="dxa" w:w="100"/>
            </w:tcMar>
            <w:vAlign w:val="center"/>
          </w:tcPr>
          <w:p>
            <w:r>
              <w:rPr>
                <w:sz w:val="19"/>
                <w:szCs w:val="19"/>
              </w:rPr>
              <w:t xml:space="preserve">Events created</w:t>
            </w:r>
          </w:p>
        </w:tc>
        <w:tc>
          <w:tcPr>
            <w:tcW w:type="dxa" w:w="4600"/>
            <w:tcMar>
              <w:top w:type="dxa" w:w="70"/>
              <w:left w:type="dxa" w:w="100"/>
              <w:bottom w:type="dxa" w:w="70"/>
              <w:right w:type="dxa" w:w="100"/>
            </w:tcMar>
            <w:vAlign w:val="center"/>
          </w:tcPr>
          <w:p>
            <w:r>
              <w:rPr>
                <w:sz w:val="19"/>
                <w:szCs w:val="19"/>
              </w:rPr>
              <w:t xml:space="preserve">12</w:t>
            </w:r>
          </w:p>
        </w:tc>
      </w:tr>
      <w:tr>
        <w:tc>
          <w:tcPr>
            <w:tcW w:type="dxa" w:w="4600"/>
            <w:tcMar>
              <w:top w:type="dxa" w:w="70"/>
              <w:left w:type="dxa" w:w="100"/>
              <w:bottom w:type="dxa" w:w="70"/>
              <w:right w:type="dxa" w:w="100"/>
            </w:tcMar>
            <w:vAlign w:val="center"/>
          </w:tcPr>
          <w:p>
            <w:r>
              <w:rPr>
                <w:sz w:val="19"/>
                <w:szCs w:val="19"/>
              </w:rPr>
              <w:t xml:space="preserve">Alerts generated</w:t>
            </w:r>
          </w:p>
        </w:tc>
        <w:tc>
          <w:tcPr>
            <w:tcW w:type="dxa" w:w="4600"/>
            <w:tcMar>
              <w:top w:type="dxa" w:w="70"/>
              <w:left w:type="dxa" w:w="100"/>
              <w:bottom w:type="dxa" w:w="70"/>
              <w:right w:type="dxa" w:w="100"/>
            </w:tcMar>
            <w:vAlign w:val="center"/>
          </w:tcPr>
          <w:p>
            <w:r>
              <w:rPr>
                <w:sz w:val="19"/>
                <w:szCs w:val="19"/>
              </w:rPr>
              <w:t xml:space="preserve">3</w:t>
            </w:r>
          </w:p>
        </w:tc>
      </w:tr>
      <w:tr>
        <w:tc>
          <w:tcPr>
            <w:tcW w:type="dxa" w:w="4600"/>
            <w:tcMar>
              <w:top w:type="dxa" w:w="70"/>
              <w:left w:type="dxa" w:w="100"/>
              <w:bottom w:type="dxa" w:w="70"/>
              <w:right w:type="dxa" w:w="100"/>
            </w:tcMar>
            <w:vAlign w:val="center"/>
          </w:tcPr>
          <w:p>
            <w:r>
              <w:rPr>
                <w:sz w:val="19"/>
                <w:szCs w:val="19"/>
              </w:rPr>
              <w:t xml:space="preserve">Threats detected</w:t>
            </w:r>
          </w:p>
        </w:tc>
        <w:tc>
          <w:tcPr>
            <w:tcW w:type="dxa" w:w="4600"/>
            <w:tcMar>
              <w:top w:type="dxa" w:w="70"/>
              <w:left w:type="dxa" w:w="100"/>
              <w:bottom w:type="dxa" w:w="70"/>
              <w:right w:type="dxa" w:w="100"/>
            </w:tcMar>
            <w:vAlign w:val="center"/>
          </w:tcPr>
          <w:p>
            <w:r>
              <w:rPr>
                <w:sz w:val="19"/>
                <w:szCs w:val="19"/>
              </w:rPr>
              <w:t xml:space="preserve">3 (Brute Force, SQL Injection, XSS)</w:t>
            </w:r>
          </w:p>
        </w:tc>
      </w:tr>
      <w:tr>
        <w:tc>
          <w:tcPr>
            <w:tcW w:type="dxa" w:w="4600"/>
            <w:tcMar>
              <w:top w:type="dxa" w:w="70"/>
              <w:left w:type="dxa" w:w="100"/>
              <w:bottom w:type="dxa" w:w="70"/>
              <w:right w:type="dxa" w:w="100"/>
            </w:tcMar>
            <w:vAlign w:val="center"/>
          </w:tcPr>
          <w:p>
            <w:r>
              <w:rPr>
                <w:sz w:val="19"/>
                <w:szCs w:val="19"/>
              </w:rPr>
              <w:t xml:space="preserve">Severity levels represented</w:t>
            </w:r>
          </w:p>
        </w:tc>
        <w:tc>
          <w:tcPr>
            <w:tcW w:type="dxa" w:w="4600"/>
            <w:tcMar>
              <w:top w:type="dxa" w:w="70"/>
              <w:left w:type="dxa" w:w="100"/>
              <w:bottom w:type="dxa" w:w="70"/>
              <w:right w:type="dxa" w:w="100"/>
            </w:tcMar>
            <w:vAlign w:val="center"/>
          </w:tcPr>
          <w:p>
            <w:r>
              <w:rPr>
                <w:sz w:val="19"/>
                <w:szCs w:val="19"/>
              </w:rPr>
              <w:t xml:space="preserve">All 5 (Info, Low, Medium, High, Critical)</w:t>
            </w:r>
          </w:p>
        </w:tc>
      </w:tr>
    </w:tbl>
    <w:p>
      <w:pPr>
        <w:pStyle w:val="Heading2"/>
        <w:spacing w:after="140" w:before="300"/>
      </w:pPr>
      <w:r>
        <w:rPr>
          <w:b/>
          <w:bCs/>
          <w:color w:val="2E74B5"/>
        </w:rPr>
        <w:t xml:space="preserve">8.3 Functional Test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800"/>
      </w:tblGrid>
      <w:tr>
        <w:trPr>
          <w:tblHeader/>
        </w:trPr>
        <w:tc>
          <w:tcPr>
            <w:tcW w:type="dxa" w:w="3200"/>
            <w:shd w:fill="1F3864" w:val="clear"/>
            <w:tcMar>
              <w:top w:type="dxa" w:w="80"/>
              <w:left w:type="dxa" w:w="100"/>
              <w:bottom w:type="dxa" w:w="80"/>
              <w:right w:type="dxa" w:w="100"/>
            </w:tcMar>
            <w:vAlign w:val="center"/>
          </w:tcPr>
          <w:p>
            <w:r>
              <w:rPr>
                <w:b/>
                <w:bCs/>
                <w:color w:val="FFFFFF"/>
                <w:sz w:val="17"/>
                <w:szCs w:val="17"/>
              </w:rPr>
              <w:t xml:space="preserve">Scenario</w:t>
            </w:r>
          </w:p>
        </w:tc>
        <w:tc>
          <w:tcPr>
            <w:tcW w:type="dxa" w:w="4200"/>
            <w:shd w:fill="1F3864" w:val="clear"/>
            <w:tcMar>
              <w:top w:type="dxa" w:w="80"/>
              <w:left w:type="dxa" w:w="100"/>
              <w:bottom w:type="dxa" w:w="80"/>
              <w:right w:type="dxa" w:w="100"/>
            </w:tcMar>
            <w:vAlign w:val="center"/>
          </w:tcPr>
          <w:p>
            <w:r>
              <w:rPr>
                <w:b/>
                <w:bCs/>
                <w:color w:val="FFFFFF"/>
                <w:sz w:val="17"/>
                <w:szCs w:val="17"/>
              </w:rPr>
              <w:t xml:space="preserve">Expected Result</w:t>
            </w:r>
          </w:p>
        </w:tc>
        <w:tc>
          <w:tcPr>
            <w:tcW w:type="dxa" w:w="1800"/>
            <w:shd w:fill="1F3864" w:val="clear"/>
            <w:tcMar>
              <w:top w:type="dxa" w:w="80"/>
              <w:left w:type="dxa" w:w="100"/>
              <w:bottom w:type="dxa" w:w="80"/>
              <w:right w:type="dxa" w:w="100"/>
            </w:tcMar>
            <w:vAlign w:val="center"/>
          </w:tcPr>
          <w:p>
            <w:r>
              <w:rPr>
                <w:b/>
                <w:bCs/>
                <w:color w:val="FFFFFF"/>
                <w:sz w:val="17"/>
                <w:szCs w:val="17"/>
              </w:rPr>
              <w:t xml:space="preserve">Result</w:t>
            </w:r>
          </w:p>
        </w:tc>
      </w:tr>
      <w:tr>
        <w:tc>
          <w:tcPr>
            <w:tcW w:type="dxa" w:w="3200"/>
            <w:tcMar>
              <w:top w:type="dxa" w:w="70"/>
              <w:left w:type="dxa" w:w="100"/>
              <w:bottom w:type="dxa" w:w="70"/>
              <w:right w:type="dxa" w:w="100"/>
            </w:tcMar>
            <w:vAlign w:val="center"/>
          </w:tcPr>
          <w:p>
            <w:r>
              <w:rPr>
                <w:sz w:val="17"/>
                <w:szCs w:val="17"/>
              </w:rPr>
              <w:t xml:space="preserve">Upload valid Apache log file</w:t>
            </w:r>
          </w:p>
        </w:tc>
        <w:tc>
          <w:tcPr>
            <w:tcW w:type="dxa" w:w="4200"/>
            <w:tcMar>
              <w:top w:type="dxa" w:w="70"/>
              <w:left w:type="dxa" w:w="100"/>
              <w:bottom w:type="dxa" w:w="70"/>
              <w:right w:type="dxa" w:w="100"/>
            </w:tcMar>
            <w:vAlign w:val="center"/>
          </w:tcPr>
          <w:p>
            <w:r>
              <w:rPr>
                <w:sz w:val="17"/>
                <w:szCs w:val="17"/>
              </w:rPr>
              <w:t xml:space="preserve">Events parsed, categories assigned, alerts generated</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Upload malformed log file</w:t>
            </w:r>
          </w:p>
        </w:tc>
        <w:tc>
          <w:tcPr>
            <w:tcW w:type="dxa" w:w="4200"/>
            <w:tcMar>
              <w:top w:type="dxa" w:w="70"/>
              <w:left w:type="dxa" w:w="100"/>
              <w:bottom w:type="dxa" w:w="70"/>
              <w:right w:type="dxa" w:w="100"/>
            </w:tcMar>
            <w:vAlign w:val="center"/>
          </w:tcPr>
          <w:p>
            <w:r>
              <w:rPr>
                <w:sz w:val="17"/>
                <w:szCs w:val="17"/>
              </w:rPr>
              <w:t xml:space="preserve">Graceful error message displayed; no crash</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Brute-force threshold triggered</w:t>
            </w:r>
          </w:p>
        </w:tc>
        <w:tc>
          <w:tcPr>
            <w:tcW w:type="dxa" w:w="4200"/>
            <w:tcMar>
              <w:top w:type="dxa" w:w="70"/>
              <w:left w:type="dxa" w:w="100"/>
              <w:bottom w:type="dxa" w:w="70"/>
              <w:right w:type="dxa" w:w="100"/>
            </w:tcMar>
            <w:vAlign w:val="center"/>
          </w:tcPr>
          <w:p>
            <w:r>
              <w:rPr>
                <w:sz w:val="17"/>
                <w:szCs w:val="17"/>
              </w:rPr>
              <w:t xml:space="preserve">Alert created with High severity</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Non-admin user accesses admin panel</w:t>
            </w:r>
          </w:p>
        </w:tc>
        <w:tc>
          <w:tcPr>
            <w:tcW w:type="dxa" w:w="4200"/>
            <w:tcMar>
              <w:top w:type="dxa" w:w="70"/>
              <w:left w:type="dxa" w:w="100"/>
              <w:bottom w:type="dxa" w:w="70"/>
              <w:right w:type="dxa" w:w="100"/>
            </w:tcMar>
            <w:vAlign w:val="center"/>
          </w:tcPr>
          <w:p>
            <w:r>
              <w:rPr>
                <w:sz w:val="17"/>
                <w:szCs w:val="17"/>
              </w:rPr>
              <w:t xml:space="preserve">Redirected to login / 403</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Investigation AI suggestions requested</w:t>
            </w:r>
          </w:p>
        </w:tc>
        <w:tc>
          <w:tcPr>
            <w:tcW w:type="dxa" w:w="4200"/>
            <w:tcMar>
              <w:top w:type="dxa" w:w="70"/>
              <w:left w:type="dxa" w:w="100"/>
              <w:bottom w:type="dxa" w:w="70"/>
              <w:right w:type="dxa" w:w="100"/>
            </w:tcMar>
            <w:vAlign w:val="center"/>
          </w:tcPr>
          <w:p>
            <w:r>
              <w:rPr>
                <w:sz w:val="17"/>
                <w:szCs w:val="17"/>
              </w:rPr>
              <w:t xml:space="preserve">Numbered recommendations rendered as checkboxes</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Theme toggle persists on refresh</w:t>
            </w:r>
          </w:p>
        </w:tc>
        <w:tc>
          <w:tcPr>
            <w:tcW w:type="dxa" w:w="4200"/>
            <w:tcMar>
              <w:top w:type="dxa" w:w="70"/>
              <w:left w:type="dxa" w:w="100"/>
              <w:bottom w:type="dxa" w:w="70"/>
              <w:right w:type="dxa" w:w="100"/>
            </w:tcMar>
            <w:vAlign w:val="center"/>
          </w:tcPr>
          <w:p>
            <w:r>
              <w:rPr>
                <w:sz w:val="17"/>
                <w:szCs w:val="17"/>
              </w:rPr>
              <w:t xml:space="preserve">Correct theme reloaded from localStorage</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Sidebar collapse persists on navigation</w:t>
            </w:r>
          </w:p>
        </w:tc>
        <w:tc>
          <w:tcPr>
            <w:tcW w:type="dxa" w:w="4200"/>
            <w:tcMar>
              <w:top w:type="dxa" w:w="70"/>
              <w:left w:type="dxa" w:w="100"/>
              <w:bottom w:type="dxa" w:w="70"/>
              <w:right w:type="dxa" w:w="100"/>
            </w:tcMar>
            <w:vAlign w:val="center"/>
          </w:tcPr>
          <w:p>
            <w:r>
              <w:rPr>
                <w:sz w:val="17"/>
                <w:szCs w:val="17"/>
              </w:rPr>
              <w:t xml:space="preserve">Collapsed state maintained across page loads</w:t>
            </w:r>
          </w:p>
        </w:tc>
        <w:tc>
          <w:tcPr>
            <w:tcW w:type="dxa" w:w="1800"/>
            <w:tcMar>
              <w:top w:type="dxa" w:w="70"/>
              <w:left w:type="dxa" w:w="100"/>
              <w:bottom w:type="dxa" w:w="70"/>
              <w:right w:type="dxa" w:w="100"/>
            </w:tcMar>
            <w:vAlign w:val="center"/>
          </w:tcPr>
          <w:p>
            <w:r>
              <w:rPr>
                <w:sz w:val="17"/>
                <w:szCs w:val="17"/>
              </w:rPr>
              <w:t xml:space="preserve">Pass</w:t>
            </w:r>
          </w:p>
        </w:tc>
      </w:tr>
      <w:tr>
        <w:tc>
          <w:tcPr>
            <w:tcW w:type="dxa" w:w="3200"/>
            <w:tcMar>
              <w:top w:type="dxa" w:w="70"/>
              <w:left w:type="dxa" w:w="100"/>
              <w:bottom w:type="dxa" w:w="70"/>
              <w:right w:type="dxa" w:w="100"/>
            </w:tcMar>
            <w:vAlign w:val="center"/>
          </w:tcPr>
          <w:p>
            <w:r>
              <w:rPr>
                <w:sz w:val="17"/>
                <w:szCs w:val="17"/>
              </w:rPr>
              <w:t xml:space="preserve">Advanced search across entities</w:t>
            </w:r>
          </w:p>
        </w:tc>
        <w:tc>
          <w:tcPr>
            <w:tcW w:type="dxa" w:w="4200"/>
            <w:tcMar>
              <w:top w:type="dxa" w:w="70"/>
              <w:left w:type="dxa" w:w="100"/>
              <w:bottom w:type="dxa" w:w="70"/>
              <w:right w:type="dxa" w:w="100"/>
            </w:tcMar>
            <w:vAlign w:val="center"/>
          </w:tcPr>
          <w:p>
            <w:r>
              <w:rPr>
                <w:sz w:val="17"/>
                <w:szCs w:val="17"/>
              </w:rPr>
              <w:t xml:space="preserve">Returns matching events, alerts, and investigations</w:t>
            </w:r>
          </w:p>
        </w:tc>
        <w:tc>
          <w:tcPr>
            <w:tcW w:type="dxa" w:w="1800"/>
            <w:tcMar>
              <w:top w:type="dxa" w:w="70"/>
              <w:left w:type="dxa" w:w="100"/>
              <w:bottom w:type="dxa" w:w="70"/>
              <w:right w:type="dxa" w:w="100"/>
            </w:tcMar>
            <w:vAlign w:val="center"/>
          </w:tcPr>
          <w:p>
            <w:r>
              <w:rPr>
                <w:sz w:val="17"/>
                <w:szCs w:val="17"/>
              </w:rPr>
              <w:t xml:space="preserve">Pass</w:t>
            </w:r>
          </w:p>
        </w:tc>
      </w:tr>
    </w:tbl>
    <w:p>
      <w:pPr>
        <w:pStyle w:val="Heading2"/>
        <w:spacing w:after="140" w:before="300"/>
      </w:pPr>
      <w:r>
        <w:rPr>
          <w:b/>
          <w:bCs/>
          <w:color w:val="2E74B5"/>
        </w:rPr>
        <w:t xml:space="preserve">8.4 Verification Checklist</w:t>
      </w:r>
    </w:p>
    <w:p>
      <w:pPr>
        <w:spacing w:after="160" w:line="300"/>
      </w:pPr>
      <w:r>
        <w:t xml:space="preserve">Beyond scenario-based testing, the following platform-level checks were independently verified:</w:t>
      </w:r>
    </w:p>
    <w:p>
      <w:pPr>
        <w:pStyle w:val="ListParagraph"/>
        <w:numPr>
          <w:ilvl w:val="0"/>
          <w:numId w:val="1"/>
        </w:numPr>
        <w:spacing w:after="80"/>
      </w:pPr>
      <w:r>
        <w:t xml:space="preserve">Django server starts without errors</w:t>
      </w:r>
    </w:p>
    <w:p>
      <w:pPr>
        <w:pStyle w:val="ListParagraph"/>
        <w:numPr>
          <w:ilvl w:val="0"/>
          <w:numId w:val="1"/>
        </w:numPr>
        <w:spacing w:after="80"/>
      </w:pPr>
      <w:r>
        <w:t xml:space="preserve">All models are accessible via the ORM</w:t>
      </w:r>
    </w:p>
    <w:p>
      <w:pPr>
        <w:pStyle w:val="ListParagraph"/>
        <w:numPr>
          <w:ilvl w:val="0"/>
          <w:numId w:val="1"/>
        </w:numPr>
        <w:spacing w:after="80"/>
      </w:pPr>
      <w:r>
        <w:t xml:space="preserve">API endpoints respond correctly per the expected structure</w:t>
      </w:r>
    </w:p>
    <w:p>
      <w:pPr>
        <w:pStyle w:val="ListParagraph"/>
        <w:numPr>
          <w:ilvl w:val="0"/>
          <w:numId w:val="1"/>
        </w:numPr>
        <w:spacing w:after="80"/>
      </w:pPr>
      <w:r>
        <w:t xml:space="preserve">The admin interface is functional</w:t>
      </w:r>
    </w:p>
    <w:p>
      <w:pPr>
        <w:pStyle w:val="ListParagraph"/>
        <w:numPr>
          <w:ilvl w:val="0"/>
          <w:numId w:val="1"/>
        </w:numPr>
        <w:spacing w:after="80"/>
      </w:pPr>
      <w:r>
        <w:t xml:space="preserve">The authentication system works correctly, including password hashing and session handling</w:t>
      </w:r>
    </w:p>
    <w:p>
      <w:pPr>
        <w:pStyle w:val="ListParagraph"/>
        <w:numPr>
          <w:ilvl w:val="0"/>
          <w:numId w:val="1"/>
        </w:numPr>
        <w:spacing w:after="80"/>
      </w:pPr>
      <w:r>
        <w:t xml:space="preserve">The SQLite → PostgreSQL fallback / configuration logic is operational</w:t>
      </w:r>
    </w:p>
    <w:p>
      <w:pPr>
        <w:pStyle w:val="Heading2"/>
        <w:spacing w:after="140" w:before="300"/>
      </w:pPr>
      <w:r>
        <w:rPr>
          <w:b/>
          <w:bCs/>
          <w:color w:val="2E74B5"/>
        </w:rPr>
        <w:t xml:space="preserve">8.5 Known Limitations</w:t>
      </w:r>
    </w:p>
    <w:p>
      <w:pPr>
        <w:pStyle w:val="ListParagraph"/>
        <w:numPr>
          <w:ilvl w:val="0"/>
          <w:numId w:val="1"/>
        </w:numPr>
        <w:spacing w:after="80"/>
      </w:pPr>
      <w:r>
        <w:t xml:space="preserve">Scale — SQLite is not suitable for production deployments ingesting more than roughly one million log lines. A PostgreSQL migration is straightforward given the Django ORM abstraction but was not exercised at production scale within the project timeline.</w:t>
      </w:r>
    </w:p>
    <w:p>
      <w:pPr>
        <w:pStyle w:val="ListParagraph"/>
        <w:numPr>
          <w:ilvl w:val="0"/>
          <w:numId w:val="1"/>
        </w:numPr>
        <w:spacing w:after="80"/>
      </w:pPr>
      <w:r>
        <w:t xml:space="preserve">Real-time ingestion — log import is presently file-upload based; streaming, agent-based ingestion was descoped (see §1.4.2).</w:t>
      </w:r>
    </w:p>
    <w:p>
      <w:pPr>
        <w:pStyle w:val="ListParagraph"/>
        <w:numPr>
          <w:ilvl w:val="0"/>
          <w:numId w:val="1"/>
        </w:numPr>
        <w:spacing w:after="80"/>
      </w:pPr>
      <w:r>
        <w:t xml:space="preserve">AI dependency — the investigation-assistant feature requires a valid OpenAI API key; the system degrades gracefully to static, rule-based suggestions if the key is absent, but the richer contextual analysis is unavailable in that mode.</w:t>
      </w:r>
    </w:p>
    <w:p>
      <w:r>
        <w:br w:type="page"/>
      </w:r>
    </w:p>
    <w:p>
      <w:pPr>
        <w:pStyle w:val="Heading1"/>
        <w:spacing w:after="200" w:before="420"/>
      </w:pPr>
      <w:r>
        <w:rPr>
          <w:b/>
          <w:bCs/>
          <w:color w:val="1F3864"/>
        </w:rPr>
        <w:t xml:space="preserve">9. Results &amp; Discussion</w:t>
      </w:r>
    </w:p>
    <w:p>
      <w:pPr>
        <w:pStyle w:val="Heading2"/>
        <w:spacing w:after="140" w:before="300"/>
      </w:pPr>
      <w:r>
        <w:rPr>
          <w:b/>
          <w:bCs/>
          <w:color w:val="2E74B5"/>
        </w:rPr>
        <w:t xml:space="preserve">9.1 Objectives Achieved</w:t>
      </w:r>
    </w:p>
    <w:p>
      <w:pPr>
        <w:spacing w:after="160" w:line="300"/>
      </w:pPr>
      <w:r>
        <w:t xml:space="preserve">Measured against the nine specific objectives defined in §1.3.2, the completed system achieves full coverage: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600"/>
      </w:tblGrid>
      <w:tr>
        <w:trPr>
          <w:tblHeader/>
        </w:trPr>
        <w:tc>
          <w:tcPr>
            <w:tcW w:type="dxa" w:w="700"/>
            <w:shd w:fill="1F3864" w:val="clear"/>
            <w:tcMar>
              <w:top w:type="dxa" w:w="80"/>
              <w:left w:type="dxa" w:w="100"/>
              <w:bottom w:type="dxa" w:w="80"/>
              <w:right w:type="dxa" w:w="100"/>
            </w:tcMar>
            <w:vAlign w:val="center"/>
          </w:tcPr>
          <w:p>
            <w:r>
              <w:rPr>
                <w:b/>
                <w:bCs/>
                <w:color w:val="FFFFFF"/>
                <w:sz w:val="18"/>
                <w:szCs w:val="18"/>
              </w:rPr>
              <w:t xml:space="preserve">#</w:t>
            </w:r>
          </w:p>
        </w:tc>
        <w:tc>
          <w:tcPr>
            <w:tcW w:type="dxa" w:w="6900"/>
            <w:shd w:fill="1F3864" w:val="clear"/>
            <w:tcMar>
              <w:top w:type="dxa" w:w="80"/>
              <w:left w:type="dxa" w:w="100"/>
              <w:bottom w:type="dxa" w:w="80"/>
              <w:right w:type="dxa" w:w="100"/>
            </w:tcMar>
            <w:vAlign w:val="center"/>
          </w:tcPr>
          <w:p>
            <w:r>
              <w:rPr>
                <w:b/>
                <w:bCs/>
                <w:color w:val="FFFFFF"/>
                <w:sz w:val="18"/>
                <w:szCs w:val="18"/>
              </w:rPr>
              <w:t xml:space="preserve">Objective</w:t>
            </w:r>
          </w:p>
        </w:tc>
        <w:tc>
          <w:tcPr>
            <w:tcW w:type="dxa" w:w="1600"/>
            <w:shd w:fill="1F3864" w:val="clear"/>
            <w:tcMar>
              <w:top w:type="dxa" w:w="80"/>
              <w:left w:type="dxa" w:w="100"/>
              <w:bottom w:type="dxa" w:w="80"/>
              <w:right w:type="dxa" w:w="100"/>
            </w:tcMar>
            <w:vAlign w:val="center"/>
          </w:tcPr>
          <w:p>
            <w:r>
              <w:rPr>
                <w:b/>
                <w:bCs/>
                <w:color w:val="FFFFFF"/>
                <w:sz w:val="18"/>
                <w:szCs w:val="18"/>
              </w:rPr>
              <w:t xml:space="preserve">Status</w:t>
            </w:r>
          </w:p>
        </w:tc>
      </w:tr>
      <w:tr>
        <w:tc>
          <w:tcPr>
            <w:tcW w:type="dxa" w:w="700"/>
            <w:tcMar>
              <w:top w:type="dxa" w:w="70"/>
              <w:left w:type="dxa" w:w="100"/>
              <w:bottom w:type="dxa" w:w="70"/>
              <w:right w:type="dxa" w:w="100"/>
            </w:tcMar>
            <w:vAlign w:val="center"/>
          </w:tcPr>
          <w:p>
            <w:r>
              <w:rPr>
                <w:sz w:val="18"/>
                <w:szCs w:val="18"/>
              </w:rPr>
              <w:t xml:space="preserve">1</w:t>
            </w:r>
          </w:p>
        </w:tc>
        <w:tc>
          <w:tcPr>
            <w:tcW w:type="dxa" w:w="6900"/>
            <w:tcMar>
              <w:top w:type="dxa" w:w="70"/>
              <w:left w:type="dxa" w:w="100"/>
              <w:bottom w:type="dxa" w:w="70"/>
              <w:right w:type="dxa" w:w="100"/>
            </w:tcMar>
            <w:vAlign w:val="center"/>
          </w:tcPr>
          <w:p>
            <w:r>
              <w:rPr>
                <w:sz w:val="18"/>
                <w:szCs w:val="18"/>
              </w:rPr>
              <w:t xml:space="preserve">Log ingestion and multi-format parsing engine</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2</w:t>
            </w:r>
          </w:p>
        </w:tc>
        <w:tc>
          <w:tcPr>
            <w:tcW w:type="dxa" w:w="6900"/>
            <w:tcMar>
              <w:top w:type="dxa" w:w="70"/>
              <w:left w:type="dxa" w:w="100"/>
              <w:bottom w:type="dxa" w:w="70"/>
              <w:right w:type="dxa" w:w="100"/>
            </w:tcMar>
            <w:vAlign w:val="center"/>
          </w:tcPr>
          <w:p>
            <w:r>
              <w:rPr>
                <w:sz w:val="18"/>
                <w:szCs w:val="18"/>
              </w:rPr>
              <w:t xml:space="preserve">Automated alert generation from correlated events</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3</w:t>
            </w:r>
          </w:p>
        </w:tc>
        <w:tc>
          <w:tcPr>
            <w:tcW w:type="dxa" w:w="6900"/>
            <w:tcMar>
              <w:top w:type="dxa" w:w="70"/>
              <w:left w:type="dxa" w:w="100"/>
              <w:bottom w:type="dxa" w:w="70"/>
              <w:right w:type="dxa" w:w="100"/>
            </w:tcMar>
            <w:vAlign w:val="center"/>
          </w:tcPr>
          <w:p>
            <w:r>
              <w:rPr>
                <w:sz w:val="18"/>
                <w:szCs w:val="18"/>
              </w:rPr>
              <w:t xml:space="preserve">Investigation / case management module</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4</w:t>
            </w:r>
          </w:p>
        </w:tc>
        <w:tc>
          <w:tcPr>
            <w:tcW w:type="dxa" w:w="6900"/>
            <w:tcMar>
              <w:top w:type="dxa" w:w="70"/>
              <w:left w:type="dxa" w:w="100"/>
              <w:bottom w:type="dxa" w:w="70"/>
              <w:right w:type="dxa" w:w="100"/>
            </w:tcMar>
            <w:vAlign w:val="center"/>
          </w:tcPr>
          <w:p>
            <w:r>
              <w:rPr>
                <w:sz w:val="18"/>
                <w:szCs w:val="18"/>
              </w:rPr>
              <w:t xml:space="preserve">Real-time dashboard with security metrics and charts</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5</w:t>
            </w:r>
          </w:p>
        </w:tc>
        <w:tc>
          <w:tcPr>
            <w:tcW w:type="dxa" w:w="6900"/>
            <w:tcMar>
              <w:top w:type="dxa" w:w="70"/>
              <w:left w:type="dxa" w:w="100"/>
              <w:bottom w:type="dxa" w:w="70"/>
              <w:right w:type="dxa" w:w="100"/>
            </w:tcMar>
            <w:vAlign w:val="center"/>
          </w:tcPr>
          <w:p>
            <w:r>
              <w:rPr>
                <w:sz w:val="18"/>
                <w:szCs w:val="18"/>
              </w:rPr>
              <w:t xml:space="preserve">AI-assisted investigation guidance</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6</w:t>
            </w:r>
          </w:p>
        </w:tc>
        <w:tc>
          <w:tcPr>
            <w:tcW w:type="dxa" w:w="6900"/>
            <w:tcMar>
              <w:top w:type="dxa" w:w="70"/>
              <w:left w:type="dxa" w:w="100"/>
              <w:bottom w:type="dxa" w:w="70"/>
              <w:right w:type="dxa" w:w="100"/>
            </w:tcMar>
            <w:vAlign w:val="center"/>
          </w:tcPr>
          <w:p>
            <w:r>
              <w:rPr>
                <w:sz w:val="18"/>
                <w:szCs w:val="18"/>
              </w:rPr>
              <w:t xml:space="preserve">Role-based access control (Admin / Analyst)</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7</w:t>
            </w:r>
          </w:p>
        </w:tc>
        <w:tc>
          <w:tcPr>
            <w:tcW w:type="dxa" w:w="6900"/>
            <w:tcMar>
              <w:top w:type="dxa" w:w="70"/>
              <w:left w:type="dxa" w:w="100"/>
              <w:bottom w:type="dxa" w:w="70"/>
              <w:right w:type="dxa" w:w="100"/>
            </w:tcMar>
            <w:vAlign w:val="center"/>
          </w:tcPr>
          <w:p>
            <w:r>
              <w:rPr>
                <w:sz w:val="18"/>
                <w:szCs w:val="18"/>
              </w:rPr>
              <w:t xml:space="preserve">Advanced search across all security entities</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8</w:t>
            </w:r>
          </w:p>
        </w:tc>
        <w:tc>
          <w:tcPr>
            <w:tcW w:type="dxa" w:w="6900"/>
            <w:tcMar>
              <w:top w:type="dxa" w:w="70"/>
              <w:left w:type="dxa" w:w="100"/>
              <w:bottom w:type="dxa" w:w="70"/>
              <w:right w:type="dxa" w:w="100"/>
            </w:tcMar>
            <w:vAlign w:val="center"/>
          </w:tcPr>
          <w:p>
            <w:r>
              <w:rPr>
                <w:sz w:val="18"/>
                <w:szCs w:val="18"/>
              </w:rPr>
              <w:t xml:space="preserve">Responsive UI with dark/light theming</w:t>
            </w:r>
          </w:p>
        </w:tc>
        <w:tc>
          <w:tcPr>
            <w:tcW w:type="dxa" w:w="1600"/>
            <w:tcMar>
              <w:top w:type="dxa" w:w="70"/>
              <w:left w:type="dxa" w:w="100"/>
              <w:bottom w:type="dxa" w:w="70"/>
              <w:right w:type="dxa" w:w="100"/>
            </w:tcMar>
            <w:vAlign w:val="center"/>
          </w:tcPr>
          <w:p>
            <w:r>
              <w:rPr>
                <w:sz w:val="18"/>
                <w:szCs w:val="18"/>
              </w:rPr>
              <w:t xml:space="preserve">Completed</w:t>
            </w:r>
          </w:p>
        </w:tc>
      </w:tr>
      <w:tr>
        <w:tc>
          <w:tcPr>
            <w:tcW w:type="dxa" w:w="700"/>
            <w:tcMar>
              <w:top w:type="dxa" w:w="70"/>
              <w:left w:type="dxa" w:w="100"/>
              <w:bottom w:type="dxa" w:w="70"/>
              <w:right w:type="dxa" w:w="100"/>
            </w:tcMar>
            <w:vAlign w:val="center"/>
          </w:tcPr>
          <w:p>
            <w:r>
              <w:rPr>
                <w:sz w:val="18"/>
                <w:szCs w:val="18"/>
              </w:rPr>
              <w:t xml:space="preserve">9</w:t>
            </w:r>
          </w:p>
        </w:tc>
        <w:tc>
          <w:tcPr>
            <w:tcW w:type="dxa" w:w="6900"/>
            <w:tcMar>
              <w:top w:type="dxa" w:w="70"/>
              <w:left w:type="dxa" w:w="100"/>
              <w:bottom w:type="dxa" w:w="70"/>
              <w:right w:type="dxa" w:w="100"/>
            </w:tcMar>
            <w:vAlign w:val="center"/>
          </w:tcPr>
          <w:p>
            <w:r>
              <w:rPr>
                <w:sz w:val="18"/>
                <w:szCs w:val="18"/>
              </w:rPr>
              <w:t xml:space="preserve">MITRE ATT&amp;CK mapping for detected threats</w:t>
            </w:r>
          </w:p>
        </w:tc>
        <w:tc>
          <w:tcPr>
            <w:tcW w:type="dxa" w:w="1600"/>
            <w:tcMar>
              <w:top w:type="dxa" w:w="70"/>
              <w:left w:type="dxa" w:w="100"/>
              <w:bottom w:type="dxa" w:w="70"/>
              <w:right w:type="dxa" w:w="100"/>
            </w:tcMar>
            <w:vAlign w:val="center"/>
          </w:tcPr>
          <w:p>
            <w:r>
              <w:rPr>
                <w:sz w:val="18"/>
                <w:szCs w:val="18"/>
              </w:rPr>
              <w:t xml:space="preserve">Completed</w:t>
            </w:r>
          </w:p>
        </w:tc>
      </w:tr>
    </w:tbl>
    <w:p>
      <w:pPr>
        <w:pStyle w:val="Heading2"/>
        <w:spacing w:after="140" w:before="300"/>
      </w:pPr>
      <w:r>
        <w:rPr>
          <w:b/>
          <w:bCs/>
          <w:color w:val="2E74B5"/>
        </w:rPr>
        <w:t xml:space="preserve">9.2 Feature Delivery Summary</w:t>
      </w:r>
    </w:p>
    <w:p>
      <w:pPr>
        <w:spacing w:after="160" w:line="300"/>
      </w:pPr>
      <w:r>
        <w:t xml:space="preserve">Beyond the headline objectives, the implementation phase delivered a broad set of user-facing actions across seven functional areas, summarised below rather than itemised exhaustively: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r>
              <w:rPr>
                <w:b/>
                <w:bCs/>
                <w:color w:val="FFFFFF"/>
                <w:sz w:val="17"/>
                <w:szCs w:val="17"/>
              </w:rPr>
              <w:t xml:space="preserve">Functional Area</w:t>
            </w:r>
          </w:p>
        </w:tc>
        <w:tc>
          <w:tcPr>
            <w:tcW w:type="dxa" w:w="6800"/>
            <w:shd w:fill="1F3864" w:val="clear"/>
            <w:tcMar>
              <w:top w:type="dxa" w:w="80"/>
              <w:left w:type="dxa" w:w="100"/>
              <w:bottom w:type="dxa" w:w="80"/>
              <w:right w:type="dxa" w:w="100"/>
            </w:tcMar>
            <w:vAlign w:val="center"/>
          </w:tcPr>
          <w:p>
            <w:r>
              <w:rPr>
                <w:b/>
                <w:bCs/>
                <w:color w:val="FFFFFF"/>
                <w:sz w:val="17"/>
                <w:szCs w:val="17"/>
              </w:rPr>
              <w:t xml:space="preserve">Representative Capabilities Delivered</w:t>
            </w:r>
          </w:p>
        </w:tc>
      </w:tr>
      <w:tr>
        <w:tc>
          <w:tcPr>
            <w:tcW w:type="dxa" w:w="2400"/>
            <w:tcMar>
              <w:top w:type="dxa" w:w="70"/>
              <w:left w:type="dxa" w:w="100"/>
              <w:bottom w:type="dxa" w:w="70"/>
              <w:right w:type="dxa" w:w="100"/>
            </w:tcMar>
            <w:vAlign w:val="center"/>
          </w:tcPr>
          <w:p>
            <w:r>
              <w:rPr>
                <w:sz w:val="17"/>
                <w:szCs w:val="17"/>
              </w:rPr>
              <w:t xml:space="preserve">Search</w:t>
            </w:r>
          </w:p>
        </w:tc>
        <w:tc>
          <w:tcPr>
            <w:tcW w:type="dxa" w:w="6800"/>
            <w:tcMar>
              <w:top w:type="dxa" w:w="70"/>
              <w:left w:type="dxa" w:w="100"/>
              <w:bottom w:type="dxa" w:w="70"/>
              <w:right w:type="dxa" w:w="100"/>
            </w:tcMar>
            <w:vAlign w:val="center"/>
          </w:tcPr>
          <w:p>
            <w:r>
              <w:rPr>
                <w:sz w:val="17"/>
                <w:szCs w:val="17"/>
              </w:rPr>
              <w:t xml:space="preserve">Keyword search, filter by severity/category/time/IP, cross-entity advanced search, saved searches</w:t>
            </w:r>
          </w:p>
        </w:tc>
      </w:tr>
      <w:tr>
        <w:tc>
          <w:tcPr>
            <w:tcW w:type="dxa" w:w="2400"/>
            <w:tcMar>
              <w:top w:type="dxa" w:w="70"/>
              <w:left w:type="dxa" w:w="100"/>
              <w:bottom w:type="dxa" w:w="70"/>
              <w:right w:type="dxa" w:w="100"/>
            </w:tcMar>
            <w:vAlign w:val="center"/>
          </w:tcPr>
          <w:p>
            <w:r>
              <w:rPr>
                <w:sz w:val="17"/>
                <w:szCs w:val="17"/>
              </w:rPr>
              <w:t xml:space="preserve">Log upload</w:t>
            </w:r>
          </w:p>
        </w:tc>
        <w:tc>
          <w:tcPr>
            <w:tcW w:type="dxa" w:w="6800"/>
            <w:tcMar>
              <w:top w:type="dxa" w:w="70"/>
              <w:left w:type="dxa" w:w="100"/>
              <w:bottom w:type="dxa" w:w="70"/>
              <w:right w:type="dxa" w:w="100"/>
            </w:tcMar>
            <w:vAlign w:val="center"/>
          </w:tcPr>
          <w:p>
            <w:r>
              <w:rPr>
                <w:sz w:val="17"/>
                <w:szCs w:val="17"/>
              </w:rPr>
              <w:t xml:space="preserve">File upload with type selection or auto-detect, live parse statistics, generated-alert preview</w:t>
            </w:r>
          </w:p>
        </w:tc>
      </w:tr>
      <w:tr>
        <w:tc>
          <w:tcPr>
            <w:tcW w:type="dxa" w:w="2400"/>
            <w:tcMar>
              <w:top w:type="dxa" w:w="70"/>
              <w:left w:type="dxa" w:w="100"/>
              <w:bottom w:type="dxa" w:w="70"/>
              <w:right w:type="dxa" w:w="100"/>
            </w:tcMar>
            <w:vAlign w:val="center"/>
          </w:tcPr>
          <w:p>
            <w:r>
              <w:rPr>
                <w:sz w:val="17"/>
                <w:szCs w:val="17"/>
              </w:rPr>
              <w:t xml:space="preserve">Alert management</w:t>
            </w:r>
          </w:p>
        </w:tc>
        <w:tc>
          <w:tcPr>
            <w:tcW w:type="dxa" w:w="6800"/>
            <w:tcMar>
              <w:top w:type="dxa" w:w="70"/>
              <w:left w:type="dxa" w:w="100"/>
              <w:bottom w:type="dxa" w:w="70"/>
              <w:right w:type="dxa" w:w="100"/>
            </w:tcMar>
            <w:vAlign w:val="center"/>
          </w:tcPr>
          <w:p>
            <w:r>
              <w:rPr>
                <w:sz w:val="17"/>
                <w:szCs w:val="17"/>
              </w:rPr>
              <w:t xml:space="preserve">Acknowledge, assign, investigate, resolve, close, mark false positive, add notes</w:t>
            </w:r>
          </w:p>
        </w:tc>
      </w:tr>
      <w:tr>
        <w:tc>
          <w:tcPr>
            <w:tcW w:type="dxa" w:w="2400"/>
            <w:tcMar>
              <w:top w:type="dxa" w:w="70"/>
              <w:left w:type="dxa" w:w="100"/>
              <w:bottom w:type="dxa" w:w="70"/>
              <w:right w:type="dxa" w:w="100"/>
            </w:tcMar>
            <w:vAlign w:val="center"/>
          </w:tcPr>
          <w:p>
            <w:r>
              <w:rPr>
                <w:sz w:val="17"/>
                <w:szCs w:val="17"/>
              </w:rPr>
              <w:t xml:space="preserve">Investigation management</w:t>
            </w:r>
          </w:p>
        </w:tc>
        <w:tc>
          <w:tcPr>
            <w:tcW w:type="dxa" w:w="6800"/>
            <w:tcMar>
              <w:top w:type="dxa" w:w="70"/>
              <w:left w:type="dxa" w:w="100"/>
              <w:bottom w:type="dxa" w:w="70"/>
              <w:right w:type="dxa" w:w="100"/>
            </w:tcMar>
            <w:vAlign w:val="center"/>
          </w:tcPr>
          <w:p>
            <w:r>
              <w:rPr>
                <w:sz w:val="17"/>
                <w:szCs w:val="17"/>
              </w:rPr>
              <w:t xml:space="preserve">Create, filter, note, timeline view, evidence attachment, team assignment, status update, close with resolution</w:t>
            </w:r>
          </w:p>
        </w:tc>
      </w:tr>
      <w:tr>
        <w:tc>
          <w:tcPr>
            <w:tcW w:type="dxa" w:w="2400"/>
            <w:tcMar>
              <w:top w:type="dxa" w:w="70"/>
              <w:left w:type="dxa" w:w="100"/>
              <w:bottom w:type="dxa" w:w="70"/>
              <w:right w:type="dxa" w:w="100"/>
            </w:tcMar>
            <w:vAlign w:val="center"/>
          </w:tcPr>
          <w:p>
            <w:r>
              <w:rPr>
                <w:sz w:val="17"/>
                <w:szCs w:val="17"/>
              </w:rPr>
              <w:t xml:space="preserve">Reporting</w:t>
            </w:r>
          </w:p>
        </w:tc>
        <w:tc>
          <w:tcPr>
            <w:tcW w:type="dxa" w:w="6800"/>
            <w:tcMar>
              <w:top w:type="dxa" w:w="70"/>
              <w:left w:type="dxa" w:w="100"/>
              <w:bottom w:type="dxa" w:w="70"/>
              <w:right w:type="dxa" w:w="100"/>
            </w:tcMar>
            <w:vAlign w:val="center"/>
          </w:tcPr>
          <w:p>
            <w:r>
              <w:rPr>
                <w:sz w:val="17"/>
                <w:szCs w:val="17"/>
              </w:rPr>
              <w:t xml:space="preserve">Six report types across JSON/CSV/HTML with custom date ranges and automatic statistics</w:t>
            </w:r>
          </w:p>
        </w:tc>
      </w:tr>
      <w:tr>
        <w:tc>
          <w:tcPr>
            <w:tcW w:type="dxa" w:w="2400"/>
            <w:tcMar>
              <w:top w:type="dxa" w:w="70"/>
              <w:left w:type="dxa" w:w="100"/>
              <w:bottom w:type="dxa" w:w="70"/>
              <w:right w:type="dxa" w:w="100"/>
            </w:tcMar>
            <w:vAlign w:val="center"/>
          </w:tcPr>
          <w:p>
            <w:r>
              <w:rPr>
                <w:sz w:val="17"/>
                <w:szCs w:val="17"/>
              </w:rPr>
              <w:t xml:space="preserve">Profile &amp; admin</w:t>
            </w:r>
          </w:p>
        </w:tc>
        <w:tc>
          <w:tcPr>
            <w:tcW w:type="dxa" w:w="6800"/>
            <w:tcMar>
              <w:top w:type="dxa" w:w="70"/>
              <w:left w:type="dxa" w:w="100"/>
              <w:bottom w:type="dxa" w:w="70"/>
              <w:right w:type="dxa" w:w="100"/>
            </w:tcMar>
            <w:vAlign w:val="center"/>
          </w:tcPr>
          <w:p>
            <w:r>
              <w:rPr>
                <w:sz w:val="17"/>
                <w:szCs w:val="17"/>
              </w:rPr>
              <w:t xml:space="preserve">Update profile, change password, view activity stats, manage users, configure log sources and rules</w:t>
            </w:r>
          </w:p>
        </w:tc>
      </w:tr>
      <w:tr>
        <w:tc>
          <w:tcPr>
            <w:tcW w:type="dxa" w:w="2400"/>
            <w:tcMar>
              <w:top w:type="dxa" w:w="70"/>
              <w:left w:type="dxa" w:w="100"/>
              <w:bottom w:type="dxa" w:w="70"/>
              <w:right w:type="dxa" w:w="100"/>
            </w:tcMar>
            <w:vAlign w:val="center"/>
          </w:tcPr>
          <w:p>
            <w:r>
              <w:rPr>
                <w:sz w:val="17"/>
                <w:szCs w:val="17"/>
              </w:rPr>
              <w:t xml:space="preserve">Export</w:t>
            </w:r>
          </w:p>
        </w:tc>
        <w:tc>
          <w:tcPr>
            <w:tcW w:type="dxa" w:w="6800"/>
            <w:tcMar>
              <w:top w:type="dxa" w:w="70"/>
              <w:left w:type="dxa" w:w="100"/>
              <w:bottom w:type="dxa" w:w="70"/>
              <w:right w:type="dxa" w:w="100"/>
            </w:tcMar>
            <w:vAlign w:val="center"/>
          </w:tcPr>
          <w:p>
            <w:r>
              <w:rPr>
                <w:sz w:val="17"/>
                <w:szCs w:val="17"/>
              </w:rPr>
              <w:t xml:space="preserve">Filtered CSV export of events with automatic audit logging</w:t>
            </w:r>
          </w:p>
        </w:tc>
      </w:tr>
    </w:tbl>
    <w:p>
      <w:pPr>
        <w:pStyle w:val="Heading2"/>
        <w:spacing w:after="140" w:before="300"/>
      </w:pPr>
      <w:r>
        <w:rPr>
          <w:b/>
          <w:bCs/>
          <w:color w:val="2E74B5"/>
        </w:rPr>
        <w:t xml:space="preserve">9.3 Challenges Encountered and Resolutions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3864" w:val="clear"/>
            <w:tcMar>
              <w:top w:type="dxa" w:w="80"/>
              <w:left w:type="dxa" w:w="100"/>
              <w:bottom w:type="dxa" w:w="80"/>
              <w:right w:type="dxa" w:w="100"/>
            </w:tcMar>
            <w:vAlign w:val="center"/>
          </w:tcPr>
          <w:p>
            <w:r>
              <w:rPr>
                <w:b/>
                <w:bCs/>
                <w:color w:val="FFFFFF"/>
                <w:sz w:val="16"/>
                <w:szCs w:val="16"/>
              </w:rPr>
              <w:t xml:space="preserve">Challenge</w:t>
            </w:r>
          </w:p>
        </w:tc>
        <w:tc>
          <w:tcPr>
            <w:tcW w:type="dxa" w:w="5600"/>
            <w:shd w:fill="1F3864" w:val="clear"/>
            <w:tcMar>
              <w:top w:type="dxa" w:w="80"/>
              <w:left w:type="dxa" w:w="100"/>
              <w:bottom w:type="dxa" w:w="80"/>
              <w:right w:type="dxa" w:w="100"/>
            </w:tcMar>
            <w:vAlign w:val="center"/>
          </w:tcPr>
          <w:p>
            <w:r>
              <w:rPr>
                <w:b/>
                <w:bCs/>
                <w:color w:val="FFFFFF"/>
                <w:sz w:val="16"/>
                <w:szCs w:val="16"/>
              </w:rPr>
              <w:t xml:space="preserve">Resolution</w:t>
            </w:r>
          </w:p>
        </w:tc>
      </w:tr>
      <w:tr>
        <w:tc>
          <w:tcPr>
            <w:tcW w:type="dxa" w:w="3600"/>
            <w:tcMar>
              <w:top w:type="dxa" w:w="70"/>
              <w:left w:type="dxa" w:w="100"/>
              <w:bottom w:type="dxa" w:w="70"/>
              <w:right w:type="dxa" w:w="100"/>
            </w:tcMar>
            <w:vAlign w:val="center"/>
          </w:tcPr>
          <w:p>
            <w:r>
              <w:rPr>
                <w:sz w:val="16"/>
                <w:szCs w:val="16"/>
              </w:rPr>
              <w:t xml:space="preserve">Dashboard NameError crash on an undefined AI variable</w:t>
            </w:r>
          </w:p>
        </w:tc>
        <w:tc>
          <w:tcPr>
            <w:tcW w:type="dxa" w:w="5600"/>
            <w:tcMar>
              <w:top w:type="dxa" w:w="70"/>
              <w:left w:type="dxa" w:w="100"/>
              <w:bottom w:type="dxa" w:w="70"/>
              <w:right w:type="dxa" w:w="100"/>
            </w:tcMar>
            <w:vAlign w:val="center"/>
          </w:tcPr>
          <w:p>
            <w:r>
              <w:rPr>
                <w:sz w:val="16"/>
                <w:szCs w:val="16"/>
              </w:rPr>
              <w:t xml:space="preserve">Added a null-safe guard in the view, initialising ai_insights = None before conditional assignment</w:t>
            </w:r>
          </w:p>
        </w:tc>
      </w:tr>
      <w:tr>
        <w:tc>
          <w:tcPr>
            <w:tcW w:type="dxa" w:w="3600"/>
            <w:tcMar>
              <w:top w:type="dxa" w:w="70"/>
              <w:left w:type="dxa" w:w="100"/>
              <w:bottom w:type="dxa" w:w="70"/>
              <w:right w:type="dxa" w:w="100"/>
            </w:tcMar>
            <w:vAlign w:val="center"/>
          </w:tcPr>
          <w:p>
            <w:r>
              <w:rPr>
                <w:sz w:val="16"/>
                <w:szCs w:val="16"/>
              </w:rPr>
              <w:t xml:space="preserve">Sidebar collapse button had no visible effect</w:t>
            </w:r>
          </w:p>
        </w:tc>
        <w:tc>
          <w:tcPr>
            <w:tcW w:type="dxa" w:w="5600"/>
            <w:tcMar>
              <w:top w:type="dxa" w:w="70"/>
              <w:left w:type="dxa" w:w="100"/>
              <w:bottom w:type="dxa" w:w="70"/>
              <w:right w:type="dxa" w:w="100"/>
            </w:tcMar>
            <w:vAlign w:val="center"/>
          </w:tcPr>
          <w:p>
            <w:r>
              <w:rPr>
                <w:sz w:val="16"/>
                <w:szCs w:val="16"/>
              </w:rPr>
              <w:t xml:space="preserve">Root cause: the .sidebar-collapsed class existed in JavaScript but had no corresponding CSS rule; fixed by adding explicit width and min-width overrides and hiding label spans in the collapsed state</w:t>
            </w:r>
          </w:p>
        </w:tc>
      </w:tr>
      <w:tr>
        <w:tc>
          <w:tcPr>
            <w:tcW w:type="dxa" w:w="3600"/>
            <w:tcMar>
              <w:top w:type="dxa" w:w="70"/>
              <w:left w:type="dxa" w:w="100"/>
              <w:bottom w:type="dxa" w:w="70"/>
              <w:right w:type="dxa" w:w="100"/>
            </w:tcMar>
            <w:vAlign w:val="center"/>
          </w:tcPr>
          <w:p>
            <w:r>
              <w:rPr>
                <w:sz w:val="16"/>
                <w:szCs w:val="16"/>
              </w:rPr>
              <w:t xml:space="preserve">Log parser failing on mixed log formats in a single file</w:t>
            </w:r>
          </w:p>
        </w:tc>
        <w:tc>
          <w:tcPr>
            <w:tcW w:type="dxa" w:w="5600"/>
            <w:tcMar>
              <w:top w:type="dxa" w:w="70"/>
              <w:left w:type="dxa" w:w="100"/>
              <w:bottom w:type="dxa" w:w="70"/>
              <w:right w:type="dxa" w:w="100"/>
            </w:tcMar>
            <w:vAlign w:val="center"/>
          </w:tcPr>
          <w:p>
            <w:r>
              <w:rPr>
                <w:sz w:val="16"/>
                <w:szCs w:val="16"/>
              </w:rPr>
              <w:t xml:space="preserve">Replaced whole-file format assumption with line-by-line format detection and per-line fallback</w:t>
            </w:r>
          </w:p>
        </w:tc>
      </w:tr>
      <w:tr>
        <w:tc>
          <w:tcPr>
            <w:tcW w:type="dxa" w:w="3600"/>
            <w:tcMar>
              <w:top w:type="dxa" w:w="70"/>
              <w:left w:type="dxa" w:w="100"/>
              <w:bottom w:type="dxa" w:w="70"/>
              <w:right w:type="dxa" w:w="100"/>
            </w:tcMar>
            <w:vAlign w:val="center"/>
          </w:tcPr>
          <w:p>
            <w:r>
              <w:rPr>
                <w:sz w:val="16"/>
                <w:szCs w:val="16"/>
              </w:rPr>
              <w:t xml:space="preserve">Chart.js receiving undefined data on an empty database</w:t>
            </w:r>
          </w:p>
        </w:tc>
        <w:tc>
          <w:tcPr>
            <w:tcW w:type="dxa" w:w="5600"/>
            <w:tcMar>
              <w:top w:type="dxa" w:w="70"/>
              <w:left w:type="dxa" w:w="100"/>
              <w:bottom w:type="dxa" w:w="70"/>
              <w:right w:type="dxa" w:w="100"/>
            </w:tcMar>
            <w:vAlign w:val="center"/>
          </w:tcPr>
          <w:p>
            <w:r>
              <w:rPr>
                <w:sz w:val="16"/>
                <w:szCs w:val="16"/>
              </w:rPr>
              <w:t xml:space="preserve">Added json_script-safe serialisation with empty-array defaults for all chart datasets</w:t>
            </w:r>
          </w:p>
        </w:tc>
      </w:tr>
      <w:tr>
        <w:tc>
          <w:tcPr>
            <w:tcW w:type="dxa" w:w="3600"/>
            <w:tcMar>
              <w:top w:type="dxa" w:w="70"/>
              <w:left w:type="dxa" w:w="100"/>
              <w:bottom w:type="dxa" w:w="70"/>
              <w:right w:type="dxa" w:w="100"/>
            </w:tcMar>
            <w:vAlign w:val="center"/>
          </w:tcPr>
          <w:p>
            <w:r>
              <w:rPr>
                <w:sz w:val="16"/>
                <w:szCs w:val="16"/>
              </w:rPr>
              <w:t xml:space="preserve">Investigation notes duplicating on page refresh</w:t>
            </w:r>
          </w:p>
        </w:tc>
        <w:tc>
          <w:tcPr>
            <w:tcW w:type="dxa" w:w="5600"/>
            <w:tcMar>
              <w:top w:type="dxa" w:w="70"/>
              <w:left w:type="dxa" w:w="100"/>
              <w:bottom w:type="dxa" w:w="70"/>
              <w:right w:type="dxa" w:w="100"/>
            </w:tcMar>
            <w:vAlign w:val="center"/>
          </w:tcPr>
          <w:p>
            <w:r>
              <w:rPr>
                <w:sz w:val="16"/>
                <w:szCs w:val="16"/>
              </w:rPr>
              <w:t xml:space="preserve">Changed note submission to a POST-redirect-GET pattern to prevent browser re-submission</w:t>
            </w:r>
          </w:p>
        </w:tc>
      </w:tr>
      <w:tr>
        <w:tc>
          <w:tcPr>
            <w:tcW w:type="dxa" w:w="3600"/>
            <w:tcMar>
              <w:top w:type="dxa" w:w="70"/>
              <w:left w:type="dxa" w:w="100"/>
              <w:bottom w:type="dxa" w:w="70"/>
              <w:right w:type="dxa" w:w="100"/>
            </w:tcMar>
            <w:vAlign w:val="center"/>
          </w:tcPr>
          <w:p>
            <w:r>
              <w:rPr>
                <w:sz w:val="16"/>
                <w:szCs w:val="16"/>
              </w:rPr>
              <w:t xml:space="preserve">CSRF token errors on the investigation checklist AJAX calls</w:t>
            </w:r>
          </w:p>
        </w:tc>
        <w:tc>
          <w:tcPr>
            <w:tcW w:type="dxa" w:w="5600"/>
            <w:tcMar>
              <w:top w:type="dxa" w:w="70"/>
              <w:left w:type="dxa" w:w="100"/>
              <w:bottom w:type="dxa" w:w="70"/>
              <w:right w:type="dxa" w:w="100"/>
            </w:tcMar>
            <w:vAlign w:val="center"/>
          </w:tcPr>
          <w:p>
            <w:r>
              <w:rPr>
                <w:sz w:val="16"/>
                <w:szCs w:val="16"/>
              </w:rPr>
              <w:t xml:space="preserve">Added an X-CSRFToken header to every fetch() call, sourced from the Django CSRF cookie</w:t>
            </w:r>
          </w:p>
        </w:tc>
      </w:tr>
    </w:tbl>
    <w:p>
      <w:pPr>
        <w:pStyle w:val="Heading2"/>
        <w:spacing w:after="140" w:before="300"/>
      </w:pPr>
      <w:r>
        <w:rPr>
          <w:b/>
          <w:bCs/>
          <w:color w:val="2E74B5"/>
        </w:rPr>
        <w:t xml:space="preserve">9.4 Discussion</w:t>
      </w:r>
    </w:p>
    <w:p>
      <w:pPr>
        <w:spacing w:after="160" w:line="300"/>
      </w:pPr>
      <w:r>
        <w:t xml:space="preserve">The most significant technical achievement of the project is the end-to-end pipeline demonstrated in Chapter 5: a raw Apache or syslog file uploaded by an analyst is automatically parsed, classified, correlated into alerts, mapped against MITRE ATT&amp;CK, and presented with AI-suggested remediation steps — all within a single, cohesive interface, without the analyst needing to touch a second tool. This validates the core hypothesis behind the project: that a single, well-structured Django application can deliver the essential SIEM analyst workflow without the operational overhead of a distributed log-analytics stack.</w:t>
      </w:r>
    </w:p>
    <w:p>
      <w:pPr>
        <w:spacing w:after="160" w:line="300"/>
      </w:pPr>
      <w:r>
        <w:t xml:space="preserve">The iterative, sprint-based methodology proved effective in a solo-developer context. Structural decisions made early (model hierarchy, URL routing, template inheritance) held firm through to the end of the project, while later sprints were free to focus on user-experience refinement and defect resolution without having to revisit the data layer. This is reflected in the challenges log in §9.3, where every recorded issue was a presentation-layer or integration bug rather than a schema-level defect requiring rework.</w:t>
      </w:r>
    </w:p>
    <w:p>
      <w:pPr>
        <w:spacing w:after="160" w:line="300"/>
      </w:pPr>
      <w:r>
        <w:t xml:space="preserve">The clearest limitation, discussed in §8.5, is scale: the current SQLite-backed development configuration is appropriate for the SME context the project targets, but a production deployment ingesting high log volumes would need the PostgreSQL migration path (already supported by the ORM abstraction) exercised and load-tested before go-live.</w:t>
      </w:r>
    </w:p>
    <w:p>
      <w:r>
        <w:br w:type="page"/>
      </w:r>
    </w:p>
    <w:p>
      <w:pPr>
        <w:pStyle w:val="Heading1"/>
        <w:spacing w:after="200" w:before="420"/>
      </w:pPr>
      <w:r>
        <w:rPr>
          <w:b/>
          <w:bCs/>
          <w:color w:val="1F3864"/>
        </w:rPr>
        <w:t xml:space="preserve">10. Conclusion &amp; Recommendations</w:t>
      </w:r>
    </w:p>
    <w:p>
      <w:pPr>
        <w:pStyle w:val="Heading2"/>
        <w:spacing w:after="140" w:before="300"/>
      </w:pPr>
      <w:r>
        <w:rPr>
          <w:b/>
          <w:bCs/>
          <w:color w:val="2E74B5"/>
        </w:rPr>
        <w:t xml:space="preserve">10.1 Conclusion</w:t>
      </w:r>
    </w:p>
    <w:p>
      <w:pPr>
        <w:spacing w:after="160" w:line="300"/>
      </w:pPr>
      <w:r>
        <w:t xml:space="preserve">Rebaden successfully meets all nine objectives defined at the outset of the project. The platform delivers a complete security-analyst workflow — from raw log import through event correlation, alert triage, and structured investigation, to AI-assisted remediation and multi-format reporting — in a self-hosted, single-engineer-deployable package. The system directly addresses the problem statement in Chapter 1: SMEs and small security teams now have a credible, affordable alternative to enterprise SIEM licensing for establishing a baseline security-monitoring capability.</w:t>
      </w:r>
    </w:p>
    <w:p>
      <w:pPr>
        <w:spacing w:after="160" w:line="300"/>
      </w:pPr>
      <w:r>
        <w:t xml:space="preserve">The Agile, sprint-based methodology described in Chapter 3 was well suited to a solo-developer project of this scope, allowing structural decisions to be validated early and user-facing polish to be layered on in later sprints without destabilising the data model. Manual testing (Chapter 8) confirmed correct behaviour across the core workflows, and the challenges encountered during development (§9.3) were resolved without requiring architectural rework.</w:t>
      </w:r>
    </w:p>
    <w:p>
      <w:pPr>
        <w:pStyle w:val="Heading2"/>
        <w:spacing w:after="140" w:before="300"/>
      </w:pPr>
      <w:r>
        <w:rPr>
          <w:b/>
          <w:bCs/>
          <w:color w:val="2E74B5"/>
        </w:rPr>
        <w:t xml:space="preserve">10.2 Recommendations for Future Work</w:t>
      </w:r>
    </w:p>
    <w:p>
      <w:pPr>
        <w:spacing w:after="160" w:line="300"/>
      </w:pPr>
      <w:r>
        <w:t xml:space="preserve">The following priorities are recommended for a subsequent development phase:</w:t>
      </w:r>
    </w:p>
    <w:p>
      <w:pPr>
        <w:pStyle w:val="ListParagraph"/>
        <w:numPr>
          <w:ilvl w:val="0"/>
          <w:numId w:val="1"/>
        </w:numPr>
        <w:spacing w:after="80"/>
      </w:pPr>
      <w:r>
        <w:t xml:space="preserve">PostgreSQL migration and load testing — exercise the already-supported PostgreSQL configuration at production-representative log volumes to validate the indexing strategy under real concurrency.</w:t>
      </w:r>
    </w:p>
    <w:p>
      <w:pPr>
        <w:pStyle w:val="ListParagraph"/>
        <w:numPr>
          <w:ilvl w:val="0"/>
          <w:numId w:val="1"/>
        </w:numPr>
        <w:spacing w:after="80"/>
      </w:pPr>
      <w:r>
        <w:t xml:space="preserve">Real-time log agent integration — move beyond file-upload ingestion to streaming ingestion via lightweight forwarders (e.g., Filebeat-style agents) for near-real-time detection.</w:t>
      </w:r>
    </w:p>
    <w:p>
      <w:pPr>
        <w:pStyle w:val="ListParagraph"/>
        <w:numPr>
          <w:ilvl w:val="0"/>
          <w:numId w:val="1"/>
        </w:numPr>
        <w:spacing w:after="80"/>
      </w:pPr>
      <w:r>
        <w:t xml:space="preserve">SOAR playbook automation — extend the existing Playbook/PlaybookExecution models into fully automated, multi-step response actions (account lockout, firewall rule changes, ticket creation) rather than the current semi-automated execution.</w:t>
      </w:r>
    </w:p>
    <w:p>
      <w:pPr>
        <w:pStyle w:val="ListParagraph"/>
        <w:numPr>
          <w:ilvl w:val="0"/>
          <w:numId w:val="1"/>
        </w:numPr>
        <w:spacing w:after="80"/>
      </w:pPr>
      <w:r>
        <w:t xml:space="preserve">Third-party threat-intelligence feed connectors — integrate STIX/TAXII-compatible feeds to keep the IOC store current without manual entry.</w:t>
      </w:r>
    </w:p>
    <w:p>
      <w:pPr>
        <w:pStyle w:val="ListParagraph"/>
        <w:numPr>
          <w:ilvl w:val="0"/>
          <w:numId w:val="1"/>
        </w:numPr>
        <w:spacing w:after="80"/>
      </w:pPr>
      <w:r>
        <w:t xml:space="preserve">Automated data retention — implement the scheduled Celery task described in §7.6.3 to prune Event rows beyond the organisation's retention policy without manual admin intervention.</w:t>
      </w:r>
    </w:p>
    <w:p>
      <w:pPr>
        <w:pStyle w:val="ListParagraph"/>
        <w:numPr>
          <w:ilvl w:val="0"/>
          <w:numId w:val="1"/>
        </w:numPr>
        <w:spacing w:after="80"/>
      </w:pPr>
      <w:r>
        <w:t xml:space="preserve">Formal automated test suite — convert the manual scenario tests in Chapter 8 into an automated Django test suite (unit and integration) to guard against regression as new features are added.</w:t>
      </w:r>
    </w:p>
    <w:p>
      <w:pPr>
        <w:pStyle w:val="ListParagraph"/>
        <w:numPr>
          <w:ilvl w:val="0"/>
          <w:numId w:val="1"/>
        </w:numPr>
        <w:spacing w:after="80"/>
      </w:pPr>
      <w:r>
        <w:t xml:space="preserve">Native mobile companion app — extend visibility into critical alerts and investigation status to mobile devices for on-call analysts, as scoped out in §1.4.2.</w:t>
      </w:r>
    </w:p>
    <w:p>
      <w:r>
        <w:br w:type="page"/>
      </w:r>
    </w:p>
    <w:p>
      <w:pPr>
        <w:pStyle w:val="Heading1"/>
        <w:spacing w:after="200" w:before="420"/>
      </w:pPr>
      <w:r>
        <w:rPr>
          <w:b/>
          <w:bCs/>
          <w:color w:val="1F3864"/>
        </w:rPr>
        <w:t xml:space="preserve">11. References</w:t>
      </w:r>
    </w:p>
    <w:p>
      <w:pPr>
        <w:spacing w:after="130"/>
        <w:ind w:left="400" w:hanging="400"/>
      </w:pPr>
      <w:r>
        <w:t xml:space="preserve">[1]  Django Software Foundation. Django Documentation. https://docs.djangoproject.com/</w:t>
      </w:r>
    </w:p>
    <w:p>
      <w:pPr>
        <w:spacing w:after="130"/>
        <w:ind w:left="400" w:hanging="400"/>
      </w:pPr>
      <w:r>
        <w:t xml:space="preserve">[2]  Django REST Framework. Official Documentation. https://www.django-rest-framework.org/</w:t>
      </w:r>
    </w:p>
    <w:p>
      <w:pPr>
        <w:spacing w:after="130"/>
        <w:ind w:left="400" w:hanging="400"/>
      </w:pPr>
      <w:r>
        <w:t xml:space="preserve">[3]  MITRE Corporation. MITRE ATT&amp;CK Framework. https://attack.mitre.org/</w:t>
      </w:r>
    </w:p>
    <w:p>
      <w:pPr>
        <w:spacing w:after="130"/>
        <w:ind w:left="400" w:hanging="400"/>
      </w:pPr>
      <w:r>
        <w:t xml:space="preserve">[4]  OWASP Foundation. OWASP Top Ten. https://owasp.org/www-project-top-ten/</w:t>
      </w:r>
    </w:p>
    <w:p>
      <w:pPr>
        <w:spacing w:after="130"/>
        <w:ind w:left="400" w:hanging="400"/>
      </w:pPr>
      <w:r>
        <w:t xml:space="preserve">[5]  National Institute of Standards and Technology. NIST Cybersecurity Framework. https://www.nist.gov/cyberframework</w:t>
      </w:r>
    </w:p>
    <w:p>
      <w:pPr>
        <w:spacing w:after="130"/>
        <w:ind w:left="400" w:hanging="400"/>
      </w:pPr>
      <w:r>
        <w:t xml:space="preserve">[6]  OpenAI. GPT-4o Model Documentation. https://platform.openai.com/docs/</w:t>
      </w:r>
    </w:p>
    <w:p>
      <w:pPr>
        <w:spacing w:after="130"/>
        <w:ind w:left="400" w:hanging="400"/>
      </w:pPr>
      <w:r>
        <w:t xml:space="preserve">[7]  Chart.js Contributors. Chart.js Documentation. https://www.chartjs.org/docs/</w:t>
      </w:r>
    </w:p>
    <w:p>
      <w:pPr>
        <w:spacing w:after="130"/>
        <w:ind w:left="400" w:hanging="400"/>
      </w:pPr>
      <w:r>
        <w:t xml:space="preserve">[8]  Splunk Inc. Splunk Enterprise Security Documentation. https://www.splunk.com/</w:t>
      </w:r>
    </w:p>
    <w:p>
      <w:pPr>
        <w:spacing w:after="130"/>
        <w:ind w:left="400" w:hanging="400"/>
      </w:pPr>
      <w:r>
        <w:t xml:space="preserve">[9]  IBM. IBM QRadar SIEM Documentation. https://www.ibm.com/qradar</w:t>
      </w:r>
    </w:p>
    <w:p>
      <w:pPr>
        <w:spacing w:after="130"/>
        <w:ind w:left="400" w:hanging="400"/>
      </w:pPr>
      <w:r>
        <w:t xml:space="preserve">[10]  Wazuh Inc. Wazuh Documentation. https://documentation.wazuh.com/</w:t>
      </w:r>
    </w:p>
    <w:p>
      <w:pPr>
        <w:spacing w:after="130"/>
        <w:ind w:left="400" w:hanging="400"/>
      </w:pPr>
      <w:r>
        <w:t xml:space="preserve">[11]  Elastic NV. Elastic Security Documentation. https://www.elastic.co/security</w:t>
      </w:r>
    </w:p>
    <w:p>
      <w:r>
        <w:br w:type="page"/>
      </w:r>
    </w:p>
    <w:p>
      <w:pPr>
        <w:pStyle w:val="Heading1"/>
        <w:spacing w:after="200" w:before="420"/>
      </w:pPr>
      <w:r>
        <w:rPr>
          <w:b/>
          <w:bCs/>
          <w:color w:val="1F3864"/>
        </w:rPr>
        <w:t xml:space="preserve">Appendix A — API Quick Reference</w:t>
      </w:r>
    </w:p>
    <w:p>
      <w:pPr>
        <w:spacing w:after="160" w:line="300"/>
      </w:pPr>
      <w:r>
        <w:t xml:space="preserve">Base URL (session-authenticated, current build): http://127.0.0.1:8000/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00"/>
      </w:tblGrid>
      <w:tr>
        <w:trPr>
          <w:tblHeader/>
        </w:trPr>
        <w:tc>
          <w:tcPr>
            <w:tcW w:type="dxa" w:w="3400"/>
            <w:shd w:fill="1F3864" w:val="clear"/>
            <w:tcMar>
              <w:top w:type="dxa" w:w="80"/>
              <w:left w:type="dxa" w:w="100"/>
              <w:bottom w:type="dxa" w:w="80"/>
              <w:right w:type="dxa" w:w="100"/>
            </w:tcMar>
            <w:vAlign w:val="center"/>
          </w:tcPr>
          <w:p>
            <w:r>
              <w:rPr>
                <w:b/>
                <w:bCs/>
                <w:color w:val="FFFFFF"/>
                <w:sz w:val="19"/>
                <w:szCs w:val="19"/>
              </w:rPr>
              <w:t xml:space="preserve">Endpoint</w:t>
            </w:r>
          </w:p>
        </w:tc>
        <w:tc>
          <w:tcPr>
            <w:tcW w:type="dxa" w:w="12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44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3400"/>
            <w:tcMar>
              <w:top w:type="dxa" w:w="70"/>
              <w:left w:type="dxa" w:w="100"/>
              <w:bottom w:type="dxa" w:w="70"/>
              <w:right w:type="dxa" w:w="100"/>
            </w:tcMar>
            <w:vAlign w:val="center"/>
          </w:tcPr>
          <w:p>
            <w:r>
              <w:rPr>
                <w:sz w:val="19"/>
                <w:szCs w:val="19"/>
              </w:rPr>
              <w:t xml:space="preserve">/api/events/?range=24h</w:t>
            </w:r>
          </w:p>
        </w:tc>
        <w:tc>
          <w:tcPr>
            <w:tcW w:type="dxa" w:w="1200"/>
            <w:tcMar>
              <w:top w:type="dxa" w:w="70"/>
              <w:left w:type="dxa" w:w="100"/>
              <w:bottom w:type="dxa" w:w="70"/>
              <w:right w:type="dxa" w:w="100"/>
            </w:tcMar>
            <w:vAlign w:val="center"/>
          </w:tcPr>
          <w:p>
            <w:r>
              <w:rPr>
                <w:sz w:val="19"/>
                <w:szCs w:val="19"/>
              </w:rPr>
              <w:t xml:space="preserve">GET</w:t>
            </w:r>
          </w:p>
        </w:tc>
        <w:tc>
          <w:tcPr>
            <w:tcW w:type="dxa" w:w="4400"/>
            <w:tcMar>
              <w:top w:type="dxa" w:w="70"/>
              <w:left w:type="dxa" w:w="100"/>
              <w:bottom w:type="dxa" w:w="70"/>
              <w:right w:type="dxa" w:w="100"/>
            </w:tcMar>
            <w:vAlign w:val="center"/>
          </w:tcPr>
          <w:p>
            <w:r>
              <w:rPr>
                <w:sz w:val="19"/>
                <w:szCs w:val="19"/>
              </w:rPr>
              <w:t xml:space="preserve">Retrieve security events for a time range (1h / 24h / 7d)</w:t>
            </w:r>
          </w:p>
        </w:tc>
      </w:tr>
      <w:tr>
        <w:tc>
          <w:tcPr>
            <w:tcW w:type="dxa" w:w="3400"/>
            <w:tcMar>
              <w:top w:type="dxa" w:w="70"/>
              <w:left w:type="dxa" w:w="100"/>
              <w:bottom w:type="dxa" w:w="70"/>
              <w:right w:type="dxa" w:w="100"/>
            </w:tcMar>
            <w:vAlign w:val="center"/>
          </w:tcPr>
          <w:p>
            <w:r>
              <w:rPr>
                <w:sz w:val="19"/>
                <w:szCs w:val="19"/>
              </w:rPr>
              <w:t xml:space="preserve">/api/alerts/stats/</w:t>
            </w:r>
          </w:p>
        </w:tc>
        <w:tc>
          <w:tcPr>
            <w:tcW w:type="dxa" w:w="1200"/>
            <w:tcMar>
              <w:top w:type="dxa" w:w="70"/>
              <w:left w:type="dxa" w:w="100"/>
              <w:bottom w:type="dxa" w:w="70"/>
              <w:right w:type="dxa" w:w="100"/>
            </w:tcMar>
            <w:vAlign w:val="center"/>
          </w:tcPr>
          <w:p>
            <w:r>
              <w:rPr>
                <w:sz w:val="19"/>
                <w:szCs w:val="19"/>
              </w:rPr>
              <w:t xml:space="preserve">GET</w:t>
            </w:r>
          </w:p>
        </w:tc>
        <w:tc>
          <w:tcPr>
            <w:tcW w:type="dxa" w:w="4400"/>
            <w:tcMar>
              <w:top w:type="dxa" w:w="70"/>
              <w:left w:type="dxa" w:w="100"/>
              <w:bottom w:type="dxa" w:w="70"/>
              <w:right w:type="dxa" w:w="100"/>
            </w:tcMar>
            <w:vAlign w:val="center"/>
          </w:tcPr>
          <w:p>
            <w:r>
              <w:rPr>
                <w:sz w:val="19"/>
                <w:szCs w:val="19"/>
              </w:rPr>
              <w:t xml:space="preserve">Alert counts grouped by severity and status</w:t>
            </w:r>
          </w:p>
        </w:tc>
      </w:tr>
      <w:tr>
        <w:tc>
          <w:tcPr>
            <w:tcW w:type="dxa" w:w="3400"/>
            <w:tcMar>
              <w:top w:type="dxa" w:w="70"/>
              <w:left w:type="dxa" w:w="100"/>
              <w:bottom w:type="dxa" w:w="70"/>
              <w:right w:type="dxa" w:w="100"/>
            </w:tcMar>
            <w:vAlign w:val="center"/>
          </w:tcPr>
          <w:p>
            <w:r>
              <w:rPr>
                <w:sz w:val="19"/>
                <w:szCs w:val="19"/>
              </w:rPr>
              <w:t xml:space="preserve">/api/threat-map/</w:t>
            </w:r>
          </w:p>
        </w:tc>
        <w:tc>
          <w:tcPr>
            <w:tcW w:type="dxa" w:w="1200"/>
            <w:tcMar>
              <w:top w:type="dxa" w:w="70"/>
              <w:left w:type="dxa" w:w="100"/>
              <w:bottom w:type="dxa" w:w="70"/>
              <w:right w:type="dxa" w:w="100"/>
            </w:tcMar>
            <w:vAlign w:val="center"/>
          </w:tcPr>
          <w:p>
            <w:r>
              <w:rPr>
                <w:sz w:val="19"/>
                <w:szCs w:val="19"/>
              </w:rPr>
              <w:t xml:space="preserve">GET</w:t>
            </w:r>
          </w:p>
        </w:tc>
        <w:tc>
          <w:tcPr>
            <w:tcW w:type="dxa" w:w="4400"/>
            <w:tcMar>
              <w:top w:type="dxa" w:w="70"/>
              <w:left w:type="dxa" w:w="100"/>
              <w:bottom w:type="dxa" w:w="70"/>
              <w:right w:type="dxa" w:w="100"/>
            </w:tcMar>
            <w:vAlign w:val="center"/>
          </w:tcPr>
          <w:p>
            <w:r>
              <w:rPr>
                <w:sz w:val="19"/>
                <w:szCs w:val="19"/>
              </w:rPr>
              <w:t xml:space="preserve">Geolocation data for threat-map visualisation</w:t>
            </w:r>
          </w:p>
        </w:tc>
      </w:tr>
    </w:tbl>
    <w:p>
      <w:pPr>
        <w:spacing w:after="160" w:line="300"/>
      </w:pPr>
      <w:r>
        <w:t xml:space="preserve">Planned versioned REST API (Django REST Framework, token-authenticated):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1F3864" w:val="clear"/>
            <w:tcMar>
              <w:top w:type="dxa" w:w="80"/>
              <w:left w:type="dxa" w:w="100"/>
              <w:bottom w:type="dxa" w:w="80"/>
              <w:right w:type="dxa" w:w="100"/>
            </w:tcMar>
            <w:vAlign w:val="center"/>
          </w:tcPr>
          <w:p>
            <w:r>
              <w:rPr>
                <w:b/>
                <w:bCs/>
                <w:color w:val="FFFFFF"/>
                <w:sz w:val="17"/>
                <w:szCs w:val="17"/>
              </w:rPr>
              <w:t xml:space="preserve">Resource</w:t>
            </w:r>
          </w:p>
        </w:tc>
        <w:tc>
          <w:tcPr>
            <w:tcW w:type="dxa" w:w="6600"/>
            <w:shd w:fill="1F3864" w:val="clear"/>
            <w:tcMar>
              <w:top w:type="dxa" w:w="80"/>
              <w:left w:type="dxa" w:w="100"/>
              <w:bottom w:type="dxa" w:w="80"/>
              <w:right w:type="dxa" w:w="100"/>
            </w:tcMar>
            <w:vAlign w:val="center"/>
          </w:tcPr>
          <w:p>
            <w:r>
              <w:rPr>
                <w:b/>
                <w:bCs/>
                <w:color w:val="FFFFFF"/>
                <w:sz w:val="17"/>
                <w:szCs w:val="17"/>
              </w:rPr>
              <w:t xml:space="preserve">Base Path</w:t>
            </w:r>
          </w:p>
        </w:tc>
      </w:tr>
      <w:tr>
        <w:tc>
          <w:tcPr>
            <w:tcW w:type="dxa" w:w="2200"/>
            <w:tcMar>
              <w:top w:type="dxa" w:w="70"/>
              <w:left w:type="dxa" w:w="100"/>
              <w:bottom w:type="dxa" w:w="70"/>
              <w:right w:type="dxa" w:w="100"/>
            </w:tcMar>
            <w:vAlign w:val="center"/>
          </w:tcPr>
          <w:p>
            <w:r>
              <w:rPr>
                <w:sz w:val="17"/>
                <w:szCs w:val="17"/>
              </w:rPr>
              <w:t xml:space="preserve">Events</w:t>
            </w:r>
          </w:p>
        </w:tc>
        <w:tc>
          <w:tcPr>
            <w:tcW w:type="dxa" w:w="6600"/>
            <w:tcMar>
              <w:top w:type="dxa" w:w="70"/>
              <w:left w:type="dxa" w:w="100"/>
              <w:bottom w:type="dxa" w:w="70"/>
              <w:right w:type="dxa" w:w="100"/>
            </w:tcMar>
            <w:vAlign w:val="center"/>
          </w:tcPr>
          <w:p>
            <w:r>
              <w:rPr>
                <w:sz w:val="17"/>
                <w:szCs w:val="17"/>
              </w:rPr>
              <w:t xml:space="preserve">/api/v1/events/  (+ by_severity/, by_category/, time_series/, bulk_create/)</w:t>
            </w:r>
          </w:p>
        </w:tc>
      </w:tr>
      <w:tr>
        <w:tc>
          <w:tcPr>
            <w:tcW w:type="dxa" w:w="2200"/>
            <w:tcMar>
              <w:top w:type="dxa" w:w="70"/>
              <w:left w:type="dxa" w:w="100"/>
              <w:bottom w:type="dxa" w:w="70"/>
              <w:right w:type="dxa" w:w="100"/>
            </w:tcMar>
            <w:vAlign w:val="center"/>
          </w:tcPr>
          <w:p>
            <w:r>
              <w:rPr>
                <w:sz w:val="17"/>
                <w:szCs w:val="17"/>
              </w:rPr>
              <w:t xml:space="preserve">Alerts</w:t>
            </w:r>
          </w:p>
        </w:tc>
        <w:tc>
          <w:tcPr>
            <w:tcW w:type="dxa" w:w="6600"/>
            <w:tcMar>
              <w:top w:type="dxa" w:w="70"/>
              <w:left w:type="dxa" w:w="100"/>
              <w:bottom w:type="dxa" w:w="70"/>
              <w:right w:type="dxa" w:w="100"/>
            </w:tcMar>
            <w:vAlign w:val="center"/>
          </w:tcPr>
          <w:p>
            <w:r>
              <w:rPr>
                <w:sz w:val="17"/>
                <w:szCs w:val="17"/>
              </w:rPr>
              <w:t xml:space="preserve">/api/v1/alerts/  (+ by_status/, open_alerts/, {id}/take_action/)</w:t>
            </w:r>
          </w:p>
        </w:tc>
      </w:tr>
      <w:tr>
        <w:tc>
          <w:tcPr>
            <w:tcW w:type="dxa" w:w="2200"/>
            <w:tcMar>
              <w:top w:type="dxa" w:w="70"/>
              <w:left w:type="dxa" w:w="100"/>
              <w:bottom w:type="dxa" w:w="70"/>
              <w:right w:type="dxa" w:w="100"/>
            </w:tcMar>
            <w:vAlign w:val="center"/>
          </w:tcPr>
          <w:p>
            <w:r>
              <w:rPr>
                <w:sz w:val="17"/>
                <w:szCs w:val="17"/>
              </w:rPr>
              <w:t xml:space="preserve">Investigations</w:t>
            </w:r>
          </w:p>
        </w:tc>
        <w:tc>
          <w:tcPr>
            <w:tcW w:type="dxa" w:w="6600"/>
            <w:tcMar>
              <w:top w:type="dxa" w:w="70"/>
              <w:left w:type="dxa" w:w="100"/>
              <w:bottom w:type="dxa" w:w="70"/>
              <w:right w:type="dxa" w:w="100"/>
            </w:tcMar>
            <w:vAlign w:val="center"/>
          </w:tcPr>
          <w:p>
            <w:r>
              <w:rPr>
                <w:sz w:val="17"/>
                <w:szCs w:val="17"/>
              </w:rPr>
              <w:t xml:space="preserve">/api/v1/investigations/  (+ add_note/, add_evidence/, close/, open/)</w:t>
            </w:r>
          </w:p>
        </w:tc>
      </w:tr>
      <w:tr>
        <w:tc>
          <w:tcPr>
            <w:tcW w:type="dxa" w:w="2200"/>
            <w:tcMar>
              <w:top w:type="dxa" w:w="70"/>
              <w:left w:type="dxa" w:w="100"/>
              <w:bottom w:type="dxa" w:w="70"/>
              <w:right w:type="dxa" w:w="100"/>
            </w:tcMar>
            <w:vAlign w:val="center"/>
          </w:tcPr>
          <w:p>
            <w:r>
              <w:rPr>
                <w:sz w:val="17"/>
                <w:szCs w:val="17"/>
              </w:rPr>
              <w:t xml:space="preserve">Detection Rules</w:t>
            </w:r>
          </w:p>
        </w:tc>
        <w:tc>
          <w:tcPr>
            <w:tcW w:type="dxa" w:w="6600"/>
            <w:tcMar>
              <w:top w:type="dxa" w:w="70"/>
              <w:left w:type="dxa" w:w="100"/>
              <w:bottom w:type="dxa" w:w="70"/>
              <w:right w:type="dxa" w:w="100"/>
            </w:tcMar>
            <w:vAlign w:val="center"/>
          </w:tcPr>
          <w:p>
            <w:r>
              <w:rPr>
                <w:sz w:val="17"/>
                <w:szCs w:val="17"/>
              </w:rPr>
              <w:t xml:space="preserve">/api/v1/detection-rules/  (+ test/, enabled/, bulk_update/)</w:t>
            </w:r>
          </w:p>
        </w:tc>
      </w:tr>
      <w:tr>
        <w:tc>
          <w:tcPr>
            <w:tcW w:type="dxa" w:w="2200"/>
            <w:tcMar>
              <w:top w:type="dxa" w:w="70"/>
              <w:left w:type="dxa" w:w="100"/>
              <w:bottom w:type="dxa" w:w="70"/>
              <w:right w:type="dxa" w:w="100"/>
            </w:tcMar>
            <w:vAlign w:val="center"/>
          </w:tcPr>
          <w:p>
            <w:r>
              <w:rPr>
                <w:sz w:val="17"/>
                <w:szCs w:val="17"/>
              </w:rPr>
              <w:t xml:space="preserve">MITRE ATT&amp;CK</w:t>
            </w:r>
          </w:p>
        </w:tc>
        <w:tc>
          <w:tcPr>
            <w:tcW w:type="dxa" w:w="6600"/>
            <w:tcMar>
              <w:top w:type="dxa" w:w="70"/>
              <w:left w:type="dxa" w:w="100"/>
              <w:bottom w:type="dxa" w:w="70"/>
              <w:right w:type="dxa" w:w="100"/>
            </w:tcMar>
            <w:vAlign w:val="center"/>
          </w:tcPr>
          <w:p>
            <w:r>
              <w:rPr>
                <w:sz w:val="17"/>
                <w:szCs w:val="17"/>
              </w:rPr>
              <w:t xml:space="preserve">/api/v1/mitre-tactics/, /api/v1/mitre-techniques/, /api/v1/mitre-mappings/</w:t>
            </w:r>
          </w:p>
        </w:tc>
      </w:tr>
      <w:tr>
        <w:tc>
          <w:tcPr>
            <w:tcW w:type="dxa" w:w="2200"/>
            <w:tcMar>
              <w:top w:type="dxa" w:w="70"/>
              <w:left w:type="dxa" w:w="100"/>
              <w:bottom w:type="dxa" w:w="70"/>
              <w:right w:type="dxa" w:w="100"/>
            </w:tcMar>
            <w:vAlign w:val="center"/>
          </w:tcPr>
          <w:p>
            <w:r>
              <w:rPr>
                <w:sz w:val="17"/>
                <w:szCs w:val="17"/>
              </w:rPr>
              <w:t xml:space="preserve">IOCs</w:t>
            </w:r>
          </w:p>
        </w:tc>
        <w:tc>
          <w:tcPr>
            <w:tcW w:type="dxa" w:w="6600"/>
            <w:tcMar>
              <w:top w:type="dxa" w:w="70"/>
              <w:left w:type="dxa" w:w="100"/>
              <w:bottom w:type="dxa" w:w="70"/>
              <w:right w:type="dxa" w:w="100"/>
            </w:tcMar>
            <w:vAlign w:val="center"/>
          </w:tcPr>
          <w:p>
            <w:r>
              <w:rPr>
                <w:sz w:val="17"/>
                <w:szCs w:val="17"/>
              </w:rPr>
              <w:t xml:space="preserve">/api/v1/iocs/  (+ by_type/, critical/, {id}/mark_resolved/)</w:t>
            </w:r>
          </w:p>
        </w:tc>
      </w:tr>
      <w:tr>
        <w:tc>
          <w:tcPr>
            <w:tcW w:type="dxa" w:w="2200"/>
            <w:tcMar>
              <w:top w:type="dxa" w:w="70"/>
              <w:left w:type="dxa" w:w="100"/>
              <w:bottom w:type="dxa" w:w="70"/>
              <w:right w:type="dxa" w:w="100"/>
            </w:tcMar>
            <w:vAlign w:val="center"/>
          </w:tcPr>
          <w:p>
            <w:r>
              <w:rPr>
                <w:sz w:val="17"/>
                <w:szCs w:val="17"/>
              </w:rPr>
              <w:t xml:space="preserve">Playbooks</w:t>
            </w:r>
          </w:p>
        </w:tc>
        <w:tc>
          <w:tcPr>
            <w:tcW w:type="dxa" w:w="6600"/>
            <w:tcMar>
              <w:top w:type="dxa" w:w="70"/>
              <w:left w:type="dxa" w:w="100"/>
              <w:bottom w:type="dxa" w:w="70"/>
              <w:right w:type="dxa" w:w="100"/>
            </w:tcMar>
            <w:vAlign w:val="center"/>
          </w:tcPr>
          <w:p>
            <w:r>
              <w:rPr>
                <w:sz w:val="17"/>
                <w:szCs w:val="17"/>
              </w:rPr>
              <w:t xml:space="preserve">/api/v1/playbooks/  (+ {id}/execute/)</w:t>
            </w:r>
          </w:p>
        </w:tc>
      </w:tr>
      <w:tr>
        <w:tc>
          <w:tcPr>
            <w:tcW w:type="dxa" w:w="2200"/>
            <w:tcMar>
              <w:top w:type="dxa" w:w="70"/>
              <w:left w:type="dxa" w:w="100"/>
              <w:bottom w:type="dxa" w:w="70"/>
              <w:right w:type="dxa" w:w="100"/>
            </w:tcMar>
            <w:vAlign w:val="center"/>
          </w:tcPr>
          <w:p>
            <w:r>
              <w:rPr>
                <w:sz w:val="17"/>
                <w:szCs w:val="17"/>
              </w:rPr>
              <w:t xml:space="preserve">Reports</w:t>
            </w:r>
          </w:p>
        </w:tc>
        <w:tc>
          <w:tcPr>
            <w:tcW w:type="dxa" w:w="6600"/>
            <w:tcMar>
              <w:top w:type="dxa" w:w="70"/>
              <w:left w:type="dxa" w:w="100"/>
              <w:bottom w:type="dxa" w:w="70"/>
              <w:right w:type="dxa" w:w="100"/>
            </w:tcMar>
            <w:vAlign w:val="center"/>
          </w:tcPr>
          <w:p>
            <w:r>
              <w:rPr>
                <w:sz w:val="17"/>
                <w:szCs w:val="17"/>
              </w:rPr>
              <w:t xml:space="preserve">/api/v1/reports/  (+ {id}/generate/, {id}/download/, schedule/)</w:t>
            </w:r>
          </w:p>
        </w:tc>
      </w:tr>
      <w:tr>
        <w:tc>
          <w:tcPr>
            <w:tcW w:type="dxa" w:w="2200"/>
            <w:tcMar>
              <w:top w:type="dxa" w:w="70"/>
              <w:left w:type="dxa" w:w="100"/>
              <w:bottom w:type="dxa" w:w="70"/>
              <w:right w:type="dxa" w:w="100"/>
            </w:tcMar>
            <w:vAlign w:val="center"/>
          </w:tcPr>
          <w:p>
            <w:r>
              <w:rPr>
                <w:sz w:val="17"/>
                <w:szCs w:val="17"/>
              </w:rPr>
              <w:t xml:space="preserve">Compliance</w:t>
            </w:r>
          </w:p>
        </w:tc>
        <w:tc>
          <w:tcPr>
            <w:tcW w:type="dxa" w:w="6600"/>
            <w:tcMar>
              <w:top w:type="dxa" w:w="70"/>
              <w:left w:type="dxa" w:w="100"/>
              <w:bottom w:type="dxa" w:w="70"/>
              <w:right w:type="dxa" w:w="100"/>
            </w:tcMar>
            <w:vAlign w:val="center"/>
          </w:tcPr>
          <w:p>
            <w:r>
              <w:rPr>
                <w:sz w:val="17"/>
                <w:szCs w:val="17"/>
              </w:rPr>
              <w:t xml:space="preserve">/api/v1/compliance-frameworks/, /api/v1/compliance-checks/</w:t>
            </w:r>
          </w:p>
        </w:tc>
      </w:tr>
    </w:tbl>
    <w:p>
      <w:r>
        <w:br w:type="page"/>
      </w:r>
    </w:p>
    <w:p>
      <w:pPr>
        <w:pStyle w:val="Heading1"/>
        <w:spacing w:after="200" w:before="420"/>
      </w:pPr>
      <w:r>
        <w:rPr>
          <w:b/>
          <w:bCs/>
          <w:color w:val="1F3864"/>
        </w:rPr>
        <w:t xml:space="preserve">Appendix B — URL Route Reference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300"/>
      </w:tblGrid>
      <w:tr>
        <w:trPr>
          <w:tblHeader/>
        </w:trPr>
        <w:tc>
          <w:tcPr>
            <w:tcW w:type="dxa" w:w="2100"/>
            <w:shd w:fill="1F3864" w:val="clear"/>
            <w:tcMar>
              <w:top w:type="dxa" w:w="80"/>
              <w:left w:type="dxa" w:w="100"/>
              <w:bottom w:type="dxa" w:w="80"/>
              <w:right w:type="dxa" w:w="100"/>
            </w:tcMar>
            <w:vAlign w:val="center"/>
          </w:tcPr>
          <w:p>
            <w:r>
              <w:rPr>
                <w:b/>
                <w:bCs/>
                <w:color w:val="FFFFFF"/>
                <w:sz w:val="17"/>
                <w:szCs w:val="17"/>
              </w:rPr>
              <w:t xml:space="preserve">Feature</w:t>
            </w:r>
          </w:p>
        </w:tc>
        <w:tc>
          <w:tcPr>
            <w:tcW w:type="dxa" w:w="2400"/>
            <w:shd w:fill="1F3864" w:val="clear"/>
            <w:tcMar>
              <w:top w:type="dxa" w:w="80"/>
              <w:left w:type="dxa" w:w="100"/>
              <w:bottom w:type="dxa" w:w="80"/>
              <w:right w:type="dxa" w:w="100"/>
            </w:tcMar>
            <w:vAlign w:val="center"/>
          </w:tcPr>
          <w:p>
            <w:r>
              <w:rPr>
                <w:b/>
                <w:bCs/>
                <w:color w:val="FFFFFF"/>
                <w:sz w:val="17"/>
                <w:szCs w:val="17"/>
              </w:rPr>
              <w:t xml:space="preserve">URL</w:t>
            </w:r>
          </w:p>
        </w:tc>
        <w:tc>
          <w:tcPr>
            <w:tcW w:type="dxa" w:w="4300"/>
            <w:shd w:fill="1F3864" w:val="clear"/>
            <w:tcMar>
              <w:top w:type="dxa" w:w="80"/>
              <w:left w:type="dxa" w:w="100"/>
              <w:bottom w:type="dxa" w:w="80"/>
              <w:right w:type="dxa" w:w="100"/>
            </w:tcMar>
            <w:vAlign w:val="center"/>
          </w:tcPr>
          <w:p>
            <w:r>
              <w:rPr>
                <w:b/>
                <w:bCs/>
                <w:color w:val="FFFFFF"/>
                <w:sz w:val="17"/>
                <w:szCs w:val="17"/>
              </w:rPr>
              <w:t xml:space="preserve">Description</w:t>
            </w:r>
          </w:p>
        </w:tc>
      </w:tr>
      <w:tr>
        <w:tc>
          <w:tcPr>
            <w:tcW w:type="dxa" w:w="2100"/>
            <w:tcMar>
              <w:top w:type="dxa" w:w="70"/>
              <w:left w:type="dxa" w:w="100"/>
              <w:bottom w:type="dxa" w:w="70"/>
              <w:right w:type="dxa" w:w="100"/>
            </w:tcMar>
            <w:vAlign w:val="center"/>
          </w:tcPr>
          <w:p>
            <w:r>
              <w:rPr>
                <w:sz w:val="17"/>
                <w:szCs w:val="17"/>
              </w:rPr>
              <w:t xml:space="preserve">Dashboard</w:t>
            </w:r>
          </w:p>
        </w:tc>
        <w:tc>
          <w:tcPr>
            <w:tcW w:type="dxa" w:w="2400"/>
            <w:tcMar>
              <w:top w:type="dxa" w:w="70"/>
              <w:left w:type="dxa" w:w="100"/>
              <w:bottom w:type="dxa" w:w="70"/>
              <w:right w:type="dxa" w:w="100"/>
            </w:tcMar>
            <w:vAlign w:val="center"/>
          </w:tcPr>
          <w:p>
            <w:r>
              <w:rPr>
                <w:sz w:val="17"/>
                <w:szCs w:val="17"/>
              </w:rPr>
              <w:t xml:space="preserve">/dashboard/</w:t>
            </w:r>
          </w:p>
        </w:tc>
        <w:tc>
          <w:tcPr>
            <w:tcW w:type="dxa" w:w="4300"/>
            <w:tcMar>
              <w:top w:type="dxa" w:w="70"/>
              <w:left w:type="dxa" w:w="100"/>
              <w:bottom w:type="dxa" w:w="70"/>
              <w:right w:type="dxa" w:w="100"/>
            </w:tcMar>
            <w:vAlign w:val="center"/>
          </w:tcPr>
          <w:p>
            <w:r>
              <w:rPr>
                <w:sz w:val="17"/>
                <w:szCs w:val="17"/>
              </w:rPr>
              <w:t xml:space="preserve">Main SIEM dashboard with metrics</w:t>
            </w:r>
          </w:p>
        </w:tc>
      </w:tr>
      <w:tr>
        <w:tc>
          <w:tcPr>
            <w:tcW w:type="dxa" w:w="2100"/>
            <w:tcMar>
              <w:top w:type="dxa" w:w="70"/>
              <w:left w:type="dxa" w:w="100"/>
              <w:bottom w:type="dxa" w:w="70"/>
              <w:right w:type="dxa" w:w="100"/>
            </w:tcMar>
            <w:vAlign w:val="center"/>
          </w:tcPr>
          <w:p>
            <w:r>
              <w:rPr>
                <w:sz w:val="17"/>
                <w:szCs w:val="17"/>
              </w:rPr>
              <w:t xml:space="preserve">Events</w:t>
            </w:r>
          </w:p>
        </w:tc>
        <w:tc>
          <w:tcPr>
            <w:tcW w:type="dxa" w:w="2400"/>
            <w:tcMar>
              <w:top w:type="dxa" w:w="70"/>
              <w:left w:type="dxa" w:w="100"/>
              <w:bottom w:type="dxa" w:w="70"/>
              <w:right w:type="dxa" w:w="100"/>
            </w:tcMar>
            <w:vAlign w:val="center"/>
          </w:tcPr>
          <w:p>
            <w:r>
              <w:rPr>
                <w:sz w:val="17"/>
                <w:szCs w:val="17"/>
              </w:rPr>
              <w:t xml:space="preserve">/events/</w:t>
            </w:r>
          </w:p>
        </w:tc>
        <w:tc>
          <w:tcPr>
            <w:tcW w:type="dxa" w:w="4300"/>
            <w:tcMar>
              <w:top w:type="dxa" w:w="70"/>
              <w:left w:type="dxa" w:w="100"/>
              <w:bottom w:type="dxa" w:w="70"/>
              <w:right w:type="dxa" w:w="100"/>
            </w:tcMar>
            <w:vAlign w:val="center"/>
          </w:tcPr>
          <w:p>
            <w:r>
              <w:rPr>
                <w:sz w:val="17"/>
                <w:szCs w:val="17"/>
              </w:rPr>
              <w:t xml:space="preserve">Security events and logs</w:t>
            </w:r>
          </w:p>
        </w:tc>
      </w:tr>
      <w:tr>
        <w:tc>
          <w:tcPr>
            <w:tcW w:type="dxa" w:w="2100"/>
            <w:tcMar>
              <w:top w:type="dxa" w:w="70"/>
              <w:left w:type="dxa" w:w="100"/>
              <w:bottom w:type="dxa" w:w="70"/>
              <w:right w:type="dxa" w:w="100"/>
            </w:tcMar>
            <w:vAlign w:val="center"/>
          </w:tcPr>
          <w:p>
            <w:r>
              <w:rPr>
                <w:sz w:val="17"/>
                <w:szCs w:val="17"/>
              </w:rPr>
              <w:t xml:space="preserve">Alerts</w:t>
            </w:r>
          </w:p>
        </w:tc>
        <w:tc>
          <w:tcPr>
            <w:tcW w:type="dxa" w:w="2400"/>
            <w:tcMar>
              <w:top w:type="dxa" w:w="70"/>
              <w:left w:type="dxa" w:w="100"/>
              <w:bottom w:type="dxa" w:w="70"/>
              <w:right w:type="dxa" w:w="100"/>
            </w:tcMar>
            <w:vAlign w:val="center"/>
          </w:tcPr>
          <w:p>
            <w:r>
              <w:rPr>
                <w:sz w:val="17"/>
                <w:szCs w:val="17"/>
              </w:rPr>
              <w:t xml:space="preserve">/alerts/</w:t>
            </w:r>
          </w:p>
        </w:tc>
        <w:tc>
          <w:tcPr>
            <w:tcW w:type="dxa" w:w="4300"/>
            <w:tcMar>
              <w:top w:type="dxa" w:w="70"/>
              <w:left w:type="dxa" w:w="100"/>
              <w:bottom w:type="dxa" w:w="70"/>
              <w:right w:type="dxa" w:w="100"/>
            </w:tcMar>
            <w:vAlign w:val="center"/>
          </w:tcPr>
          <w:p>
            <w:r>
              <w:rPr>
                <w:sz w:val="17"/>
                <w:szCs w:val="17"/>
              </w:rPr>
              <w:t xml:space="preserve">Active security alerts</w:t>
            </w:r>
          </w:p>
        </w:tc>
      </w:tr>
      <w:tr>
        <w:tc>
          <w:tcPr>
            <w:tcW w:type="dxa" w:w="2100"/>
            <w:tcMar>
              <w:top w:type="dxa" w:w="70"/>
              <w:left w:type="dxa" w:w="100"/>
              <w:bottom w:type="dxa" w:w="70"/>
              <w:right w:type="dxa" w:w="100"/>
            </w:tcMar>
            <w:vAlign w:val="center"/>
          </w:tcPr>
          <w:p>
            <w:r>
              <w:rPr>
                <w:sz w:val="17"/>
                <w:szCs w:val="17"/>
              </w:rPr>
              <w:t xml:space="preserve">Investigations</w:t>
            </w:r>
          </w:p>
        </w:tc>
        <w:tc>
          <w:tcPr>
            <w:tcW w:type="dxa" w:w="2400"/>
            <w:tcMar>
              <w:top w:type="dxa" w:w="70"/>
              <w:left w:type="dxa" w:w="100"/>
              <w:bottom w:type="dxa" w:w="70"/>
              <w:right w:type="dxa" w:w="100"/>
            </w:tcMar>
            <w:vAlign w:val="center"/>
          </w:tcPr>
          <w:p>
            <w:r>
              <w:rPr>
                <w:sz w:val="17"/>
                <w:szCs w:val="17"/>
              </w:rPr>
              <w:t xml:space="preserve">/investigations/</w:t>
            </w:r>
          </w:p>
        </w:tc>
        <w:tc>
          <w:tcPr>
            <w:tcW w:type="dxa" w:w="4300"/>
            <w:tcMar>
              <w:top w:type="dxa" w:w="70"/>
              <w:left w:type="dxa" w:w="100"/>
              <w:bottom w:type="dxa" w:w="70"/>
              <w:right w:type="dxa" w:w="100"/>
            </w:tcMar>
            <w:vAlign w:val="center"/>
          </w:tcPr>
          <w:p>
            <w:r>
              <w:rPr>
                <w:sz w:val="17"/>
                <w:szCs w:val="17"/>
              </w:rPr>
              <w:t xml:space="preserve">Incident investigations</w:t>
            </w:r>
          </w:p>
        </w:tc>
      </w:tr>
      <w:tr>
        <w:tc>
          <w:tcPr>
            <w:tcW w:type="dxa" w:w="2100"/>
            <w:tcMar>
              <w:top w:type="dxa" w:w="70"/>
              <w:left w:type="dxa" w:w="100"/>
              <w:bottom w:type="dxa" w:w="70"/>
              <w:right w:type="dxa" w:w="100"/>
            </w:tcMar>
            <w:vAlign w:val="center"/>
          </w:tcPr>
          <w:p>
            <w:r>
              <w:rPr>
                <w:sz w:val="17"/>
                <w:szCs w:val="17"/>
              </w:rPr>
              <w:t xml:space="preserve">Logs</w:t>
            </w:r>
          </w:p>
        </w:tc>
        <w:tc>
          <w:tcPr>
            <w:tcW w:type="dxa" w:w="2400"/>
            <w:tcMar>
              <w:top w:type="dxa" w:w="70"/>
              <w:left w:type="dxa" w:w="100"/>
              <w:bottom w:type="dxa" w:w="70"/>
              <w:right w:type="dxa" w:w="100"/>
            </w:tcMar>
            <w:vAlign w:val="center"/>
          </w:tcPr>
          <w:p>
            <w:r>
              <w:rPr>
                <w:sz w:val="17"/>
                <w:szCs w:val="17"/>
              </w:rPr>
              <w:t xml:space="preserve">/logs/</w:t>
            </w:r>
          </w:p>
        </w:tc>
        <w:tc>
          <w:tcPr>
            <w:tcW w:type="dxa" w:w="4300"/>
            <w:tcMar>
              <w:top w:type="dxa" w:w="70"/>
              <w:left w:type="dxa" w:w="100"/>
              <w:bottom w:type="dxa" w:w="70"/>
              <w:right w:type="dxa" w:w="100"/>
            </w:tcMar>
            <w:vAlign w:val="center"/>
          </w:tcPr>
          <w:p>
            <w:r>
              <w:rPr>
                <w:sz w:val="17"/>
                <w:szCs w:val="17"/>
              </w:rPr>
              <w:t xml:space="preserve">Log file import and raw log viewer</w:t>
            </w:r>
          </w:p>
        </w:tc>
      </w:tr>
      <w:tr>
        <w:tc>
          <w:tcPr>
            <w:tcW w:type="dxa" w:w="2100"/>
            <w:tcMar>
              <w:top w:type="dxa" w:w="70"/>
              <w:left w:type="dxa" w:w="100"/>
              <w:bottom w:type="dxa" w:w="70"/>
              <w:right w:type="dxa" w:w="100"/>
            </w:tcMar>
            <w:vAlign w:val="center"/>
          </w:tcPr>
          <w:p>
            <w:r>
              <w:rPr>
                <w:sz w:val="17"/>
                <w:szCs w:val="17"/>
              </w:rPr>
              <w:t xml:space="preserve">Threat Intel</w:t>
            </w:r>
          </w:p>
        </w:tc>
        <w:tc>
          <w:tcPr>
            <w:tcW w:type="dxa" w:w="2400"/>
            <w:tcMar>
              <w:top w:type="dxa" w:w="70"/>
              <w:left w:type="dxa" w:w="100"/>
              <w:bottom w:type="dxa" w:w="70"/>
              <w:right w:type="dxa" w:w="100"/>
            </w:tcMar>
            <w:vAlign w:val="center"/>
          </w:tcPr>
          <w:p>
            <w:r>
              <w:rPr>
                <w:sz w:val="17"/>
                <w:szCs w:val="17"/>
              </w:rPr>
              <w:t xml:space="preserve">/threat-intel/</w:t>
            </w:r>
          </w:p>
        </w:tc>
        <w:tc>
          <w:tcPr>
            <w:tcW w:type="dxa" w:w="4300"/>
            <w:tcMar>
              <w:top w:type="dxa" w:w="70"/>
              <w:left w:type="dxa" w:w="100"/>
              <w:bottom w:type="dxa" w:w="70"/>
              <w:right w:type="dxa" w:w="100"/>
            </w:tcMar>
            <w:vAlign w:val="center"/>
          </w:tcPr>
          <w:p>
            <w:r>
              <w:rPr>
                <w:sz w:val="17"/>
                <w:szCs w:val="17"/>
              </w:rPr>
              <w:t xml:space="preserve">IOCs and threat actors</w:t>
            </w:r>
          </w:p>
        </w:tc>
      </w:tr>
      <w:tr>
        <w:tc>
          <w:tcPr>
            <w:tcW w:type="dxa" w:w="2100"/>
            <w:tcMar>
              <w:top w:type="dxa" w:w="70"/>
              <w:left w:type="dxa" w:w="100"/>
              <w:bottom w:type="dxa" w:w="70"/>
              <w:right w:type="dxa" w:w="100"/>
            </w:tcMar>
            <w:vAlign w:val="center"/>
          </w:tcPr>
          <w:p>
            <w:r>
              <w:rPr>
                <w:sz w:val="17"/>
                <w:szCs w:val="17"/>
              </w:rPr>
              <w:t xml:space="preserve">Detection Rules</w:t>
            </w:r>
          </w:p>
        </w:tc>
        <w:tc>
          <w:tcPr>
            <w:tcW w:type="dxa" w:w="2400"/>
            <w:tcMar>
              <w:top w:type="dxa" w:w="70"/>
              <w:left w:type="dxa" w:w="100"/>
              <w:bottom w:type="dxa" w:w="70"/>
              <w:right w:type="dxa" w:w="100"/>
            </w:tcMar>
            <w:vAlign w:val="center"/>
          </w:tcPr>
          <w:p>
            <w:r>
              <w:rPr>
                <w:sz w:val="17"/>
                <w:szCs w:val="17"/>
              </w:rPr>
              <w:t xml:space="preserve">/detection-rules/</w:t>
            </w:r>
          </w:p>
        </w:tc>
        <w:tc>
          <w:tcPr>
            <w:tcW w:type="dxa" w:w="4300"/>
            <w:tcMar>
              <w:top w:type="dxa" w:w="70"/>
              <w:left w:type="dxa" w:w="100"/>
              <w:bottom w:type="dxa" w:w="70"/>
              <w:right w:type="dxa" w:w="100"/>
            </w:tcMar>
            <w:vAlign w:val="center"/>
          </w:tcPr>
          <w:p>
            <w:r>
              <w:rPr>
                <w:sz w:val="17"/>
                <w:szCs w:val="17"/>
              </w:rPr>
              <w:t xml:space="preserve">Correlation and detection rules</w:t>
            </w:r>
          </w:p>
        </w:tc>
      </w:tr>
      <w:tr>
        <w:tc>
          <w:tcPr>
            <w:tcW w:type="dxa" w:w="2100"/>
            <w:tcMar>
              <w:top w:type="dxa" w:w="70"/>
              <w:left w:type="dxa" w:w="100"/>
              <w:bottom w:type="dxa" w:w="70"/>
              <w:right w:type="dxa" w:w="100"/>
            </w:tcMar>
            <w:vAlign w:val="center"/>
          </w:tcPr>
          <w:p>
            <w:r>
              <w:rPr>
                <w:sz w:val="17"/>
                <w:szCs w:val="17"/>
              </w:rPr>
              <w:t xml:space="preserve">MITRE ATT&amp;CK</w:t>
            </w:r>
          </w:p>
        </w:tc>
        <w:tc>
          <w:tcPr>
            <w:tcW w:type="dxa" w:w="2400"/>
            <w:tcMar>
              <w:top w:type="dxa" w:w="70"/>
              <w:left w:type="dxa" w:w="100"/>
              <w:bottom w:type="dxa" w:w="70"/>
              <w:right w:type="dxa" w:w="100"/>
            </w:tcMar>
            <w:vAlign w:val="center"/>
          </w:tcPr>
          <w:p>
            <w:r>
              <w:rPr>
                <w:sz w:val="17"/>
                <w:szCs w:val="17"/>
              </w:rPr>
              <w:t xml:space="preserve">/mitre-attack/</w:t>
            </w:r>
          </w:p>
        </w:tc>
        <w:tc>
          <w:tcPr>
            <w:tcW w:type="dxa" w:w="4300"/>
            <w:tcMar>
              <w:top w:type="dxa" w:w="70"/>
              <w:left w:type="dxa" w:w="100"/>
              <w:bottom w:type="dxa" w:w="70"/>
              <w:right w:type="dxa" w:w="100"/>
            </w:tcMar>
            <w:vAlign w:val="center"/>
          </w:tcPr>
          <w:p>
            <w:r>
              <w:rPr>
                <w:sz w:val="17"/>
                <w:szCs w:val="17"/>
              </w:rPr>
              <w:t xml:space="preserve">MITRE framework browser</w:t>
            </w:r>
          </w:p>
        </w:tc>
      </w:tr>
      <w:tr>
        <w:tc>
          <w:tcPr>
            <w:tcW w:type="dxa" w:w="2100"/>
            <w:tcMar>
              <w:top w:type="dxa" w:w="70"/>
              <w:left w:type="dxa" w:w="100"/>
              <w:bottom w:type="dxa" w:w="70"/>
              <w:right w:type="dxa" w:w="100"/>
            </w:tcMar>
            <w:vAlign w:val="center"/>
          </w:tcPr>
          <w:p>
            <w:r>
              <w:rPr>
                <w:sz w:val="17"/>
                <w:szCs w:val="17"/>
              </w:rPr>
              <w:t xml:space="preserve">UEBA</w:t>
            </w:r>
          </w:p>
        </w:tc>
        <w:tc>
          <w:tcPr>
            <w:tcW w:type="dxa" w:w="2400"/>
            <w:tcMar>
              <w:top w:type="dxa" w:w="70"/>
              <w:left w:type="dxa" w:w="100"/>
              <w:bottom w:type="dxa" w:w="70"/>
              <w:right w:type="dxa" w:w="100"/>
            </w:tcMar>
            <w:vAlign w:val="center"/>
          </w:tcPr>
          <w:p>
            <w:r>
              <w:rPr>
                <w:sz w:val="17"/>
                <w:szCs w:val="17"/>
              </w:rPr>
              <w:t xml:space="preserve">/ueba/</w:t>
            </w:r>
          </w:p>
        </w:tc>
        <w:tc>
          <w:tcPr>
            <w:tcW w:type="dxa" w:w="4300"/>
            <w:tcMar>
              <w:top w:type="dxa" w:w="70"/>
              <w:left w:type="dxa" w:w="100"/>
              <w:bottom w:type="dxa" w:w="70"/>
              <w:right w:type="dxa" w:w="100"/>
            </w:tcMar>
            <w:vAlign w:val="center"/>
          </w:tcPr>
          <w:p>
            <w:r>
              <w:rPr>
                <w:sz w:val="17"/>
                <w:szCs w:val="17"/>
              </w:rPr>
              <w:t xml:space="preserve">Behaviour analytics and anomalies</w:t>
            </w:r>
          </w:p>
        </w:tc>
      </w:tr>
      <w:tr>
        <w:tc>
          <w:tcPr>
            <w:tcW w:type="dxa" w:w="2100"/>
            <w:tcMar>
              <w:top w:type="dxa" w:w="70"/>
              <w:left w:type="dxa" w:w="100"/>
              <w:bottom w:type="dxa" w:w="70"/>
              <w:right w:type="dxa" w:w="100"/>
            </w:tcMar>
            <w:vAlign w:val="center"/>
          </w:tcPr>
          <w:p>
            <w:r>
              <w:rPr>
                <w:sz w:val="17"/>
                <w:szCs w:val="17"/>
              </w:rPr>
              <w:t xml:space="preserve">Compliance</w:t>
            </w:r>
          </w:p>
        </w:tc>
        <w:tc>
          <w:tcPr>
            <w:tcW w:type="dxa" w:w="2400"/>
            <w:tcMar>
              <w:top w:type="dxa" w:w="70"/>
              <w:left w:type="dxa" w:w="100"/>
              <w:bottom w:type="dxa" w:w="70"/>
              <w:right w:type="dxa" w:w="100"/>
            </w:tcMar>
            <w:vAlign w:val="center"/>
          </w:tcPr>
          <w:p>
            <w:r>
              <w:rPr>
                <w:sz w:val="17"/>
                <w:szCs w:val="17"/>
              </w:rPr>
              <w:t xml:space="preserve">/compliance/</w:t>
            </w:r>
          </w:p>
        </w:tc>
        <w:tc>
          <w:tcPr>
            <w:tcW w:type="dxa" w:w="4300"/>
            <w:tcMar>
              <w:top w:type="dxa" w:w="70"/>
              <w:left w:type="dxa" w:w="100"/>
              <w:bottom w:type="dxa" w:w="70"/>
              <w:right w:type="dxa" w:w="100"/>
            </w:tcMar>
            <w:vAlign w:val="center"/>
          </w:tcPr>
          <w:p>
            <w:r>
              <w:rPr>
                <w:sz w:val="17"/>
                <w:szCs w:val="17"/>
              </w:rPr>
              <w:t xml:space="preserve">Compliance frameworks</w:t>
            </w:r>
          </w:p>
        </w:tc>
      </w:tr>
      <w:tr>
        <w:tc>
          <w:tcPr>
            <w:tcW w:type="dxa" w:w="2100"/>
            <w:tcMar>
              <w:top w:type="dxa" w:w="70"/>
              <w:left w:type="dxa" w:w="100"/>
              <w:bottom w:type="dxa" w:w="70"/>
              <w:right w:type="dxa" w:w="100"/>
            </w:tcMar>
            <w:vAlign w:val="center"/>
          </w:tcPr>
          <w:p>
            <w:r>
              <w:rPr>
                <w:sz w:val="17"/>
                <w:szCs w:val="17"/>
              </w:rPr>
              <w:t xml:space="preserve">Reports</w:t>
            </w:r>
          </w:p>
        </w:tc>
        <w:tc>
          <w:tcPr>
            <w:tcW w:type="dxa" w:w="2400"/>
            <w:tcMar>
              <w:top w:type="dxa" w:w="70"/>
              <w:left w:type="dxa" w:w="100"/>
              <w:bottom w:type="dxa" w:w="70"/>
              <w:right w:type="dxa" w:w="100"/>
            </w:tcMar>
            <w:vAlign w:val="center"/>
          </w:tcPr>
          <w:p>
            <w:r>
              <w:rPr>
                <w:sz w:val="17"/>
                <w:szCs w:val="17"/>
              </w:rPr>
              <w:t xml:space="preserve">/reports/generate/</w:t>
            </w:r>
          </w:p>
        </w:tc>
        <w:tc>
          <w:tcPr>
            <w:tcW w:type="dxa" w:w="4300"/>
            <w:tcMar>
              <w:top w:type="dxa" w:w="70"/>
              <w:left w:type="dxa" w:w="100"/>
              <w:bottom w:type="dxa" w:w="70"/>
              <w:right w:type="dxa" w:w="100"/>
            </w:tcMar>
            <w:vAlign w:val="center"/>
          </w:tcPr>
          <w:p>
            <w:r>
              <w:rPr>
                <w:sz w:val="17"/>
                <w:szCs w:val="17"/>
              </w:rPr>
              <w:t xml:space="preserve">Report generation</w:t>
            </w:r>
          </w:p>
        </w:tc>
      </w:tr>
      <w:tr>
        <w:tc>
          <w:tcPr>
            <w:tcW w:type="dxa" w:w="2100"/>
            <w:tcMar>
              <w:top w:type="dxa" w:w="70"/>
              <w:left w:type="dxa" w:w="100"/>
              <w:bottom w:type="dxa" w:w="70"/>
              <w:right w:type="dxa" w:w="100"/>
            </w:tcMar>
            <w:vAlign w:val="center"/>
          </w:tcPr>
          <w:p>
            <w:r>
              <w:rPr>
                <w:sz w:val="17"/>
                <w:szCs w:val="17"/>
              </w:rPr>
              <w:t xml:space="preserve">Playbooks</w:t>
            </w:r>
          </w:p>
        </w:tc>
        <w:tc>
          <w:tcPr>
            <w:tcW w:type="dxa" w:w="2400"/>
            <w:tcMar>
              <w:top w:type="dxa" w:w="70"/>
              <w:left w:type="dxa" w:w="100"/>
              <w:bottom w:type="dxa" w:w="70"/>
              <w:right w:type="dxa" w:w="100"/>
            </w:tcMar>
            <w:vAlign w:val="center"/>
          </w:tcPr>
          <w:p>
            <w:r>
              <w:rPr>
                <w:sz w:val="17"/>
                <w:szCs w:val="17"/>
              </w:rPr>
              <w:t xml:space="preserve">/playbooks/</w:t>
            </w:r>
          </w:p>
        </w:tc>
        <w:tc>
          <w:tcPr>
            <w:tcW w:type="dxa" w:w="4300"/>
            <w:tcMar>
              <w:top w:type="dxa" w:w="70"/>
              <w:left w:type="dxa" w:w="100"/>
              <w:bottom w:type="dxa" w:w="70"/>
              <w:right w:type="dxa" w:w="100"/>
            </w:tcMar>
            <w:vAlign w:val="center"/>
          </w:tcPr>
          <w:p>
            <w:r>
              <w:rPr>
                <w:sz w:val="17"/>
                <w:szCs w:val="17"/>
              </w:rPr>
              <w:t xml:space="preserve">Incident response playbooks</w:t>
            </w:r>
          </w:p>
        </w:tc>
      </w:tr>
      <w:tr>
        <w:tc>
          <w:tcPr>
            <w:tcW w:type="dxa" w:w="2100"/>
            <w:tcMar>
              <w:top w:type="dxa" w:w="70"/>
              <w:left w:type="dxa" w:w="100"/>
              <w:bottom w:type="dxa" w:w="70"/>
              <w:right w:type="dxa" w:w="100"/>
            </w:tcMar>
            <w:vAlign w:val="center"/>
          </w:tcPr>
          <w:p>
            <w:r>
              <w:rPr>
                <w:sz w:val="17"/>
                <w:szCs w:val="17"/>
              </w:rPr>
              <w:t xml:space="preserve">Search</w:t>
            </w:r>
          </w:p>
        </w:tc>
        <w:tc>
          <w:tcPr>
            <w:tcW w:type="dxa" w:w="2400"/>
            <w:tcMar>
              <w:top w:type="dxa" w:w="70"/>
              <w:left w:type="dxa" w:w="100"/>
              <w:bottom w:type="dxa" w:w="70"/>
              <w:right w:type="dxa" w:w="100"/>
            </w:tcMar>
            <w:vAlign w:val="center"/>
          </w:tcPr>
          <w:p>
            <w:r>
              <w:rPr>
                <w:sz w:val="17"/>
                <w:szCs w:val="17"/>
              </w:rPr>
              <w:t xml:space="preserve">/search/</w:t>
            </w:r>
          </w:p>
        </w:tc>
        <w:tc>
          <w:tcPr>
            <w:tcW w:type="dxa" w:w="4300"/>
            <w:tcMar>
              <w:top w:type="dxa" w:w="70"/>
              <w:left w:type="dxa" w:w="100"/>
              <w:bottom w:type="dxa" w:w="70"/>
              <w:right w:type="dxa" w:w="100"/>
            </w:tcMar>
            <w:vAlign w:val="center"/>
          </w:tcPr>
          <w:p>
            <w:r>
              <w:rPr>
                <w:sz w:val="17"/>
                <w:szCs w:val="17"/>
              </w:rPr>
              <w:t xml:space="preserve">Cross-entity advanced search</w:t>
            </w:r>
          </w:p>
        </w:tc>
      </w:tr>
      <w:tr>
        <w:tc>
          <w:tcPr>
            <w:tcW w:type="dxa" w:w="2100"/>
            <w:tcMar>
              <w:top w:type="dxa" w:w="70"/>
              <w:left w:type="dxa" w:w="100"/>
              <w:bottom w:type="dxa" w:w="70"/>
              <w:right w:type="dxa" w:w="100"/>
            </w:tcMar>
            <w:vAlign w:val="center"/>
          </w:tcPr>
          <w:p>
            <w:r>
              <w:rPr>
                <w:sz w:val="17"/>
                <w:szCs w:val="17"/>
              </w:rPr>
              <w:t xml:space="preserve">Profile</w:t>
            </w:r>
          </w:p>
        </w:tc>
        <w:tc>
          <w:tcPr>
            <w:tcW w:type="dxa" w:w="2400"/>
            <w:tcMar>
              <w:top w:type="dxa" w:w="70"/>
              <w:left w:type="dxa" w:w="100"/>
              <w:bottom w:type="dxa" w:w="70"/>
              <w:right w:type="dxa" w:w="100"/>
            </w:tcMar>
            <w:vAlign w:val="center"/>
          </w:tcPr>
          <w:p>
            <w:r>
              <w:rPr>
                <w:sz w:val="17"/>
                <w:szCs w:val="17"/>
              </w:rPr>
              <w:t xml:space="preserve">/profile/</w:t>
            </w:r>
          </w:p>
        </w:tc>
        <w:tc>
          <w:tcPr>
            <w:tcW w:type="dxa" w:w="4300"/>
            <w:tcMar>
              <w:top w:type="dxa" w:w="70"/>
              <w:left w:type="dxa" w:w="100"/>
              <w:bottom w:type="dxa" w:w="70"/>
              <w:right w:type="dxa" w:w="100"/>
            </w:tcMar>
            <w:vAlign w:val="center"/>
          </w:tcPr>
          <w:p>
            <w:r>
              <w:rPr>
                <w:sz w:val="17"/>
                <w:szCs w:val="17"/>
              </w:rPr>
              <w:t xml:space="preserve">User profile management</w:t>
            </w:r>
          </w:p>
        </w:tc>
      </w:tr>
      <w:tr>
        <w:tc>
          <w:tcPr>
            <w:tcW w:type="dxa" w:w="2100"/>
            <w:tcMar>
              <w:top w:type="dxa" w:w="70"/>
              <w:left w:type="dxa" w:w="100"/>
              <w:bottom w:type="dxa" w:w="70"/>
              <w:right w:type="dxa" w:w="100"/>
            </w:tcMar>
            <w:vAlign w:val="center"/>
          </w:tcPr>
          <w:p>
            <w:r>
              <w:rPr>
                <w:sz w:val="17"/>
                <w:szCs w:val="17"/>
              </w:rPr>
              <w:t xml:space="preserve">Settings</w:t>
            </w:r>
          </w:p>
        </w:tc>
        <w:tc>
          <w:tcPr>
            <w:tcW w:type="dxa" w:w="2400"/>
            <w:tcMar>
              <w:top w:type="dxa" w:w="70"/>
              <w:left w:type="dxa" w:w="100"/>
              <w:bottom w:type="dxa" w:w="70"/>
              <w:right w:type="dxa" w:w="100"/>
            </w:tcMar>
            <w:vAlign w:val="center"/>
          </w:tcPr>
          <w:p>
            <w:r>
              <w:rPr>
                <w:sz w:val="17"/>
                <w:szCs w:val="17"/>
              </w:rPr>
              <w:t xml:space="preserve">/settings/</w:t>
            </w:r>
          </w:p>
        </w:tc>
        <w:tc>
          <w:tcPr>
            <w:tcW w:type="dxa" w:w="4300"/>
            <w:tcMar>
              <w:top w:type="dxa" w:w="70"/>
              <w:left w:type="dxa" w:w="100"/>
              <w:bottom w:type="dxa" w:w="70"/>
              <w:right w:type="dxa" w:w="100"/>
            </w:tcMar>
            <w:vAlign w:val="center"/>
          </w:tcPr>
          <w:p>
            <w:r>
              <w:rPr>
                <w:sz w:val="17"/>
                <w:szCs w:val="17"/>
              </w:rPr>
              <w:t xml:space="preserve">System configuration</w:t>
            </w:r>
          </w:p>
        </w:tc>
      </w:tr>
      <w:tr>
        <w:tc>
          <w:tcPr>
            <w:tcW w:type="dxa" w:w="2100"/>
            <w:tcMar>
              <w:top w:type="dxa" w:w="70"/>
              <w:left w:type="dxa" w:w="100"/>
              <w:bottom w:type="dxa" w:w="70"/>
              <w:right w:type="dxa" w:w="100"/>
            </w:tcMar>
            <w:vAlign w:val="center"/>
          </w:tcPr>
          <w:p>
            <w:r>
              <w:rPr>
                <w:sz w:val="17"/>
                <w:szCs w:val="17"/>
              </w:rPr>
              <w:t xml:space="preserve">Admin Panel</w:t>
            </w:r>
          </w:p>
        </w:tc>
        <w:tc>
          <w:tcPr>
            <w:tcW w:type="dxa" w:w="2400"/>
            <w:tcMar>
              <w:top w:type="dxa" w:w="70"/>
              <w:left w:type="dxa" w:w="100"/>
              <w:bottom w:type="dxa" w:w="70"/>
              <w:right w:type="dxa" w:w="100"/>
            </w:tcMar>
            <w:vAlign w:val="center"/>
          </w:tcPr>
          <w:p>
            <w:r>
              <w:rPr>
                <w:sz w:val="17"/>
                <w:szCs w:val="17"/>
              </w:rPr>
              <w:t xml:space="preserve">/admin-panel/ and /admin/</w:t>
            </w:r>
          </w:p>
        </w:tc>
        <w:tc>
          <w:tcPr>
            <w:tcW w:type="dxa" w:w="4300"/>
            <w:tcMar>
              <w:top w:type="dxa" w:w="70"/>
              <w:left w:type="dxa" w:w="100"/>
              <w:bottom w:type="dxa" w:w="70"/>
              <w:right w:type="dxa" w:w="100"/>
            </w:tcMar>
            <w:vAlign w:val="center"/>
          </w:tcPr>
          <w:p>
            <w:r>
              <w:rPr>
                <w:sz w:val="17"/>
                <w:szCs w:val="17"/>
              </w:rPr>
              <w:t xml:space="preserve">User and data administration</w:t>
            </w:r>
          </w:p>
        </w:tc>
      </w:tr>
    </w:tbl>
    <w:p>
      <w:r>
        <w:br w:type="page"/>
      </w:r>
    </w:p>
    <w:p>
      <w:pPr>
        <w:pStyle w:val="Heading1"/>
        <w:spacing w:after="200" w:before="420"/>
      </w:pPr>
      <w:r>
        <w:rPr>
          <w:b/>
          <w:bCs/>
          <w:color w:val="1F3864"/>
        </w:rPr>
        <w:t xml:space="preserve">Appendix C — Quick Start Guide</w:t>
      </w:r>
    </w:p>
    <w:p>
      <w:pPr>
        <w:pStyle w:val="Heading3"/>
        <w:spacing w:after="100" w:before="220"/>
      </w:pPr>
      <w:r>
        <w:rPr>
          <w:b/>
          <w:bCs/>
          <w:color w:val="333333"/>
        </w:rPr>
        <w:t xml:space="preserve">C.1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7"/>
          <w:szCs w:val="17"/>
        </w:rPr>
        <w:t xml:space="preserve"># Clone and set up</w:t>
      </w:r>
      <w:r>
        <w:rPr>
          <w:rFonts w:ascii="Consolas" w:cs="Consolas" w:eastAsia="Consolas" w:hAnsi="Consolas"/>
          <w:color w:val="333333"/>
          <w:sz w:val="17"/>
          <w:szCs w:val="17"/>
        </w:rPr>
        <w:br/>
        <w:t xml:space="preserve">git clone &lt;repo-url&gt;</w:t>
      </w:r>
      <w:r>
        <w:rPr>
          <w:rFonts w:ascii="Consolas" w:cs="Consolas" w:eastAsia="Consolas" w:hAnsi="Consolas"/>
          <w:color w:val="333333"/>
          <w:sz w:val="17"/>
          <w:szCs w:val="17"/>
        </w:rPr>
        <w:br/>
        <w:t xml:space="preserve">cd rebaden/backend</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Install dependencies</w:t>
      </w:r>
      <w:r>
        <w:rPr>
          <w:rFonts w:ascii="Consolas" w:cs="Consolas" w:eastAsia="Consolas" w:hAnsi="Consolas"/>
          <w:color w:val="333333"/>
          <w:sz w:val="17"/>
          <w:szCs w:val="17"/>
        </w:rPr>
        <w:br/>
        <w:t xml:space="preserve">python -m venv venv &amp;&amp; source venv/bin/activate</w:t>
      </w:r>
      <w:r>
        <w:rPr>
          <w:rFonts w:ascii="Consolas" w:cs="Consolas" w:eastAsia="Consolas" w:hAnsi="Consolas"/>
          <w:color w:val="333333"/>
          <w:sz w:val="17"/>
          <w:szCs w:val="17"/>
        </w:rPr>
        <w:br/>
        <w:t xml:space="preserve">pip install -r requirements.txt</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Configure environment</w:t>
      </w:r>
      <w:r>
        <w:rPr>
          <w:rFonts w:ascii="Consolas" w:cs="Consolas" w:eastAsia="Consolas" w:hAnsi="Consolas"/>
          <w:color w:val="333333"/>
          <w:sz w:val="17"/>
          <w:szCs w:val="17"/>
        </w:rPr>
        <w:br/>
        <w:t xml:space="preserve">cp .env.example .env</w:t>
      </w:r>
      <w:r>
        <w:rPr>
          <w:rFonts w:ascii="Consolas" w:cs="Consolas" w:eastAsia="Consolas" w:hAnsi="Consolas"/>
          <w:color w:val="333333"/>
          <w:sz w:val="17"/>
          <w:szCs w:val="17"/>
        </w:rPr>
        <w:br/>
        <w:t xml:space="preserve"># Edit .env: set SECRET_KEY, OPENAI_API_KEY</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Initialise database</w:t>
      </w:r>
      <w:r>
        <w:rPr>
          <w:rFonts w:ascii="Consolas" w:cs="Consolas" w:eastAsia="Consolas" w:hAnsi="Consolas"/>
          <w:color w:val="333333"/>
          <w:sz w:val="17"/>
          <w:szCs w:val="17"/>
        </w:rPr>
        <w:br/>
        <w:t xml:space="preserve">python manage.py migrate</w:t>
      </w:r>
      <w:r>
        <w:rPr>
          <w:rFonts w:ascii="Consolas" w:cs="Consolas" w:eastAsia="Consolas" w:hAnsi="Consolas"/>
          <w:color w:val="333333"/>
          <w:sz w:val="17"/>
          <w:szCs w:val="17"/>
        </w:rPr>
        <w:br/>
        <w:t xml:space="preserve">python manage.py createsuperuser</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Run</w:t>
      </w:r>
      <w:r>
        <w:rPr>
          <w:rFonts w:ascii="Consolas" w:cs="Consolas" w:eastAsia="Consolas" w:hAnsi="Consolas"/>
          <w:color w:val="333333"/>
          <w:sz w:val="17"/>
          <w:szCs w:val="17"/>
        </w:rPr>
        <w:br/>
        <w:t xml:space="preserve">python manage.py runserver</w:t>
      </w:r>
      <w:r>
        <w:rPr>
          <w:rFonts w:ascii="Consolas" w:cs="Consolas" w:eastAsia="Consolas" w:hAnsi="Consolas"/>
          <w:color w:val="333333"/>
          <w:sz w:val="17"/>
          <w:szCs w:val="17"/>
        </w:rPr>
        <w:br/>
        <w:t xml:space="preserve"># Visit: http://127.0.0.1:8000</w:t>
      </w:r>
    </w:p>
    <w:p>
      <w:pPr>
        <w:pStyle w:val="Heading3"/>
        <w:spacing w:after="100" w:before="220"/>
      </w:pPr>
      <w:r>
        <w:rPr>
          <w:b/>
          <w:bCs/>
          <w:color w:val="333333"/>
        </w:rPr>
        <w:t xml:space="preserve">C.2 Default Access</w:t>
      </w:r>
    </w:p>
    <w:p>
      <w:pPr>
        <w:pStyle w:val="ListParagraph"/>
        <w:numPr>
          <w:ilvl w:val="0"/>
          <w:numId w:val="1"/>
        </w:numPr>
        <w:spacing w:after="80"/>
      </w:pPr>
      <w:r>
        <w:t xml:space="preserve">Dashboard: http://127.0.0.1:8000/dashboard/</w:t>
      </w:r>
    </w:p>
    <w:p>
      <w:pPr>
        <w:pStyle w:val="ListParagraph"/>
        <w:numPr>
          <w:ilvl w:val="0"/>
          <w:numId w:val="1"/>
        </w:numPr>
        <w:spacing w:after="80"/>
      </w:pPr>
      <w:r>
        <w:t xml:space="preserve">Admin interface: http://127.0.0.1:8000/admin/</w:t>
      </w:r>
    </w:p>
    <w:p>
      <w:pPr>
        <w:pStyle w:val="ListParagraph"/>
        <w:numPr>
          <w:ilvl w:val="0"/>
          <w:numId w:val="1"/>
        </w:numPr>
        <w:spacing w:after="80"/>
      </w:pPr>
      <w:r>
        <w:t xml:space="preserve">Default credentials (development only): admin / admin123 — must be changed before any non-local deployment</w:t>
      </w:r>
    </w:p>
    <w:p>
      <w:pPr>
        <w:pStyle w:val="Heading3"/>
        <w:spacing w:after="100" w:before="220"/>
      </w:pPr>
      <w:r>
        <w:rPr>
          <w:b/>
          <w:bCs/>
          <w:color w:val="333333"/>
        </w:rPr>
        <w:t xml:space="preserve">C.3 Key File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80"/>
              <w:left w:type="dxa" w:w="100"/>
              <w:bottom w:type="dxa" w:w="80"/>
              <w:right w:type="dxa" w:w="100"/>
            </w:tcMar>
            <w:vAlign w:val="center"/>
          </w:tcPr>
          <w:p>
            <w:r>
              <w:rPr>
                <w:b/>
                <w:bCs/>
                <w:color w:val="FFFFFF"/>
                <w:sz w:val="17"/>
                <w:szCs w:val="17"/>
              </w:rPr>
              <w:t xml:space="preserve">File</w:t>
            </w:r>
          </w:p>
        </w:tc>
        <w:tc>
          <w:tcPr>
            <w:tcW w:type="dxa" w:w="6000"/>
            <w:shd w:fill="1F3864" w:val="clear"/>
            <w:tcMar>
              <w:top w:type="dxa" w:w="80"/>
              <w:left w:type="dxa" w:w="100"/>
              <w:bottom w:type="dxa" w:w="80"/>
              <w:right w:type="dxa" w:w="100"/>
            </w:tcMar>
            <w:vAlign w:val="center"/>
          </w:tcPr>
          <w:p>
            <w:r>
              <w:rPr>
                <w:b/>
                <w:bCs/>
                <w:color w:val="FFFFFF"/>
                <w:sz w:val="17"/>
                <w:szCs w:val="17"/>
              </w:rPr>
              <w:t xml:space="preserve">Role</w:t>
            </w:r>
          </w:p>
        </w:tc>
      </w:tr>
      <w:tr>
        <w:tc>
          <w:tcPr>
            <w:tcW w:type="dxa" w:w="3200"/>
            <w:tcMar>
              <w:top w:type="dxa" w:w="70"/>
              <w:left w:type="dxa" w:w="100"/>
              <w:bottom w:type="dxa" w:w="70"/>
              <w:right w:type="dxa" w:w="100"/>
            </w:tcMar>
            <w:vAlign w:val="center"/>
          </w:tcPr>
          <w:p>
            <w:r>
              <w:rPr>
                <w:sz w:val="17"/>
                <w:szCs w:val="17"/>
              </w:rPr>
              <w:t xml:space="preserve">apps/core/models.py</w:t>
            </w:r>
          </w:p>
        </w:tc>
        <w:tc>
          <w:tcPr>
            <w:tcW w:type="dxa" w:w="6000"/>
            <w:tcMar>
              <w:top w:type="dxa" w:w="70"/>
              <w:left w:type="dxa" w:w="100"/>
              <w:bottom w:type="dxa" w:w="70"/>
              <w:right w:type="dxa" w:w="100"/>
            </w:tcMar>
            <w:vAlign w:val="center"/>
          </w:tcPr>
          <w:p>
            <w:r>
              <w:rPr>
                <w:sz w:val="17"/>
                <w:szCs w:val="17"/>
              </w:rPr>
              <w:t xml:space="preserve">All database models</w:t>
            </w:r>
          </w:p>
        </w:tc>
      </w:tr>
      <w:tr>
        <w:tc>
          <w:tcPr>
            <w:tcW w:type="dxa" w:w="3200"/>
            <w:tcMar>
              <w:top w:type="dxa" w:w="70"/>
              <w:left w:type="dxa" w:w="100"/>
              <w:bottom w:type="dxa" w:w="70"/>
              <w:right w:type="dxa" w:w="100"/>
            </w:tcMar>
            <w:vAlign w:val="center"/>
          </w:tcPr>
          <w:p>
            <w:r>
              <w:rPr>
                <w:sz w:val="17"/>
                <w:szCs w:val="17"/>
              </w:rPr>
              <w:t xml:space="preserve">apps/core/views.py</w:t>
            </w:r>
          </w:p>
        </w:tc>
        <w:tc>
          <w:tcPr>
            <w:tcW w:type="dxa" w:w="6000"/>
            <w:tcMar>
              <w:top w:type="dxa" w:w="70"/>
              <w:left w:type="dxa" w:w="100"/>
              <w:bottom w:type="dxa" w:w="70"/>
              <w:right w:type="dxa" w:w="100"/>
            </w:tcMar>
            <w:vAlign w:val="center"/>
          </w:tcPr>
          <w:p>
            <w:r>
              <w:rPr>
                <w:sz w:val="17"/>
                <w:szCs w:val="17"/>
              </w:rPr>
              <w:t xml:space="preserve">All view controllers</w:t>
            </w:r>
          </w:p>
        </w:tc>
      </w:tr>
      <w:tr>
        <w:tc>
          <w:tcPr>
            <w:tcW w:type="dxa" w:w="3200"/>
            <w:tcMar>
              <w:top w:type="dxa" w:w="70"/>
              <w:left w:type="dxa" w:w="100"/>
              <w:bottom w:type="dxa" w:w="70"/>
              <w:right w:type="dxa" w:w="100"/>
            </w:tcMar>
            <w:vAlign w:val="center"/>
          </w:tcPr>
          <w:p>
            <w:r>
              <w:rPr>
                <w:sz w:val="17"/>
                <w:szCs w:val="17"/>
              </w:rPr>
              <w:t xml:space="preserve">apps/core/log_parser.py</w:t>
            </w:r>
          </w:p>
        </w:tc>
        <w:tc>
          <w:tcPr>
            <w:tcW w:type="dxa" w:w="6000"/>
            <w:tcMar>
              <w:top w:type="dxa" w:w="70"/>
              <w:left w:type="dxa" w:w="100"/>
              <w:bottom w:type="dxa" w:w="70"/>
              <w:right w:type="dxa" w:w="100"/>
            </w:tcMar>
            <w:vAlign w:val="center"/>
          </w:tcPr>
          <w:p>
            <w:r>
              <w:rPr>
                <w:sz w:val="17"/>
                <w:szCs w:val="17"/>
              </w:rPr>
              <w:t xml:space="preserve">Log ingestion and parsing</w:t>
            </w:r>
          </w:p>
        </w:tc>
      </w:tr>
      <w:tr>
        <w:tc>
          <w:tcPr>
            <w:tcW w:type="dxa" w:w="3200"/>
            <w:tcMar>
              <w:top w:type="dxa" w:w="70"/>
              <w:left w:type="dxa" w:w="100"/>
              <w:bottom w:type="dxa" w:w="70"/>
              <w:right w:type="dxa" w:w="100"/>
            </w:tcMar>
            <w:vAlign w:val="center"/>
          </w:tcPr>
          <w:p>
            <w:r>
              <w:rPr>
                <w:sz w:val="17"/>
                <w:szCs w:val="17"/>
              </w:rPr>
              <w:t xml:space="preserve">apps/core/alert_generator.py</w:t>
            </w:r>
          </w:p>
        </w:tc>
        <w:tc>
          <w:tcPr>
            <w:tcW w:type="dxa" w:w="6000"/>
            <w:tcMar>
              <w:top w:type="dxa" w:w="70"/>
              <w:left w:type="dxa" w:w="100"/>
              <w:bottom w:type="dxa" w:w="70"/>
              <w:right w:type="dxa" w:w="100"/>
            </w:tcMar>
            <w:vAlign w:val="center"/>
          </w:tcPr>
          <w:p>
            <w:r>
              <w:rPr>
                <w:sz w:val="17"/>
                <w:szCs w:val="17"/>
              </w:rPr>
              <w:t xml:space="preserve">Alert correlation rules</w:t>
            </w:r>
          </w:p>
        </w:tc>
      </w:tr>
      <w:tr>
        <w:tc>
          <w:tcPr>
            <w:tcW w:type="dxa" w:w="3200"/>
            <w:tcMar>
              <w:top w:type="dxa" w:w="70"/>
              <w:left w:type="dxa" w:w="100"/>
              <w:bottom w:type="dxa" w:w="70"/>
              <w:right w:type="dxa" w:w="100"/>
            </w:tcMar>
            <w:vAlign w:val="center"/>
          </w:tcPr>
          <w:p>
            <w:r>
              <w:rPr>
                <w:sz w:val="17"/>
                <w:szCs w:val="17"/>
              </w:rPr>
              <w:t xml:space="preserve">apps/core/investigation_ai.py</w:t>
            </w:r>
          </w:p>
        </w:tc>
        <w:tc>
          <w:tcPr>
            <w:tcW w:type="dxa" w:w="6000"/>
            <w:tcMar>
              <w:top w:type="dxa" w:w="70"/>
              <w:left w:type="dxa" w:w="100"/>
              <w:bottom w:type="dxa" w:w="70"/>
              <w:right w:type="dxa" w:w="100"/>
            </w:tcMar>
            <w:vAlign w:val="center"/>
          </w:tcPr>
          <w:p>
            <w:r>
              <w:rPr>
                <w:sz w:val="17"/>
                <w:szCs w:val="17"/>
              </w:rPr>
              <w:t xml:space="preserve">AI-assisted recommendations</w:t>
            </w:r>
          </w:p>
        </w:tc>
      </w:tr>
      <w:tr>
        <w:tc>
          <w:tcPr>
            <w:tcW w:type="dxa" w:w="3200"/>
            <w:tcMar>
              <w:top w:type="dxa" w:w="70"/>
              <w:left w:type="dxa" w:w="100"/>
              <w:bottom w:type="dxa" w:w="70"/>
              <w:right w:type="dxa" w:w="100"/>
            </w:tcMar>
            <w:vAlign w:val="center"/>
          </w:tcPr>
          <w:p>
            <w:r>
              <w:rPr>
                <w:sz w:val="17"/>
                <w:szCs w:val="17"/>
              </w:rPr>
              <w:t xml:space="preserve">apps/core/report_generator.py</w:t>
            </w:r>
          </w:p>
        </w:tc>
        <w:tc>
          <w:tcPr>
            <w:tcW w:type="dxa" w:w="6000"/>
            <w:tcMar>
              <w:top w:type="dxa" w:w="70"/>
              <w:left w:type="dxa" w:w="100"/>
              <w:bottom w:type="dxa" w:w="70"/>
              <w:right w:type="dxa" w:w="100"/>
            </w:tcMar>
            <w:vAlign w:val="center"/>
          </w:tcPr>
          <w:p>
            <w:r>
              <w:rPr>
                <w:sz w:val="17"/>
                <w:szCs w:val="17"/>
              </w:rPr>
              <w:t xml:space="preserve">Multi-format report generation</w:t>
            </w:r>
          </w:p>
        </w:tc>
      </w:tr>
      <w:tr>
        <w:tc>
          <w:tcPr>
            <w:tcW w:type="dxa" w:w="3200"/>
            <w:tcMar>
              <w:top w:type="dxa" w:w="70"/>
              <w:left w:type="dxa" w:w="100"/>
              <w:bottom w:type="dxa" w:w="70"/>
              <w:right w:type="dxa" w:w="100"/>
            </w:tcMar>
            <w:vAlign w:val="center"/>
          </w:tcPr>
          <w:p>
            <w:r>
              <w:rPr>
                <w:sz w:val="17"/>
                <w:szCs w:val="17"/>
              </w:rPr>
              <w:t xml:space="preserve">apps/core/forms.py</w:t>
            </w:r>
          </w:p>
        </w:tc>
        <w:tc>
          <w:tcPr>
            <w:tcW w:type="dxa" w:w="6000"/>
            <w:tcMar>
              <w:top w:type="dxa" w:w="70"/>
              <w:left w:type="dxa" w:w="100"/>
              <w:bottom w:type="dxa" w:w="70"/>
              <w:right w:type="dxa" w:w="100"/>
            </w:tcMar>
            <w:vAlign w:val="center"/>
          </w:tcPr>
          <w:p>
            <w:r>
              <w:rPr>
                <w:sz w:val="17"/>
                <w:szCs w:val="17"/>
              </w:rPr>
              <w:t xml:space="preserve">All user input forms</w:t>
            </w:r>
          </w:p>
        </w:tc>
      </w:tr>
      <w:tr>
        <w:tc>
          <w:tcPr>
            <w:tcW w:type="dxa" w:w="3200"/>
            <w:tcMar>
              <w:top w:type="dxa" w:w="70"/>
              <w:left w:type="dxa" w:w="100"/>
              <w:bottom w:type="dxa" w:w="70"/>
              <w:right w:type="dxa" w:w="100"/>
            </w:tcMar>
            <w:vAlign w:val="center"/>
          </w:tcPr>
          <w:p>
            <w:r>
              <w:rPr>
                <w:sz w:val="17"/>
                <w:szCs w:val="17"/>
              </w:rPr>
              <w:t xml:space="preserve">templates/base.html</w:t>
            </w:r>
          </w:p>
        </w:tc>
        <w:tc>
          <w:tcPr>
            <w:tcW w:type="dxa" w:w="6000"/>
            <w:tcMar>
              <w:top w:type="dxa" w:w="70"/>
              <w:left w:type="dxa" w:w="100"/>
              <w:bottom w:type="dxa" w:w="70"/>
              <w:right w:type="dxa" w:w="100"/>
            </w:tcMar>
            <w:vAlign w:val="center"/>
          </w:tcPr>
          <w:p>
            <w:r>
              <w:rPr>
                <w:sz w:val="17"/>
                <w:szCs w:val="17"/>
              </w:rPr>
              <w:t xml:space="preserve">Master layout (sidebar, navigation, theme)</w:t>
            </w:r>
          </w:p>
        </w:tc>
      </w:tr>
      <w:tr>
        <w:tc>
          <w:tcPr>
            <w:tcW w:type="dxa" w:w="3200"/>
            <w:tcMar>
              <w:top w:type="dxa" w:w="70"/>
              <w:left w:type="dxa" w:w="100"/>
              <w:bottom w:type="dxa" w:w="70"/>
              <w:right w:type="dxa" w:w="100"/>
            </w:tcMar>
            <w:vAlign w:val="center"/>
          </w:tcPr>
          <w:p>
            <w:r>
              <w:rPr>
                <w:sz w:val="17"/>
                <w:szCs w:val="17"/>
              </w:rPr>
              <w:t xml:space="preserve">static/css/styles.css</w:t>
            </w:r>
          </w:p>
        </w:tc>
        <w:tc>
          <w:tcPr>
            <w:tcW w:type="dxa" w:w="6000"/>
            <w:tcMar>
              <w:top w:type="dxa" w:w="70"/>
              <w:left w:type="dxa" w:w="100"/>
              <w:bottom w:type="dxa" w:w="70"/>
              <w:right w:type="dxa" w:w="100"/>
            </w:tcMar>
            <w:vAlign w:val="center"/>
          </w:tcPr>
          <w:p>
            <w:r>
              <w:rPr>
                <w:sz w:val="17"/>
                <w:szCs w:val="17"/>
              </w:rPr>
              <w:t xml:space="preserve">Global design system and theming</w:t>
            </w:r>
          </w:p>
        </w:tc>
      </w:tr>
    </w:tbl>
    <w:p>
      <w:pPr>
        <w:spacing w:before="400"/>
        <w:jc w:val="center"/>
      </w:pPr>
      <w:r>
        <w:rPr>
          <w:i/>
          <w:iCs/>
          <w:color w:val="59595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REBADEN SIEM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ae5183e05e2b43d68f25d013705c6483564faf.png"/><Relationship Id="rId10" Type="http://schemas.openxmlformats.org/officeDocument/2006/relationships/image" Target="media/727afee15e44530c5e25047f23f74e7af6da596b.png"/><Relationship Id="rId11" Type="http://schemas.openxmlformats.org/officeDocument/2006/relationships/image" Target="media/bb8d8f623ce2041b6b1d450575cafe1ccfa9ae5a.png"/><Relationship Id="rId12" Type="http://schemas.openxmlformats.org/officeDocument/2006/relationships/image" Target="media/fc2e5c4cdf9cf7b232906de3586c3b9aef86171e.png"/><Relationship Id="rId13" Type="http://schemas.openxmlformats.org/officeDocument/2006/relationships/image" Target="media/62cd773eaccecd47b885304c5816d0462a8b113d.png"/><Relationship Id="rId14" Type="http://schemas.openxmlformats.org/officeDocument/2006/relationships/image" Target="media/551d94d28acd55a58c4ade4ecdde0f17ff04f427.png"/><Relationship Id="rId15" Type="http://schemas.openxmlformats.org/officeDocument/2006/relationships/image" Target="media/fec3657061ea15abeeb26731b92ad453f0cfbb3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2026-08-10T19:26:33.910Z</dcterms:created>
  <dcterms:modified xsi:type="dcterms:W3CDTF">2026-08-10T19:26:33.910Z</dcterms:modified>
</cp:coreProperties>
</file>

<file path=docProps/custom.xml><?xml version="1.0" encoding="utf-8"?>
<Properties xmlns="http://schemas.openxmlformats.org/officeDocument/2006/custom-properties" xmlns:vt="http://schemas.openxmlformats.org/officeDocument/2006/docPropsVTypes"/>
</file>