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1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406"/>
        </w:trPr>
        <w:tc>
          <w:tcPr>
            <w:tcW w:type="dxa" w:w="7902"/>
            <w:tcBorders>
              <w:start w:sz="4.0" w:val="single" w:color="#000000"/>
              <w:top w:sz="4.0" w:val="single" w:color="#000000"/>
              <w:end w:sz="18.0" w:val="single" w:color="#808080"/>
              <w:bottom w:sz="18.0" w:val="single" w:color="#808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4" w:after="0"/>
              <w:ind w:left="0" w:right="9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SFIT, Department of Information Technology</w:t>
            </w:r>
          </w:p>
        </w:tc>
        <w:tc>
          <w:tcPr>
            <w:tcW w:type="dxa" w:w="1122"/>
            <w:tcBorders>
              <w:start w:sz="18.0" w:val="single" w:color="#808080"/>
              <w:top w:sz="4.0" w:val="single" w:color="#000000"/>
              <w:end w:sz="4.0" w:val="single" w:color="#000000"/>
              <w:bottom w:sz="18.0" w:val="single" w:color="#808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4" w:after="0"/>
              <w:ind w:left="9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4F81BD"/>
                <w:sz w:val="20"/>
              </w:rPr>
              <w:t>2025</w:t>
            </w:r>
          </w:p>
        </w:tc>
      </w:tr>
    </w:tbl>
    <w:p>
      <w:pPr>
        <w:autoSpaceDN w:val="0"/>
        <w:autoSpaceDE w:val="0"/>
        <w:widowControl/>
        <w:spacing w:line="245" w:lineRule="auto" w:before="296" w:after="0"/>
        <w:ind w:left="3312" w:right="3168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St. Francis Institute of Technology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(An Autonomous Institution)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AICTE Approved | Affiliated to University of Mumbai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A+ Grade by NAAC: CMPN, EXTC, INFT NBA Accredited: ISO 9001:2015 Certified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Department of Information Technology</w:t>
      </w:r>
    </w:p>
    <w:p>
      <w:pPr>
        <w:autoSpaceDN w:val="0"/>
        <w:autoSpaceDE w:val="0"/>
        <w:widowControl/>
        <w:spacing w:line="245" w:lineRule="auto" w:before="286" w:after="0"/>
        <w:ind w:left="3600" w:right="360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A.Y. 2025-2026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Class: BE-IT A/B, Semester: VII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Subject: Secure Application Development Lab</w:t>
      </w:r>
    </w:p>
    <w:p>
      <w:pPr>
        <w:autoSpaceDN w:val="0"/>
        <w:tabs>
          <w:tab w:pos="8350" w:val="left"/>
        </w:tabs>
        <w:autoSpaceDE w:val="0"/>
        <w:widowControl/>
        <w:spacing w:line="230" w:lineRule="auto" w:before="286" w:after="0"/>
        <w:ind w:left="187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 Name: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 Roll No: </w:t>
      </w:r>
    </w:p>
    <w:p>
      <w:pPr>
        <w:autoSpaceDN w:val="0"/>
        <w:autoSpaceDE w:val="0"/>
        <w:widowControl/>
        <w:spacing w:line="230" w:lineRule="auto" w:before="334" w:after="0"/>
        <w:ind w:left="0" w:right="0" w:firstLine="0"/>
        <w:jc w:val="center"/>
      </w:pPr>
      <w:r>
        <w:rPr>
          <w:u w:val="single" w:color="000009"/>
          <w:rFonts w:ascii="Times New Roman" w:hAnsi="Times New Roman" w:eastAsia="Times New Roman"/>
          <w:b/>
          <w:i w:val="0"/>
          <w:color w:val="00000A"/>
          <w:sz w:val="28"/>
        </w:rPr>
        <w:t>Experiment – 3: Study and exercise on Threat Modeling</w:t>
      </w:r>
    </w:p>
    <w:p>
      <w:pPr>
        <w:autoSpaceDN w:val="0"/>
        <w:autoSpaceDE w:val="0"/>
        <w:widowControl/>
        <w:spacing w:line="230" w:lineRule="auto" w:before="378" w:after="226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A"/>
          <w:sz w:val="24"/>
        </w:rPr>
        <w:t xml:space="preserve">Aim: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study and excise on Threat Modeling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9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72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Objective:</w:t>
            </w:r>
            <w:r>
              <w:rPr>
                <w:rFonts w:ascii="Times New Roman" w:hAnsi="Times New Roman" w:eastAsia="Times New Roman"/>
                <w:b w:val="0"/>
                <w:i w:val="0"/>
                <w:color w:val="00000A"/>
                <w:sz w:val="24"/>
              </w:rPr>
              <w:t xml:space="preserve"> After performing the experiment, the students will be able to –</w:t>
            </w:r>
          </w:p>
        </w:tc>
      </w:tr>
      <w:tr>
        <w:trPr>
          <w:trHeight w:hRule="exact" w:val="326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36" w:firstLine="0"/>
              <w:jc w:val="right"/>
            </w:pPr>
            <w:r>
              <w:rPr>
                <w:rFonts w:ascii="Noto Sans Symbols" w:hAnsi="Noto Sans Symbols" w:eastAsia="Noto Sans Symbols"/>
                <w:b w:val="0"/>
                <w:i w:val="0"/>
                <w:color w:val="000000"/>
                <w:sz w:val="24"/>
              </w:rPr>
              <w:t>▪</w:t>
            </w:r>
          </w:p>
        </w:tc>
        <w:tc>
          <w:tcPr>
            <w:tcW w:type="dxa" w:w="8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To generate Threat model using Microsoft Threat modeling tool</w:t>
            </w:r>
          </w:p>
        </w:tc>
      </w:tr>
      <w:tr>
        <w:trPr>
          <w:trHeight w:hRule="exact" w:val="328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36" w:firstLine="0"/>
              <w:jc w:val="right"/>
            </w:pPr>
            <w:r>
              <w:rPr>
                <w:rFonts w:ascii="Noto Sans Symbols" w:hAnsi="Noto Sans Symbols" w:eastAsia="Noto Sans Symbols"/>
                <w:b w:val="0"/>
                <w:i w:val="0"/>
                <w:color w:val="000000"/>
                <w:sz w:val="24"/>
              </w:rPr>
              <w:t>▪</w:t>
            </w:r>
          </w:p>
        </w:tc>
        <w:tc>
          <w:tcPr>
            <w:tcW w:type="dxa" w:w="8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get familiar with the features provided by the tool </w:t>
            </w:r>
          </w:p>
        </w:tc>
      </w:tr>
      <w:tr>
        <w:trPr>
          <w:trHeight w:hRule="exact" w:val="326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36" w:firstLine="0"/>
              <w:jc w:val="right"/>
            </w:pPr>
            <w:r>
              <w:rPr>
                <w:rFonts w:ascii="Noto Sans Symbols" w:hAnsi="Noto Sans Symbols" w:eastAsia="Noto Sans Symbols"/>
                <w:b w:val="0"/>
                <w:i w:val="0"/>
                <w:color w:val="000000"/>
                <w:sz w:val="24"/>
              </w:rPr>
              <w:t>▪</w:t>
            </w:r>
          </w:p>
        </w:tc>
        <w:tc>
          <w:tcPr>
            <w:tcW w:type="dxa" w:w="8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To Learn about generated threat categories</w:t>
            </w:r>
          </w:p>
        </w:tc>
      </w:tr>
      <w:tr>
        <w:trPr>
          <w:trHeight w:hRule="exact" w:val="388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36" w:firstLine="0"/>
              <w:jc w:val="right"/>
            </w:pPr>
            <w:r>
              <w:rPr>
                <w:rFonts w:ascii="Noto Sans Symbols" w:hAnsi="Noto Sans Symbols" w:eastAsia="Noto Sans Symbols"/>
                <w:b w:val="0"/>
                <w:i w:val="0"/>
                <w:color w:val="000000"/>
                <w:sz w:val="24"/>
              </w:rPr>
              <w:t>▪</w:t>
            </w:r>
          </w:p>
        </w:tc>
        <w:tc>
          <w:tcPr>
            <w:tcW w:type="dxa" w:w="8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4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To find mitigations for the generated threats</w:t>
            </w:r>
          </w:p>
        </w:tc>
      </w:tr>
    </w:tbl>
    <w:p>
      <w:pPr>
        <w:autoSpaceDN w:val="0"/>
        <w:autoSpaceDE w:val="0"/>
        <w:widowControl/>
        <w:spacing w:line="245" w:lineRule="auto" w:before="226" w:after="0"/>
        <w:ind w:left="1440" w:right="1440" w:firstLine="0"/>
        <w:jc w:val="left"/>
      </w:pPr>
      <w:r>
        <w:rPr>
          <w:rFonts w:ascii="Times New Roman" w:hAnsi="Times New Roman" w:eastAsia="Times New Roman"/>
          <w:b/>
          <w:i w:val="0"/>
          <w:color w:val="00000A"/>
          <w:sz w:val="24"/>
        </w:rPr>
        <w:t xml:space="preserve">Lab objective mapped: To understand the methodologies and standards for developing </w:t>
      </w:r>
      <w:r>
        <w:rPr>
          <w:rFonts w:ascii="Times New Roman" w:hAnsi="Times New Roman" w:eastAsia="Times New Roman"/>
          <w:b/>
          <w:i w:val="0"/>
          <w:color w:val="00000A"/>
          <w:sz w:val="24"/>
        </w:rPr>
        <w:t xml:space="preserve">secure code </w:t>
      </w:r>
    </w:p>
    <w:p>
      <w:pPr>
        <w:autoSpaceDN w:val="0"/>
        <w:autoSpaceDE w:val="0"/>
        <w:widowControl/>
        <w:spacing w:line="230" w:lineRule="auto" w:before="28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A"/>
          <w:sz w:val="24"/>
        </w:rPr>
        <w:t>Prerequisite:</w:t>
      </w:r>
      <w:r>
        <w:rPr>
          <w:rFonts w:ascii="Times New Roman" w:hAnsi="Times New Roman" w:eastAsia="Times New Roman"/>
          <w:b w:val="0"/>
          <w:i w:val="0"/>
          <w:color w:val="181717"/>
          <w:sz w:val="24"/>
        </w:rPr>
        <w:t xml:space="preserve">Basic knowledge Information Security, software engineering </w:t>
      </w:r>
    </w:p>
    <w:p>
      <w:pPr>
        <w:autoSpaceDN w:val="0"/>
        <w:autoSpaceDE w:val="0"/>
        <w:widowControl/>
        <w:spacing w:line="245" w:lineRule="auto" w:before="288" w:after="0"/>
        <w:ind w:left="144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A"/>
          <w:sz w:val="24"/>
        </w:rPr>
        <w:t xml:space="preserve">Requirements: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Personal Computer, Windows operating system browser, Internet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Connection etc.</w:t>
      </w:r>
    </w:p>
    <w:p>
      <w:pPr>
        <w:autoSpaceDN w:val="0"/>
        <w:autoSpaceDE w:val="0"/>
        <w:widowControl/>
        <w:spacing w:line="230" w:lineRule="auto" w:before="288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A"/>
          <w:sz w:val="24"/>
        </w:rPr>
        <w:t>Pre-Experiment Theory:</w:t>
      </w:r>
    </w:p>
    <w:p>
      <w:pPr>
        <w:autoSpaceDN w:val="0"/>
        <w:autoSpaceDE w:val="0"/>
        <w:widowControl/>
        <w:spacing w:line="230" w:lineRule="auto" w:before="288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What is threat modeling? </w:t>
      </w:r>
    </w:p>
    <w:p>
      <w:pPr>
        <w:autoSpaceDN w:val="0"/>
        <w:autoSpaceDE w:val="0"/>
        <w:widowControl/>
        <w:spacing w:line="245" w:lineRule="auto" w:before="10" w:after="0"/>
        <w:ind w:left="1440" w:right="137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Threat modeling is a structured process with these objectives: identify security requirements,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pinpoint security threats and potential vulnerabilities, quantify threat and vulnerability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criticality, and prioritize remediation methods.</w:t>
      </w:r>
    </w:p>
    <w:p>
      <w:pPr>
        <w:autoSpaceDN w:val="0"/>
        <w:autoSpaceDE w:val="0"/>
        <w:widowControl/>
        <w:spacing w:line="230" w:lineRule="auto" w:before="160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Threat modeling methods create these artifacts:</w:t>
      </w:r>
    </w:p>
    <w:p>
      <w:pPr>
        <w:autoSpaceDN w:val="0"/>
        <w:tabs>
          <w:tab w:pos="2160" w:val="left"/>
        </w:tabs>
        <w:autoSpaceDE w:val="0"/>
        <w:widowControl/>
        <w:spacing w:line="230" w:lineRule="auto" w:before="290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An abstraction of the system</w:t>
      </w:r>
    </w:p>
    <w:p>
      <w:pPr>
        <w:autoSpaceDN w:val="0"/>
        <w:tabs>
          <w:tab w:pos="2160" w:val="left"/>
        </w:tabs>
        <w:autoSpaceDE w:val="0"/>
        <w:widowControl/>
        <w:spacing w:line="230" w:lineRule="auto" w:before="10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Profiles of potential attackers, including their goals and methods</w:t>
      </w:r>
    </w:p>
    <w:p>
      <w:pPr>
        <w:autoSpaceDN w:val="0"/>
        <w:tabs>
          <w:tab w:pos="2160" w:val="left"/>
        </w:tabs>
        <w:autoSpaceDE w:val="0"/>
        <w:widowControl/>
        <w:spacing w:line="230" w:lineRule="auto" w:before="10" w:after="0"/>
        <w:ind w:left="180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 catalog of threats that could arise</w:t>
      </w:r>
    </w:p>
    <w:p>
      <w:pPr>
        <w:autoSpaceDN w:val="0"/>
        <w:autoSpaceDE w:val="0"/>
        <w:widowControl/>
        <w:spacing w:line="245" w:lineRule="auto" w:before="290" w:after="0"/>
        <w:ind w:left="1440" w:right="137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Threat modeling works by identifying the types of threat agents that cause harm to 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application or computer system. It adopts the perspective of malicious hackers to see how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much damage they could do. When conducting threat modeling, organizations perform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thorough analysis of the software architecture, business context, and other artifacts (e.g., </w:t>
      </w:r>
    </w:p>
    <w:p>
      <w:pPr>
        <w:autoSpaceDN w:val="0"/>
        <w:autoSpaceDE w:val="0"/>
        <w:widowControl/>
        <w:spacing w:line="233" w:lineRule="auto" w:before="290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Secure Application Development Lab</w:t>
      </w:r>
    </w:p>
    <w:p>
      <w:pPr>
        <w:sectPr>
          <w:pgSz w:w="11900" w:h="1682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2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1838960</wp:posOffset>
            </wp:positionH>
            <wp:positionV relativeFrom="page">
              <wp:posOffset>1945639</wp:posOffset>
            </wp:positionV>
            <wp:extent cx="4876799" cy="449579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799" cy="4495799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406"/>
        </w:trPr>
        <w:tc>
          <w:tcPr>
            <w:tcW w:type="dxa" w:w="7902"/>
            <w:tcBorders>
              <w:start w:sz="4.0" w:val="single" w:color="#000000"/>
              <w:top w:sz="4.0" w:val="single" w:color="#000000"/>
              <w:end w:sz="18.0" w:val="single" w:color="#808080"/>
              <w:bottom w:sz="18.0" w:val="single" w:color="#808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4" w:after="0"/>
              <w:ind w:left="0" w:right="9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SFIT, Department of Information Technology</w:t>
            </w:r>
          </w:p>
        </w:tc>
        <w:tc>
          <w:tcPr>
            <w:tcW w:type="dxa" w:w="1122"/>
            <w:tcBorders>
              <w:start w:sz="18.0" w:val="single" w:color="#808080"/>
              <w:top w:sz="4.0" w:val="single" w:color="#000000"/>
              <w:end w:sz="4.0" w:val="single" w:color="#000000"/>
              <w:bottom w:sz="18.0" w:val="single" w:color="#80808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04" w:after="0"/>
              <w:ind w:left="9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4F81BD"/>
                <w:sz w:val="20"/>
              </w:rPr>
              <w:t>2025</w:t>
            </w:r>
          </w:p>
        </w:tc>
      </w:tr>
    </w:tbl>
    <w:p>
      <w:pPr>
        <w:autoSpaceDN w:val="0"/>
        <w:autoSpaceDE w:val="0"/>
        <w:widowControl/>
        <w:spacing w:line="245" w:lineRule="auto" w:before="274" w:after="230"/>
        <w:ind w:left="1440" w:right="137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functional specifications, user documentation). This process enables a deeper understanding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discovery of important aspects of the system. Typically, organizations conduct threat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modeling during the design</w:t>
      </w:r>
      <w:r>
        <w:rPr>
          <w:rFonts w:ascii="Times New Roman" w:hAnsi="Times New Roman" w:eastAsia="Times New Roman"/>
          <w:b w:val="0"/>
          <w:i w:val="0"/>
          <w:color w:val="111C24"/>
          <w:sz w:val="24"/>
        </w:rPr>
        <w:t xml:space="preserve"> stage (but it can occur at other stages) of a new application to </w:t>
      </w:r>
      <w:r>
        <w:rPr>
          <w:rFonts w:ascii="Times New Roman" w:hAnsi="Times New Roman" w:eastAsia="Times New Roman"/>
          <w:b w:val="0"/>
          <w:i w:val="0"/>
          <w:color w:val="111C24"/>
          <w:sz w:val="24"/>
        </w:rPr>
        <w:t xml:space="preserve">help developers find vulnerabilities and become aware of the security implications of their </w:t>
      </w:r>
      <w:r>
        <w:rPr>
          <w:rFonts w:ascii="Times New Roman" w:hAnsi="Times New Roman" w:eastAsia="Times New Roman"/>
          <w:b w:val="0"/>
          <w:i w:val="0"/>
          <w:color w:val="111C24"/>
          <w:sz w:val="24"/>
        </w:rPr>
        <w:t xml:space="preserve">design, code, and configuration decisions. Generally, developers perform threat modeling </w:t>
      </w:r>
      <w:r>
        <w:rPr>
          <w:rFonts w:ascii="Times New Roman" w:hAnsi="Times New Roman" w:eastAsia="Times New Roman"/>
          <w:b w:val="0"/>
          <w:i w:val="0"/>
          <w:color w:val="111C24"/>
          <w:sz w:val="24"/>
        </w:rPr>
        <w:t>in four steps: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0"/>
        <w:gridCol w:w="4510"/>
      </w:tblGrid>
      <w:tr>
        <w:trPr>
          <w:trHeight w:hRule="exact" w:val="1214"/>
        </w:trPr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04" w:after="0"/>
              <w:ind w:left="900" w:right="82" w:firstLine="0"/>
              <w:jc w:val="both"/>
            </w:pPr>
            <w:r>
              <w:rPr>
                <w:rFonts w:ascii="Wingdings" w:hAnsi="Wingdings" w:eastAsia="Wingdings"/>
                <w:b w:val="0"/>
                <w:i w:val="0"/>
                <w:color w:val="111C24"/>
                <w:sz w:val="20"/>
              </w:rPr>
              <w:t>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111C24"/>
                <w:sz w:val="20"/>
              </w:rPr>
              <w:t>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111C24"/>
                <w:sz w:val="20"/>
              </w:rPr>
              <w:t>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111C24"/>
                <w:sz w:val="20"/>
              </w:rPr>
              <w:t></w:t>
            </w:r>
          </w:p>
        </w:tc>
        <w:tc>
          <w:tcPr>
            <w:tcW w:type="dxa" w:w="7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111C24"/>
                <w:sz w:val="24"/>
              </w:rPr>
              <w:t>Diagram.</w:t>
            </w:r>
            <w:r>
              <w:rPr>
                <w:rFonts w:ascii="Times New Roman" w:hAnsi="Times New Roman" w:eastAsia="Times New Roman"/>
                <w:b w:val="0"/>
                <w:i w:val="0"/>
                <w:color w:val="111C24"/>
                <w:sz w:val="24"/>
              </w:rPr>
              <w:t xml:space="preserve"> What are we building?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111C24"/>
                <w:sz w:val="24"/>
              </w:rPr>
              <w:t>Identify threats.</w:t>
            </w:r>
            <w:r>
              <w:rPr>
                <w:rFonts w:ascii="Times New Roman" w:hAnsi="Times New Roman" w:eastAsia="Times New Roman"/>
                <w:b w:val="0"/>
                <w:i w:val="0"/>
                <w:color w:val="111C24"/>
                <w:sz w:val="24"/>
              </w:rPr>
              <w:t xml:space="preserve"> What could go wrong?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0" w:right="216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111C24"/>
                <w:sz w:val="24"/>
              </w:rPr>
              <w:t>Mitigate.</w:t>
            </w:r>
            <w:r>
              <w:rPr>
                <w:rFonts w:ascii="Times New Roman" w:hAnsi="Times New Roman" w:eastAsia="Times New Roman"/>
                <w:b w:val="0"/>
                <w:i w:val="0"/>
                <w:color w:val="111C24"/>
                <w:sz w:val="24"/>
              </w:rPr>
              <w:t xml:space="preserve"> What are we doing to defend against threats? </w:t>
            </w:r>
            <w:r>
              <w:rPr>
                <w:rFonts w:ascii="Times New Roman" w:hAnsi="Times New Roman" w:eastAsia="Times New Roman"/>
                <w:b/>
                <w:i w:val="0"/>
                <w:color w:val="111C24"/>
                <w:sz w:val="24"/>
              </w:rPr>
              <w:t>Validate.</w:t>
            </w:r>
            <w:r>
              <w:rPr>
                <w:rFonts w:ascii="Times New Roman" w:hAnsi="Times New Roman" w:eastAsia="Times New Roman"/>
                <w:b w:val="0"/>
                <w:i w:val="0"/>
                <w:color w:val="111C24"/>
                <w:sz w:val="24"/>
              </w:rPr>
              <w:t xml:space="preserve"> Have we acted on each of the previous steps?</w:t>
            </w:r>
          </w:p>
        </w:tc>
      </w:tr>
    </w:tbl>
    <w:p>
      <w:pPr>
        <w:autoSpaceDN w:val="0"/>
        <w:autoSpaceDE w:val="0"/>
        <w:widowControl/>
        <w:spacing w:line="245" w:lineRule="auto" w:before="230" w:after="0"/>
        <w:ind w:left="1440" w:right="288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Discuss various threat categories and mitigations mentioned by Microsoft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threat modeling tool </w:t>
      </w:r>
    </w:p>
    <w:p>
      <w:pPr>
        <w:autoSpaceDN w:val="0"/>
        <w:autoSpaceDE w:val="0"/>
        <w:widowControl/>
        <w:spacing w:line="245" w:lineRule="auto" w:before="286" w:after="278"/>
        <w:ind w:left="144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111C24"/>
          <w:sz w:val="24"/>
        </w:rPr>
        <w:t xml:space="preserve">Microsoft uses the STRIDE model categorizes different types of threats and simplifies the </w:t>
      </w:r>
      <w:r>
        <w:rPr>
          <w:rFonts w:ascii="Times New Roman" w:hAnsi="Times New Roman" w:eastAsia="Times New Roman"/>
          <w:b w:val="0"/>
          <w:i w:val="0"/>
          <w:color w:val="111C24"/>
          <w:sz w:val="24"/>
        </w:rPr>
        <w:t>overall security conversations.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4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161616"/>
                <w:sz w:val="24"/>
              </w:rPr>
              <w:t>Category</w:t>
            </w:r>
          </w:p>
        </w:tc>
        <w:tc>
          <w:tcPr>
            <w:tcW w:type="dxa" w:w="74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161616"/>
                <w:sz w:val="24"/>
              </w:rPr>
              <w:t>Description</w:t>
            </w:r>
          </w:p>
        </w:tc>
      </w:tr>
      <w:tr>
        <w:trPr>
          <w:trHeight w:hRule="exact" w:val="594"/>
        </w:trPr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161616"/>
                <w:sz w:val="24"/>
              </w:rPr>
              <w:t>Spoofing</w:t>
            </w:r>
          </w:p>
        </w:tc>
        <w:tc>
          <w:tcPr>
            <w:tcW w:type="dxa" w:w="74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2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Involves illegally accessing and then using another user's authentication </w:t>
            </w: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>information, such as username and password</w:t>
            </w:r>
          </w:p>
        </w:tc>
      </w:tr>
      <w:tr>
        <w:trPr>
          <w:trHeight w:hRule="exact" w:val="1142"/>
        </w:trPr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161616"/>
                <w:sz w:val="24"/>
              </w:rPr>
              <w:t>Tampering</w:t>
            </w:r>
          </w:p>
        </w:tc>
        <w:tc>
          <w:tcPr>
            <w:tcW w:type="dxa" w:w="74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Involves the malicious modification of data. Examples include unauthorized </w:t>
            </w: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changes made to persistent data, such as that held in a database, and the </w:t>
            </w: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alteration of data as it flows between two computers over an open network, </w:t>
            </w: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>such as the Internet</w:t>
            </w:r>
          </w:p>
        </w:tc>
      </w:tr>
      <w:tr>
        <w:trPr>
          <w:trHeight w:hRule="exact" w:val="1970"/>
        </w:trPr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161616"/>
                <w:sz w:val="24"/>
              </w:rPr>
              <w:t>Repudiation</w:t>
            </w:r>
          </w:p>
        </w:tc>
        <w:tc>
          <w:tcPr>
            <w:tcW w:type="dxa" w:w="74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Associated with users who deny performing an action without other parties </w:t>
            </w: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having any way to prove otherwise—for example, a user performs an illegal </w:t>
            </w: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operation in a system that lacks the ability to trace the prohibited operations. 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1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Non-Repudiation refers to the ability of a system to counter repudiation </w:t>
            </w: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threats. For example, a user who purchases an item might have to sign for </w:t>
            </w: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the item upon receipt. The vendor can then use the signed receipt as </w:t>
            </w: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>evidence that the user did receive the package</w:t>
            </w:r>
          </w:p>
        </w:tc>
      </w:tr>
      <w:tr>
        <w:trPr>
          <w:trHeight w:hRule="exact" w:val="1146"/>
        </w:trPr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0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161616"/>
                <w:sz w:val="24"/>
              </w:rPr>
              <w:t xml:space="preserve">Information </w:t>
            </w:r>
            <w:r>
              <w:rPr>
                <w:rFonts w:ascii="Times New Roman" w:hAnsi="Times New Roman" w:eastAsia="Times New Roman"/>
                <w:b/>
                <w:i w:val="0"/>
                <w:color w:val="161616"/>
                <w:sz w:val="24"/>
              </w:rPr>
              <w:t>Disclosure</w:t>
            </w:r>
          </w:p>
        </w:tc>
        <w:tc>
          <w:tcPr>
            <w:tcW w:type="dxa" w:w="74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Involves the exposure of information to individuals who are not supposed to </w:t>
            </w: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have access to it—for example, the ability of users to read a file that they </w:t>
            </w: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were not granted access to, or the ability of an intruder to read data in transit </w:t>
            </w: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>between two computers</w:t>
            </w:r>
          </w:p>
        </w:tc>
      </w:tr>
      <w:tr>
        <w:trPr>
          <w:trHeight w:hRule="exact" w:val="1144"/>
        </w:trPr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0" w:right="43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161616"/>
                <w:sz w:val="24"/>
              </w:rPr>
              <w:t xml:space="preserve">Denial of </w:t>
            </w:r>
            <w:r>
              <w:rPr>
                <w:rFonts w:ascii="Times New Roman" w:hAnsi="Times New Roman" w:eastAsia="Times New Roman"/>
                <w:b/>
                <w:i w:val="0"/>
                <w:color w:val="161616"/>
                <w:sz w:val="24"/>
              </w:rPr>
              <w:t>Service</w:t>
            </w:r>
          </w:p>
        </w:tc>
        <w:tc>
          <w:tcPr>
            <w:tcW w:type="dxa" w:w="74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Denial of service (DoS) attacks deny service to valid users—for example, by </w:t>
            </w: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making a Web server temporarily unavailable or unusable. You must protect </w:t>
            </w: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against certain types of DoS threats simply to improve system availability </w:t>
            </w: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>and reliability</w:t>
            </w:r>
          </w:p>
        </w:tc>
      </w:tr>
      <w:tr>
        <w:trPr>
          <w:trHeight w:hRule="exact" w:val="1420"/>
        </w:trPr>
        <w:tc>
          <w:tcPr>
            <w:tcW w:type="dxa" w:w="15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0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161616"/>
                <w:sz w:val="24"/>
              </w:rPr>
              <w:t xml:space="preserve">Elevation of </w:t>
            </w:r>
            <w:r>
              <w:rPr>
                <w:rFonts w:ascii="Times New Roman" w:hAnsi="Times New Roman" w:eastAsia="Times New Roman"/>
                <w:b/>
                <w:i w:val="0"/>
                <w:color w:val="161616"/>
                <w:sz w:val="24"/>
              </w:rPr>
              <w:t>Privilege</w:t>
            </w:r>
          </w:p>
        </w:tc>
        <w:tc>
          <w:tcPr>
            <w:tcW w:type="dxa" w:w="74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An unprivileged user gains privileged access and thereby has sufficient </w:t>
            </w: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access to compromise or destroy the entire system. Elevation of privilege </w:t>
            </w: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threats include those situations in which an attacker has effectively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 xml:space="preserve">penetrated all system defenses and become part of the trusted system itself, a </w:t>
            </w:r>
            <w:r>
              <w:rPr>
                <w:rFonts w:ascii="Times New Roman" w:hAnsi="Times New Roman" w:eastAsia="Times New Roman"/>
                <w:b w:val="0"/>
                <w:i w:val="0"/>
                <w:color w:val="161616"/>
                <w:sz w:val="24"/>
              </w:rPr>
              <w:t>dangerous situation indeed</w:t>
            </w:r>
          </w:p>
        </w:tc>
      </w:tr>
    </w:tbl>
    <w:p>
      <w:pPr>
        <w:autoSpaceDN w:val="0"/>
        <w:autoSpaceDE w:val="0"/>
        <w:widowControl/>
        <w:spacing w:line="230" w:lineRule="auto" w:before="49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161616"/>
          <w:sz w:val="24"/>
        </w:rPr>
        <w:t>Mitigation categories</w:t>
      </w:r>
    </w:p>
    <w:p>
      <w:pPr>
        <w:autoSpaceDN w:val="0"/>
        <w:autoSpaceDE w:val="0"/>
        <w:widowControl/>
        <w:spacing w:line="233" w:lineRule="auto" w:before="632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Secure Application Development Lab</w:t>
      </w:r>
    </w:p>
    <w:sectPr w:rsidR="00FC693F" w:rsidRPr="0006063C" w:rsidSect="00034616">
      <w:pgSz w:w="11900" w:h="1682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