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enturyGothic-bold.ttf" ContentType="application/x-font-ttf"/>
  <Override PartName="/word/fonts/CenturyGothic-boldItalic.ttf" ContentType="application/x-font-ttf"/>
  <Override PartName="/word/fonts/CenturyGothic-italic.ttf" ContentType="application/x-font-ttf"/>
  <Override PartName="/word/fonts/CenturyGothic-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center"/>
      </w:pPr>
      <w:r>
        <w:t>STANDARD OPERATING PROCEDURE (SOP)</w:t>
      </w:r>
    </w:p>
    <w:p>
      <w:pPr>
        <w:pStyle w:val="Heading1"/>
        <w:jc w:val="center"/>
      </w:pPr>
      <w:r>
        <w:t>Deployment of RDS Thin Clients with Microsoft Intune Endpoint Registration</w:t>
      </w:r>
    </w:p>
    <w:p>
      <w:pPr>
        <w:pStyle w:val="Subtitle"/>
        <w:jc w:val="center"/>
      </w:pPr>
      <w:r>
        <w:rPr>
          <w:i/>
        </w:rPr>
        <w:t>Domain: SOC.lab   |   Primary RDS Host: RDS-SRV01   |   Management Plane: Microsoft Intune</w:t>
      </w:r>
    </w:p>
    <w:p/>
    <w:tbl>
      <w:tblPr>
        <w:tblW w:type="auto" w:w="0"/>
        <w:jc w:val="center"/>
        <w:tblLook w:firstColumn="1" w:firstRow="1" w:lastColumn="0" w:lastRow="0" w:noHBand="0" w:noVBand="1" w:val="04A0"/>
      </w:tblPr>
      <w:tblGrid>
        <w:gridCol w:w="2484"/>
        <w:gridCol w:w="2484"/>
        <w:gridCol w:w="2484"/>
        <w:gridCol w:w="2484"/>
      </w:tblGrid>
      <w:tr>
        <w:trPr>
          <w:trHeight w:hRule="atLeast"/>
        </w:trPr>
        <w:tc>
          <w:tcPr>
            <w:tcW w:type="dxa" w:w="2160"/>
            <w:shd w:fill="D9EAF7"/>
            <w:vAlign w:val="center"/>
          </w:tcPr>
          <w:p>
            <w:pPr>
              <w:spacing w:after="40" w:before="40"/>
              <w:jc w:val="left"/>
            </w:pPr>
            <w:r/>
            <w:r>
              <w:rPr>
                <w:rFonts w:ascii="Aptos" w:hAnsi="Aptos"/>
                <w:b/>
                <w:color w:val="1F4E79"/>
                <w:sz w:val="20"/>
              </w:rPr>
              <w:t>Version</w:t>
            </w:r>
          </w:p>
        </w:tc>
        <w:tc>
          <w:tcPr>
            <w:tcW w:type="dxa" w:w="3168"/>
            <w:vAlign w:val="center"/>
          </w:tcPr>
          <w:p>
            <w:pPr>
              <w:spacing w:after="40" w:before="40"/>
              <w:jc w:val="left"/>
            </w:pPr>
            <w:r/>
            <w:r>
              <w:rPr>
                <w:rFonts w:ascii="Aptos" w:hAnsi="Aptos"/>
                <w:b w:val="0"/>
                <w:sz w:val="21"/>
              </w:rPr>
              <w:t>1.0</w:t>
            </w:r>
          </w:p>
        </w:tc>
        <w:tc>
          <w:tcPr>
            <w:tcW w:type="dxa" w:w="2160"/>
            <w:shd w:fill="D9EAF7"/>
            <w:vAlign w:val="center"/>
          </w:tcPr>
          <w:p>
            <w:pPr>
              <w:spacing w:after="40" w:before="40"/>
              <w:jc w:val="left"/>
            </w:pPr>
            <w:r/>
            <w:r>
              <w:rPr>
                <w:rFonts w:ascii="Aptos" w:hAnsi="Aptos"/>
                <w:b/>
                <w:color w:val="1F4E79"/>
                <w:sz w:val="20"/>
              </w:rPr>
              <w:t>Classification</w:t>
            </w:r>
          </w:p>
        </w:tc>
        <w:tc>
          <w:tcPr>
            <w:tcW w:type="dxa" w:w="2880"/>
            <w:vAlign w:val="center"/>
          </w:tcPr>
          <w:p>
            <w:pPr>
              <w:spacing w:after="40" w:before="40"/>
              <w:jc w:val="left"/>
            </w:pPr>
            <w:r/>
            <w:r>
              <w:rPr>
                <w:rFonts w:ascii="Aptos" w:hAnsi="Aptos"/>
                <w:b w:val="0"/>
                <w:sz w:val="21"/>
              </w:rPr>
              <w:t>Internal SOC Infrastructure</w:t>
            </w:r>
          </w:p>
        </w:tc>
      </w:tr>
      <w:tr>
        <w:trPr>
          <w:trHeight w:hRule="atLeast"/>
        </w:trPr>
        <w:tc>
          <w:tcPr>
            <w:tcW w:type="dxa" w:w="2160"/>
            <w:shd w:fill="D9EAF7"/>
            <w:vAlign w:val="center"/>
          </w:tcPr>
          <w:p>
            <w:pPr>
              <w:spacing w:after="40" w:before="40"/>
              <w:jc w:val="left"/>
            </w:pPr>
            <w:r/>
            <w:r>
              <w:rPr>
                <w:rFonts w:ascii="Aptos" w:hAnsi="Aptos"/>
                <w:b/>
                <w:color w:val="1F4E79"/>
                <w:sz w:val="20"/>
              </w:rPr>
              <w:t>Effective Date</w:t>
            </w:r>
          </w:p>
        </w:tc>
        <w:tc>
          <w:tcPr>
            <w:tcW w:type="dxa" w:w="3168"/>
            <w:vAlign w:val="center"/>
          </w:tcPr>
          <w:p>
            <w:pPr>
              <w:spacing w:after="40" w:before="40"/>
              <w:jc w:val="left"/>
            </w:pPr>
            <w:r/>
            <w:r>
              <w:rPr>
                <w:rFonts w:ascii="Aptos" w:hAnsi="Aptos"/>
                <w:b w:val="0"/>
                <w:sz w:val="21"/>
              </w:rPr>
              <w:t>03/14/2026</w:t>
            </w:r>
          </w:p>
        </w:tc>
        <w:tc>
          <w:tcPr>
            <w:tcW w:type="dxa" w:w="2160"/>
            <w:shd w:fill="D9EAF7"/>
            <w:vAlign w:val="center"/>
          </w:tcPr>
          <w:p>
            <w:pPr>
              <w:spacing w:after="40" w:before="40"/>
              <w:jc w:val="left"/>
            </w:pPr>
            <w:r/>
            <w:r>
              <w:rPr>
                <w:rFonts w:ascii="Aptos" w:hAnsi="Aptos"/>
                <w:b/>
                <w:color w:val="1F4E79"/>
                <w:sz w:val="20"/>
              </w:rPr>
              <w:t>Department Responsible</w:t>
            </w:r>
          </w:p>
        </w:tc>
        <w:tc>
          <w:tcPr>
            <w:tcW w:type="dxa" w:w="2880"/>
            <w:vAlign w:val="center"/>
          </w:tcPr>
          <w:p>
            <w:pPr>
              <w:spacing w:after="40" w:before="40"/>
              <w:jc w:val="left"/>
            </w:pPr>
            <w:r/>
            <w:r>
              <w:rPr>
                <w:rFonts w:ascii="Aptos" w:hAnsi="Aptos"/>
                <w:b w:val="0"/>
                <w:sz w:val="21"/>
              </w:rPr>
              <w:t>SOC Engineering / Endpoint Management</w:t>
            </w:r>
          </w:p>
        </w:tc>
      </w:tr>
      <w:tr>
        <w:trPr>
          <w:trHeight w:hRule="atLeast"/>
        </w:trPr>
        <w:tc>
          <w:tcPr>
            <w:tcW w:type="dxa" w:w="2160"/>
            <w:shd w:fill="D9EAF7"/>
            <w:vAlign w:val="center"/>
          </w:tcPr>
          <w:p>
            <w:pPr>
              <w:spacing w:after="40" w:before="40"/>
              <w:jc w:val="left"/>
            </w:pPr>
            <w:r/>
            <w:r>
              <w:rPr>
                <w:rFonts w:ascii="Aptos" w:hAnsi="Aptos"/>
                <w:b/>
                <w:color w:val="1F4E79"/>
                <w:sz w:val="20"/>
              </w:rPr>
              <w:t>Domain</w:t>
            </w:r>
          </w:p>
        </w:tc>
        <w:tc>
          <w:tcPr>
            <w:tcW w:type="dxa" w:w="3168"/>
            <w:vAlign w:val="center"/>
          </w:tcPr>
          <w:p>
            <w:pPr>
              <w:spacing w:after="40" w:before="40"/>
              <w:jc w:val="left"/>
            </w:pPr>
            <w:r/>
            <w:r>
              <w:rPr>
                <w:rFonts w:ascii="Aptos" w:hAnsi="Aptos"/>
                <w:b w:val="0"/>
                <w:sz w:val="21"/>
              </w:rPr>
              <w:t>SOC.lab</w:t>
            </w:r>
          </w:p>
        </w:tc>
        <w:tc>
          <w:tcPr>
            <w:tcW w:type="dxa" w:w="2160"/>
            <w:shd w:fill="D9EAF7"/>
            <w:vAlign w:val="center"/>
          </w:tcPr>
          <w:p>
            <w:pPr>
              <w:spacing w:after="40" w:before="40"/>
              <w:jc w:val="left"/>
            </w:pPr>
            <w:r/>
            <w:r>
              <w:rPr>
                <w:rFonts w:ascii="Aptos" w:hAnsi="Aptos"/>
                <w:b/>
                <w:color w:val="1F4E79"/>
                <w:sz w:val="20"/>
              </w:rPr>
              <w:t>RDS Host</w:t>
            </w:r>
          </w:p>
        </w:tc>
        <w:tc>
          <w:tcPr>
            <w:tcW w:type="dxa" w:w="2880"/>
            <w:vAlign w:val="center"/>
          </w:tcPr>
          <w:p>
            <w:pPr>
              <w:spacing w:after="40" w:before="40"/>
              <w:jc w:val="left"/>
            </w:pPr>
            <w:r/>
            <w:r>
              <w:rPr>
                <w:rFonts w:ascii="Aptos" w:hAnsi="Aptos"/>
                <w:b w:val="0"/>
                <w:sz w:val="21"/>
              </w:rPr>
              <w:t>RDS-SRV01</w:t>
            </w:r>
          </w:p>
        </w:tc>
      </w:tr>
      <w:tr>
        <w:trPr>
          <w:trHeight w:hRule="atLeast"/>
        </w:trPr>
        <w:tc>
          <w:tcPr>
            <w:tcW w:type="dxa" w:w="2160"/>
            <w:shd w:fill="D9EAF7"/>
            <w:vAlign w:val="center"/>
          </w:tcPr>
          <w:p>
            <w:pPr>
              <w:spacing w:after="40" w:before="40"/>
              <w:jc w:val="left"/>
            </w:pPr>
            <w:r/>
            <w:r>
              <w:rPr>
                <w:rFonts w:ascii="Aptos" w:hAnsi="Aptos"/>
                <w:b/>
                <w:color w:val="1F4E79"/>
                <w:sz w:val="20"/>
              </w:rPr>
              <w:t>Applies To</w:t>
            </w:r>
          </w:p>
        </w:tc>
        <w:tc>
          <w:tcPr>
            <w:tcW w:type="dxa" w:w="3168"/>
            <w:vAlign w:val="center"/>
          </w:tcPr>
          <w:p>
            <w:pPr>
              <w:spacing w:after="40" w:before="40"/>
              <w:jc w:val="left"/>
            </w:pPr>
            <w:r/>
            <w:r>
              <w:rPr>
                <w:rFonts w:ascii="Aptos" w:hAnsi="Aptos"/>
                <w:b w:val="0"/>
                <w:sz w:val="21"/>
              </w:rPr>
              <w:t>22 classroom thin clients</w:t>
            </w:r>
          </w:p>
        </w:tc>
        <w:tc>
          <w:tcPr>
            <w:tcW w:type="dxa" w:w="2160"/>
            <w:shd w:fill="D9EAF7"/>
            <w:vAlign w:val="center"/>
          </w:tcPr>
          <w:p>
            <w:pPr>
              <w:spacing w:after="40" w:before="40"/>
              <w:jc w:val="left"/>
            </w:pPr>
            <w:r/>
            <w:r>
              <w:rPr>
                <w:rFonts w:ascii="Aptos" w:hAnsi="Aptos"/>
                <w:b/>
                <w:color w:val="1F4E79"/>
                <w:sz w:val="20"/>
              </w:rPr>
              <w:t>Management Platform</w:t>
            </w:r>
          </w:p>
        </w:tc>
        <w:tc>
          <w:tcPr>
            <w:tcW w:type="dxa" w:w="2880"/>
            <w:vAlign w:val="center"/>
          </w:tcPr>
          <w:p>
            <w:pPr>
              <w:spacing w:after="40" w:before="40"/>
              <w:jc w:val="left"/>
            </w:pPr>
            <w:r/>
            <w:r>
              <w:rPr>
                <w:rFonts w:ascii="Aptos" w:hAnsi="Aptos"/>
                <w:b w:val="0"/>
                <w:sz w:val="21"/>
              </w:rPr>
              <w:t>Microsoft Intune / Entra ID</w:t>
            </w:r>
          </w:p>
        </w:tc>
      </w:tr>
    </w:tbl>
    <w:p/>
    <w:p>
      <w:pPr>
        <w:pStyle w:val="Heading1"/>
        <w:spacing w:before="200" w:after="80"/>
      </w:pPr>
      <w:r>
        <w:t>1. Purpose</w:t>
      </w:r>
    </w:p>
    <w:p>
      <w:pPr>
        <w:spacing w:after="80" w:line="259" w:lineRule="auto"/>
      </w:pPr>
      <w:r>
        <w:t>This SOP standardizes deployment of classroom computers as thin clients that authenticate to the SOC.lab Active Directory domain, automatically connect to the Remote Desktop Services (RDS) environment, enroll into Microsoft Intune, receive centralized security and configuration policies, and remain compliant with SOC security baselines.</w:t>
      </w:r>
    </w:p>
    <w:p>
      <w:pPr>
        <w:pStyle w:val="Heading1"/>
        <w:spacing w:before="200" w:after="80"/>
      </w:pPr>
      <w:r>
        <w:t>2. Scope</w:t>
      </w:r>
    </w:p>
    <w:p>
      <w:pPr>
        <w:spacing w:after="80" w:line="259" w:lineRule="auto"/>
      </w:pPr>
      <w:r>
        <w:t>This SOP applies to the Hyper-V-hosted RDS infrastructure, the SOC.lab Active Directory domain, 22 classroom thin-client endpoints, the Microsoft Intune tenant, Microsoft Entra ID, and the OPNsense-managed network environment.</w:t>
      </w:r>
    </w:p>
    <w:p>
      <w:pPr>
        <w:pStyle w:val="Heading1"/>
        <w:spacing w:before="200" w:after="80"/>
      </w:pPr>
      <w:r>
        <w:t>3. Responsibilities</w:t>
      </w:r>
    </w:p>
    <w:tbl>
      <w:tblPr>
        <w:tblW w:type="auto" w:w="0"/>
        <w:jc w:val="center"/>
        <w:tblLook w:firstColumn="1" w:firstRow="1" w:lastColumn="0" w:lastRow="0" w:noHBand="0" w:noVBand="1" w:val="04A0"/>
      </w:tblPr>
      <w:tblGrid>
        <w:gridCol w:w="4968"/>
        <w:gridCol w:w="4968"/>
      </w:tblGrid>
      <w:tr>
        <w:trPr>
          <w:tblHeader w:val="true"/>
        </w:trPr>
        <w:tc>
          <w:tcPr>
            <w:tcW w:type="dxa" w:w="4968"/>
            <w:shd w:fill="D9EAF7"/>
            <w:vAlign w:val="center"/>
          </w:tcPr>
          <w:p>
            <w:pPr>
              <w:jc w:val="left"/>
            </w:pPr>
            <w:r/>
            <w:r>
              <w:rPr>
                <w:rFonts w:ascii="Aptos" w:hAnsi="Aptos"/>
                <w:b/>
                <w:color w:val="1F4E79"/>
                <w:sz w:val="20"/>
              </w:rPr>
              <w:t>Role</w:t>
            </w:r>
          </w:p>
        </w:tc>
        <w:tc>
          <w:tcPr>
            <w:tcW w:type="dxa" w:w="4968"/>
            <w:shd w:fill="D9EAF7"/>
            <w:vAlign w:val="center"/>
          </w:tcPr>
          <w:p>
            <w:pPr>
              <w:jc w:val="left"/>
            </w:pPr>
            <w:r/>
            <w:r>
              <w:rPr>
                <w:rFonts w:ascii="Aptos" w:hAnsi="Aptos"/>
                <w:b/>
                <w:color w:val="1F4E79"/>
                <w:sz w:val="20"/>
              </w:rPr>
              <w:t>Responsibilities</w:t>
            </w:r>
          </w:p>
        </w:tc>
      </w:tr>
      <w:tr>
        <w:tc>
          <w:tcPr>
            <w:tcW w:type="dxa" w:w="4968"/>
            <w:vAlign w:val="center"/>
          </w:tcPr>
          <w:p>
            <w:pPr>
              <w:jc w:val="left"/>
            </w:pPr>
            <w:r/>
            <w:r>
              <w:rPr>
                <w:rFonts w:ascii="Aptos" w:hAnsi="Aptos"/>
                <w:b/>
                <w:sz w:val="20"/>
              </w:rPr>
              <w:t>SOC Engineering</w:t>
            </w:r>
          </w:p>
        </w:tc>
        <w:tc>
          <w:tcPr>
            <w:tcW w:type="dxa" w:w="4968"/>
            <w:vAlign w:val="center"/>
          </w:tcPr>
          <w:p>
            <w:pPr>
              <w:jc w:val="left"/>
            </w:pPr>
            <w:r/>
            <w:r>
              <w:rPr>
                <w:rFonts w:ascii="Aptos" w:hAnsi="Aptos"/>
                <w:b w:val="0"/>
                <w:sz w:val="20"/>
              </w:rPr>
              <w:t>Maintain the RDS platform, validate session performance, and monitor security telemetry.</w:t>
            </w:r>
          </w:p>
        </w:tc>
      </w:tr>
      <w:tr>
        <w:tc>
          <w:tcPr>
            <w:tcW w:type="dxa" w:w="4968"/>
            <w:vAlign w:val="center"/>
          </w:tcPr>
          <w:p>
            <w:pPr>
              <w:jc w:val="left"/>
            </w:pPr>
            <w:r/>
            <w:r>
              <w:rPr>
                <w:rFonts w:ascii="Aptos" w:hAnsi="Aptos"/>
                <w:b/>
                <w:sz w:val="20"/>
              </w:rPr>
              <w:t>Networking Team</w:t>
            </w:r>
          </w:p>
        </w:tc>
        <w:tc>
          <w:tcPr>
            <w:tcW w:type="dxa" w:w="4968"/>
            <w:vAlign w:val="center"/>
          </w:tcPr>
          <w:p>
            <w:pPr>
              <w:jc w:val="left"/>
            </w:pPr>
            <w:r/>
            <w:r>
              <w:rPr>
                <w:rFonts w:ascii="Aptos" w:hAnsi="Aptos"/>
                <w:b w:val="0"/>
                <w:sz w:val="20"/>
              </w:rPr>
              <w:t>Ensure VLAN routing and DNS function correctly, maintain firewall rules, and validate endpoint connectivity.</w:t>
            </w:r>
          </w:p>
        </w:tc>
      </w:tr>
      <w:tr>
        <w:tc>
          <w:tcPr>
            <w:tcW w:type="dxa" w:w="4968"/>
            <w:vAlign w:val="center"/>
          </w:tcPr>
          <w:p>
            <w:pPr>
              <w:jc w:val="left"/>
            </w:pPr>
            <w:r/>
            <w:r>
              <w:rPr>
                <w:rFonts w:ascii="Aptos" w:hAnsi="Aptos"/>
                <w:b/>
                <w:sz w:val="20"/>
              </w:rPr>
              <w:t>Endpoint Management Team</w:t>
            </w:r>
          </w:p>
        </w:tc>
        <w:tc>
          <w:tcPr>
            <w:tcW w:type="dxa" w:w="4968"/>
            <w:vAlign w:val="center"/>
          </w:tcPr>
          <w:p>
            <w:pPr>
              <w:jc w:val="left"/>
            </w:pPr>
            <w:r/>
            <w:r>
              <w:rPr>
                <w:rFonts w:ascii="Aptos" w:hAnsi="Aptos"/>
                <w:b w:val="0"/>
                <w:sz w:val="20"/>
              </w:rPr>
              <w:t>Configure Intune enrollment, deploy compliance and configuration profiles, and monitor device health.</w:t>
            </w:r>
          </w:p>
        </w:tc>
      </w:tr>
      <w:tr>
        <w:tc>
          <w:tcPr>
            <w:tcW w:type="dxa" w:w="4968"/>
            <w:vAlign w:val="center"/>
          </w:tcPr>
          <w:p>
            <w:pPr>
              <w:jc w:val="left"/>
            </w:pPr>
            <w:r/>
            <w:r>
              <w:rPr>
                <w:rFonts w:ascii="Aptos" w:hAnsi="Aptos"/>
                <w:b/>
                <w:sz w:val="20"/>
              </w:rPr>
              <w:t>GRC</w:t>
            </w:r>
          </w:p>
        </w:tc>
        <w:tc>
          <w:tcPr>
            <w:tcW w:type="dxa" w:w="4968"/>
            <w:vAlign w:val="center"/>
          </w:tcPr>
          <w:p>
            <w:pPr>
              <w:jc w:val="left"/>
            </w:pPr>
            <w:r/>
            <w:r>
              <w:rPr>
                <w:rFonts w:ascii="Aptos" w:hAnsi="Aptos"/>
                <w:b w:val="0"/>
                <w:sz w:val="20"/>
              </w:rPr>
              <w:t>Validate security baseline compliance and audit RDS and endpoint posture.</w:t>
            </w:r>
          </w:p>
        </w:tc>
      </w:tr>
    </w:tbl>
    <w:p/>
    <w:p>
      <w:pPr>
        <w:pStyle w:val="Heading1"/>
        <w:spacing w:before="200" w:after="80"/>
      </w:pPr>
      <w:r>
        <w:t>4. Prerequisites</w:t>
      </w:r>
    </w:p>
    <w:p>
      <w:pPr>
        <w:pStyle w:val="Heading2"/>
        <w:spacing w:before="120" w:after="40"/>
      </w:pPr>
      <w:r>
        <w:t>4.1 Infrastructure Requirements</w:t>
      </w:r>
    </w:p>
    <w:p>
      <w:pPr>
        <w:spacing w:after="20" w:before="0"/>
        <w:ind w:left="288"/>
      </w:pPr>
      <w:r>
        <w:rPr>
          <w:sz w:val="21"/>
        </w:rPr>
        <w:t>• SOC.lab Active Directory is operational.</w:t>
      </w:r>
    </w:p>
    <w:p>
      <w:pPr>
        <w:spacing w:after="20" w:before="0"/>
        <w:ind w:left="288"/>
      </w:pPr>
      <w:r>
        <w:rPr>
          <w:sz w:val="21"/>
        </w:rPr>
        <w:t>• RDS-SRV01 is fully configured and tested.</w:t>
      </w:r>
    </w:p>
    <w:p>
      <w:pPr>
        <w:spacing w:after="20" w:before="0"/>
        <w:ind w:left="288"/>
      </w:pPr>
      <w:r>
        <w:rPr>
          <w:sz w:val="21"/>
        </w:rPr>
        <w:t>• Classroom PCs are domain joined.</w:t>
      </w:r>
    </w:p>
    <w:p>
      <w:pPr>
        <w:spacing w:after="20" w:before="0"/>
        <w:ind w:left="288"/>
      </w:pPr>
      <w:r>
        <w:rPr>
          <w:sz w:val="21"/>
        </w:rPr>
        <w:t>• Internet access is available for Intune enrollment.</w:t>
      </w:r>
    </w:p>
    <w:p>
      <w:pPr>
        <w:spacing w:after="20" w:before="0"/>
        <w:ind w:left="288"/>
      </w:pPr>
      <w:r>
        <w:rPr>
          <w:sz w:val="21"/>
        </w:rPr>
        <w:t>• A Microsoft Entra ID tenant is available.</w:t>
      </w:r>
    </w:p>
    <w:p>
      <w:pPr>
        <w:spacing w:after="20" w:before="0"/>
        <w:ind w:left="288"/>
      </w:pPr>
      <w:r>
        <w:rPr>
          <w:sz w:val="21"/>
        </w:rPr>
        <w:t>• Microsoft Intune licenses are assigned to in-scope users/devices.</w:t>
      </w:r>
    </w:p>
    <w:p>
      <w:pPr>
        <w:pStyle w:val="Heading2"/>
        <w:spacing w:before="120" w:after="40"/>
      </w:pPr>
      <w:r>
        <w:t>4.2 Identity Requirements</w:t>
      </w:r>
    </w:p>
    <w:p>
      <w:pPr>
        <w:spacing w:after="20" w:before="0"/>
        <w:ind w:left="288"/>
      </w:pPr>
      <w:r>
        <w:rPr>
          <w:sz w:val="21"/>
        </w:rPr>
        <w:t>• Azure AD Connect is configured, if hybrid identity is used.</w:t>
      </w:r>
    </w:p>
    <w:p>
      <w:pPr>
        <w:spacing w:after="20" w:before="0"/>
        <w:ind w:left="288"/>
      </w:pPr>
      <w:r>
        <w:rPr>
          <w:sz w:val="21"/>
        </w:rPr>
        <w:t>• Users are synchronized to Entra ID.</w:t>
      </w:r>
    </w:p>
    <w:p>
      <w:pPr>
        <w:spacing w:after="20" w:before="0"/>
        <w:ind w:left="288"/>
      </w:pPr>
      <w:r>
        <w:rPr>
          <w:sz w:val="21"/>
        </w:rPr>
        <w:t>• Devices are permitted to register/join with Entra ID.</w:t>
      </w:r>
    </w:p>
    <w:p>
      <w:pPr>
        <w:spacing w:after="20" w:before="0"/>
        <w:ind w:left="288"/>
      </w:pPr>
      <w:r>
        <w:rPr>
          <w:sz w:val="21"/>
        </w:rPr>
        <w:t>• MDM authority is set to Microsoft Intune.</w:t>
      </w:r>
    </w:p>
    <w:p>
      <w:pPr>
        <w:pStyle w:val="Heading1"/>
        <w:spacing w:before="200" w:after="80"/>
      </w:pPr>
      <w:r>
        <w:t>5. Phase 1 — Verify RDS Platform (Pre-Intune Gate)</w:t>
      </w:r>
    </w:p>
    <w:p>
      <w:pPr>
        <w:pStyle w:val="Heading2"/>
        <w:spacing w:before="120" w:after="40"/>
      </w:pPr>
      <w:r>
        <w:t>5.1 Validate RDS Connectivity</w:t>
      </w:r>
    </w:p>
    <w:p>
      <w:pPr>
        <w:spacing w:after="80" w:line="259" w:lineRule="auto"/>
      </w:pPr>
      <w:r>
        <w:t>From a classroom PC, run the following command:</w:t>
      </w:r>
    </w:p>
    <w:p>
      <w:pPr/>
      <w:r>
        <w:rPr>
          <w:rFonts w:ascii="Consolas" w:hAnsi="Consolas"/>
          <w:sz w:val="21"/>
        </w:rPr>
        <w:t>mstsc /v:RDS-SRV01.soc.lab</w:t>
      </w:r>
    </w:p>
    <w:p>
      <w:pPr>
        <w:pStyle w:val="Heading2"/>
        <w:spacing w:before="120" w:after="40"/>
      </w:pPr>
      <w:r>
        <w:t>Success Criteria</w:t>
      </w:r>
    </w:p>
    <w:p>
      <w:pPr>
        <w:spacing w:after="20" w:before="0"/>
        <w:ind w:left="288"/>
      </w:pPr>
      <w:r>
        <w:rPr>
          <w:sz w:val="21"/>
        </w:rPr>
        <w:t>• A user in RDS_Users can sign in successfully.</w:t>
      </w:r>
    </w:p>
    <w:p>
      <w:pPr>
        <w:spacing w:after="20" w:before="0"/>
        <w:ind w:left="288"/>
      </w:pPr>
      <w:r>
        <w:rPr>
          <w:sz w:val="21"/>
        </w:rPr>
        <w:t>• Multiple user sessions are supported.</w:t>
      </w:r>
    </w:p>
    <w:p>
      <w:pPr>
        <w:spacing w:after="20" w:before="0"/>
        <w:ind w:left="288"/>
      </w:pPr>
      <w:r>
        <w:rPr>
          <w:sz w:val="21"/>
        </w:rPr>
        <w:t>• Network Level Authentication (NLA) is enforced.</w:t>
      </w:r>
    </w:p>
    <w:p>
      <w:pPr>
        <w:spacing w:after="20" w:before="0"/>
        <w:ind w:left="288"/>
      </w:pPr>
      <w:r>
        <w:rPr>
          <w:sz w:val="21"/>
        </w:rPr>
        <w:t>• RDS licensing is active.</w:t>
      </w:r>
    </w:p>
    <w:p>
      <w:pPr>
        <w:spacing w:after="80" w:line="259" w:lineRule="auto"/>
      </w:pPr>
      <w:r>
        <w:t>Do not continue to Intune preparation until this validation passes.</w:t>
      </w:r>
    </w:p>
    <w:p>
      <w:pPr>
        <w:pStyle w:val="Heading2"/>
        <w:spacing w:before="120" w:after="40"/>
      </w:pPr>
      <w:r>
        <w:t>5.2 Validate Thin Client Behavior</w:t>
      </w:r>
    </w:p>
    <w:p>
      <w:pPr>
        <w:spacing w:after="80" w:line="259" w:lineRule="auto"/>
      </w:pPr>
      <w:r>
        <w:t>Test user logon from one lab PC.</w:t>
      </w:r>
    </w:p>
    <w:p>
      <w:pPr>
        <w:spacing w:after="20" w:before="0"/>
        <w:ind w:left="288"/>
      </w:pPr>
      <w:r>
        <w:rPr>
          <w:sz w:val="21"/>
        </w:rPr>
        <w:t>• User signs in to the local machine.</w:t>
      </w:r>
    </w:p>
    <w:p>
      <w:pPr>
        <w:spacing w:after="20" w:before="0"/>
        <w:ind w:left="288"/>
      </w:pPr>
      <w:r>
        <w:rPr>
          <w:sz w:val="21"/>
        </w:rPr>
        <w:t>• A full-screen RDP session launches automatically.</w:t>
      </w:r>
    </w:p>
    <w:p>
      <w:pPr>
        <w:spacing w:after="20" w:before="0"/>
        <w:ind w:left="288"/>
      </w:pPr>
      <w:r>
        <w:rPr>
          <w:sz w:val="21"/>
        </w:rPr>
        <w:t>• The user lands on the RDS desktop.</w:t>
      </w:r>
    </w:p>
    <w:p>
      <w:pPr>
        <w:spacing w:after="20" w:before="0"/>
        <w:ind w:left="288"/>
      </w:pPr>
      <w:r>
        <w:rPr>
          <w:sz w:val="21"/>
        </w:rPr>
        <w:t>• The local desktop is inaccessible or hardened, if required by policy.</w:t>
      </w:r>
    </w:p>
    <w:p>
      <w:pPr>
        <w:pStyle w:val="Heading1"/>
        <w:spacing w:before="200" w:after="80"/>
      </w:pPr>
      <w:r>
        <w:t>6. Phase 2 — Prepare Microsoft Intune Environment</w:t>
      </w:r>
    </w:p>
    <w:p>
      <w:pPr>
        <w:pStyle w:val="Heading2"/>
        <w:spacing w:before="120" w:after="40"/>
      </w:pPr>
      <w:r>
        <w:t>6.1 Set MDM Authority</w:t>
      </w:r>
    </w:p>
    <w:p>
      <w:pPr>
        <w:spacing w:after="80" w:line="259" w:lineRule="auto"/>
      </w:pPr>
      <w:r>
        <w:t>In Microsoft Endpoint Manager admin center, navigate to Tenant Administration → MDM Authority and verify Microsoft Intune is selected.</w:t>
      </w:r>
    </w:p>
    <w:p>
      <w:pPr>
        <w:pStyle w:val="Heading2"/>
        <w:spacing w:before="120" w:after="40"/>
      </w:pPr>
      <w:r>
        <w:t>6.2 Configure Automatic MDM Enrollment</w:t>
      </w:r>
    </w:p>
    <w:p>
      <w:pPr>
        <w:spacing w:after="80" w:line="259" w:lineRule="auto"/>
      </w:pPr>
      <w:r>
        <w:t>On the Domain Controller, create or edit a Group Policy Object (GPO) at:</w:t>
      </w:r>
    </w:p>
    <w:p>
      <w:pPr>
        <w:spacing w:after="20" w:before="0"/>
        <w:ind w:left="576"/>
      </w:pPr>
      <w:r>
        <w:rPr>
          <w:sz w:val="21"/>
        </w:rPr>
        <w:t>• Computer Configuration</w:t>
      </w:r>
    </w:p>
    <w:p>
      <w:pPr>
        <w:spacing w:after="20" w:before="0"/>
        <w:ind w:left="576"/>
      </w:pPr>
      <w:r>
        <w:rPr>
          <w:sz w:val="21"/>
        </w:rPr>
        <w:t>• Policies</w:t>
      </w:r>
    </w:p>
    <w:p>
      <w:pPr>
        <w:spacing w:after="20" w:before="0"/>
        <w:ind w:left="576"/>
      </w:pPr>
      <w:r>
        <w:rPr>
          <w:sz w:val="21"/>
        </w:rPr>
        <w:t>• Administrative Templates</w:t>
      </w:r>
    </w:p>
    <w:p>
      <w:pPr>
        <w:spacing w:after="20" w:before="0"/>
        <w:ind w:left="576"/>
      </w:pPr>
      <w:r>
        <w:rPr>
          <w:sz w:val="21"/>
        </w:rPr>
        <w:t>• Windows Components</w:t>
      </w:r>
    </w:p>
    <w:p>
      <w:pPr>
        <w:spacing w:after="20" w:before="0"/>
        <w:ind w:left="576"/>
      </w:pPr>
      <w:r>
        <w:rPr>
          <w:sz w:val="21"/>
        </w:rPr>
        <w:t>• MDM</w:t>
      </w:r>
    </w:p>
    <w:p>
      <w:pPr>
        <w:spacing w:after="20" w:before="0"/>
        <w:ind w:left="576"/>
      </w:pPr>
      <w:r>
        <w:rPr>
          <w:sz w:val="21"/>
        </w:rPr>
        <w:t>• Enable automatic MDM enrollment using default Azure AD credentials</w:t>
      </w:r>
    </w:p>
    <w:p>
      <w:pPr>
        <w:spacing w:after="80" w:line="259" w:lineRule="auto"/>
      </w:pPr>
      <w:r>
        <w:t>Set the policy to Enabled and select credential type: User Credential.</w:t>
      </w:r>
    </w:p>
    <w:p>
      <w:pPr>
        <w:pStyle w:val="Heading2"/>
        <w:spacing w:before="120" w:after="40"/>
      </w:pPr>
      <w:r>
        <w:t>6.3 Verify Hybrid Azure AD Join</w:t>
      </w:r>
    </w:p>
    <w:p>
      <w:pPr>
        <w:spacing w:after="80" w:line="259" w:lineRule="auto"/>
      </w:pPr>
      <w:r>
        <w:t>On a classroom PC, run:</w:t>
      </w:r>
    </w:p>
    <w:p>
      <w:r>
        <w:rPr>
          <w:rFonts w:ascii="Consolas" w:hAnsi="Consolas"/>
          <w:sz w:val="21"/>
        </w:rPr>
        <w:t>dsregcmd /status</w:t>
      </w:r>
    </w:p>
    <w:p>
      <w:pPr>
        <w:spacing w:after="80" w:line="259" w:lineRule="auto"/>
      </w:pPr>
      <w:r>
        <w:t>Target state:</w:t>
      </w:r>
    </w:p>
    <w:p>
      <w:pPr>
        <w:spacing w:after="20" w:before="0"/>
        <w:ind w:left="288"/>
      </w:pPr>
      <w:r>
        <w:rPr>
          <w:sz w:val="21"/>
        </w:rPr>
        <w:t>• AzureAdJoined: YES</w:t>
      </w:r>
    </w:p>
    <w:p>
      <w:pPr>
        <w:spacing w:after="20" w:before="0"/>
        <w:ind w:left="288"/>
      </w:pPr>
      <w:r>
        <w:rPr>
          <w:sz w:val="21"/>
        </w:rPr>
        <w:t>• DomainJoined: YES</w:t>
      </w:r>
    </w:p>
    <w:p>
      <w:pPr>
        <w:spacing w:after="20" w:before="0"/>
        <w:ind w:left="288"/>
      </w:pPr>
      <w:r>
        <w:rPr>
          <w:sz w:val="21"/>
        </w:rPr>
        <w:t>• Device State: Hybrid Azure AD joined</w:t>
      </w:r>
    </w:p>
    <w:p>
      <w:pPr>
        <w:pStyle w:val="Heading1"/>
        <w:spacing w:before="200" w:after="80"/>
      </w:pPr>
      <w:r>
        <w:t>7. Phase 3 — Create Intune Device Groups</w:t>
      </w:r>
    </w:p>
    <w:tbl>
      <w:tblPr>
        <w:tblW w:type="auto" w:w="0"/>
        <w:jc w:val="center"/>
        <w:tblLook w:firstColumn="1" w:firstRow="1" w:lastColumn="0" w:lastRow="0" w:noHBand="0" w:noVBand="1" w:val="04A0"/>
      </w:tblPr>
      <w:tblGrid>
        <w:gridCol w:w="3312"/>
        <w:gridCol w:w="3312"/>
        <w:gridCol w:w="3312"/>
      </w:tblGrid>
      <w:tr>
        <w:trPr>
          <w:tblHeader w:val="true"/>
        </w:trPr>
        <w:tc>
          <w:tcPr>
            <w:tcW w:type="dxa" w:w="3312"/>
            <w:shd w:fill="D9EAF7"/>
            <w:vAlign w:val="center"/>
          </w:tcPr>
          <w:p>
            <w:pPr>
              <w:jc w:val="left"/>
            </w:pPr>
            <w:r/>
            <w:r>
              <w:rPr>
                <w:rFonts w:ascii="Aptos" w:hAnsi="Aptos"/>
                <w:b/>
                <w:color w:val="1F4E79"/>
                <w:sz w:val="20"/>
              </w:rPr>
              <w:t>Group Name</w:t>
            </w:r>
          </w:p>
        </w:tc>
        <w:tc>
          <w:tcPr>
            <w:tcW w:type="dxa" w:w="3312"/>
            <w:shd w:fill="D9EAF7"/>
            <w:vAlign w:val="center"/>
          </w:tcPr>
          <w:p>
            <w:pPr>
              <w:jc w:val="left"/>
            </w:pPr>
            <w:r/>
            <w:r>
              <w:rPr>
                <w:rFonts w:ascii="Aptos" w:hAnsi="Aptos"/>
                <w:b/>
                <w:color w:val="1F4E79"/>
                <w:sz w:val="20"/>
              </w:rPr>
              <w:t>Type</w:t>
            </w:r>
          </w:p>
        </w:tc>
        <w:tc>
          <w:tcPr>
            <w:tcW w:type="dxa" w:w="3312"/>
            <w:shd w:fill="D9EAF7"/>
            <w:vAlign w:val="center"/>
          </w:tcPr>
          <w:p>
            <w:pPr>
              <w:jc w:val="left"/>
            </w:pPr>
            <w:r/>
            <w:r>
              <w:rPr>
                <w:rFonts w:ascii="Aptos" w:hAnsi="Aptos"/>
                <w:b/>
                <w:color w:val="1F4E79"/>
                <w:sz w:val="20"/>
              </w:rPr>
              <w:t>Membership / Notes</w:t>
            </w:r>
          </w:p>
        </w:tc>
      </w:tr>
      <w:tr>
        <w:tc>
          <w:tcPr>
            <w:tcW w:type="dxa" w:w="3312"/>
            <w:vAlign w:val="center"/>
          </w:tcPr>
          <w:p>
            <w:pPr>
              <w:jc w:val="left"/>
            </w:pPr>
            <w:r/>
            <w:r>
              <w:rPr>
                <w:rFonts w:ascii="Aptos" w:hAnsi="Aptos"/>
                <w:b/>
                <w:sz w:val="20"/>
              </w:rPr>
              <w:t>INTUNE-THINCLIENT-LABPCS</w:t>
            </w:r>
          </w:p>
        </w:tc>
        <w:tc>
          <w:tcPr>
            <w:tcW w:type="dxa" w:w="3312"/>
            <w:vAlign w:val="center"/>
          </w:tcPr>
          <w:p>
            <w:pPr>
              <w:jc w:val="center"/>
            </w:pPr>
            <w:r/>
            <w:r>
              <w:rPr>
                <w:rFonts w:ascii="Aptos" w:hAnsi="Aptos"/>
                <w:b w:val="0"/>
                <w:sz w:val="20"/>
              </w:rPr>
              <w:t>Security</w:t>
            </w:r>
          </w:p>
        </w:tc>
        <w:tc>
          <w:tcPr>
            <w:tcW w:type="dxa" w:w="3312"/>
            <w:vAlign w:val="center"/>
          </w:tcPr>
          <w:p>
            <w:pPr>
              <w:jc w:val="left"/>
            </w:pPr>
            <w:r/>
            <w:r>
              <w:rPr>
                <w:rFonts w:ascii="Aptos" w:hAnsi="Aptos"/>
                <w:b w:val="0"/>
                <w:sz w:val="20"/>
              </w:rPr>
              <w:t>Dynamic (recommended) or Assigned. Example dynamic rule: (device.displayName -startsWith "LAB")</w:t>
            </w:r>
          </w:p>
        </w:tc>
      </w:tr>
      <w:tr>
        <w:tc>
          <w:tcPr>
            <w:tcW w:type="dxa" w:w="3312"/>
            <w:vAlign w:val="center"/>
          </w:tcPr>
          <w:p>
            <w:pPr>
              <w:jc w:val="left"/>
            </w:pPr>
            <w:r/>
            <w:r>
              <w:rPr>
                <w:rFonts w:ascii="Aptos" w:hAnsi="Aptos"/>
                <w:b/>
                <w:sz w:val="20"/>
              </w:rPr>
              <w:t>INTUNE-RDS-SERVERS</w:t>
            </w:r>
          </w:p>
        </w:tc>
        <w:tc>
          <w:tcPr>
            <w:tcW w:type="dxa" w:w="3312"/>
            <w:vAlign w:val="center"/>
          </w:tcPr>
          <w:p>
            <w:pPr>
              <w:jc w:val="center"/>
            </w:pPr>
            <w:r/>
            <w:r>
              <w:rPr>
                <w:rFonts w:ascii="Aptos" w:hAnsi="Aptos"/>
                <w:b w:val="0"/>
                <w:sz w:val="20"/>
              </w:rPr>
              <w:t>Security</w:t>
            </w:r>
          </w:p>
        </w:tc>
        <w:tc>
          <w:tcPr>
            <w:tcW w:type="dxa" w:w="3312"/>
            <w:vAlign w:val="center"/>
          </w:tcPr>
          <w:p>
            <w:pPr>
              <w:jc w:val="left"/>
            </w:pPr>
            <w:r/>
            <w:r>
              <w:rPr>
                <w:rFonts w:ascii="Aptos" w:hAnsi="Aptos"/>
                <w:b w:val="0"/>
                <w:sz w:val="20"/>
              </w:rPr>
              <w:t>Add RDS-SRV01.</w:t>
            </w:r>
          </w:p>
        </w:tc>
      </w:tr>
      <w:tr>
        <w:tc>
          <w:tcPr>
            <w:tcW w:type="dxa" w:w="3312"/>
            <w:vAlign w:val="center"/>
          </w:tcPr>
          <w:p>
            <w:pPr>
              <w:jc w:val="left"/>
            </w:pPr>
            <w:r/>
            <w:r>
              <w:rPr>
                <w:rFonts w:ascii="Aptos" w:hAnsi="Aptos"/>
                <w:b/>
                <w:sz w:val="20"/>
              </w:rPr>
              <w:t>INTUNE-RDS-USERS</w:t>
            </w:r>
          </w:p>
        </w:tc>
        <w:tc>
          <w:tcPr>
            <w:tcW w:type="dxa" w:w="3312"/>
            <w:vAlign w:val="center"/>
          </w:tcPr>
          <w:p>
            <w:pPr>
              <w:jc w:val="center"/>
            </w:pPr>
            <w:r/>
            <w:r>
              <w:rPr>
                <w:rFonts w:ascii="Aptos" w:hAnsi="Aptos"/>
                <w:b w:val="0"/>
                <w:sz w:val="20"/>
              </w:rPr>
              <w:t>Security</w:t>
            </w:r>
          </w:p>
        </w:tc>
        <w:tc>
          <w:tcPr>
            <w:tcW w:type="dxa" w:w="3312"/>
            <w:vAlign w:val="center"/>
          </w:tcPr>
          <w:p>
            <w:pPr>
              <w:jc w:val="left"/>
            </w:pPr>
            <w:r/>
            <w:r>
              <w:rPr>
                <w:rFonts w:ascii="Aptos" w:hAnsi="Aptos"/>
                <w:b w:val="0"/>
                <w:sz w:val="20"/>
              </w:rPr>
              <w:t>Add members of RDS_Users or nest the source group.</w:t>
            </w:r>
          </w:p>
        </w:tc>
      </w:tr>
    </w:tbl>
    <w:p/>
    <w:p>
      <w:pPr>
        <w:pStyle w:val="Heading1"/>
        <w:spacing w:before="200" w:after="80"/>
      </w:pPr>
      <w:r>
        <w:t>8. Phase 4 — Configure Intune Compliance Policies</w:t>
      </w:r>
    </w:p>
    <w:p>
      <w:pPr>
        <w:pStyle w:val="Heading2"/>
        <w:spacing w:before="120" w:after="40"/>
      </w:pPr>
      <w:r>
        <w:t>8.1 Thin Client Compliance Policy</w:t>
      </w:r>
    </w:p>
    <w:p>
      <w:pPr>
        <w:spacing w:after="80" w:line="259" w:lineRule="auto"/>
      </w:pPr>
      <w:r>
        <w:t>Create a compliance policy under Devices → Compliance policies.</w:t>
      </w:r>
    </w:p>
    <w:tbl>
      <w:tblPr>
        <w:tblW w:type="auto" w:w="0"/>
        <w:tblLook w:firstColumn="1" w:firstRow="1" w:lastColumn="0" w:lastRow="0" w:noHBand="0" w:noVBand="1" w:val="04A0"/>
      </w:tblPr>
      <w:tblGrid>
        <w:gridCol w:w="4968"/>
        <w:gridCol w:w="4968"/>
      </w:tblGrid>
      <w:tr>
        <w:trPr>
          <w:tblHeader w:val="true"/>
        </w:trPr>
        <w:tc>
          <w:tcPr>
            <w:tcW w:type="dxa" w:w="4968"/>
            <w:shd w:fill="D9EAF7"/>
            <w:vAlign w:val="center"/>
          </w:tcPr>
          <w:p>
            <w:pPr>
              <w:jc w:val="left"/>
            </w:pPr>
            <w:r/>
            <w:r>
              <w:rPr>
                <w:rFonts w:ascii="Aptos" w:hAnsi="Aptos"/>
                <w:b/>
                <w:color w:val="1F4E79"/>
                <w:sz w:val="20"/>
              </w:rPr>
              <w:t>Setting Area</w:t>
            </w:r>
          </w:p>
        </w:tc>
        <w:tc>
          <w:tcPr>
            <w:tcW w:type="dxa" w:w="4968"/>
            <w:shd w:fill="D9EAF7"/>
            <w:vAlign w:val="center"/>
          </w:tcPr>
          <w:p>
            <w:pPr>
              <w:jc w:val="left"/>
            </w:pPr>
            <w:r/>
            <w:r>
              <w:rPr>
                <w:rFonts w:ascii="Aptos" w:hAnsi="Aptos"/>
                <w:b/>
                <w:color w:val="1F4E79"/>
                <w:sz w:val="20"/>
              </w:rPr>
              <w:t>Required Configuration</w:t>
            </w:r>
          </w:p>
        </w:tc>
      </w:tr>
      <w:tr>
        <w:tc>
          <w:tcPr>
            <w:tcW w:type="dxa" w:w="4968"/>
            <w:vAlign w:val="center"/>
          </w:tcPr>
          <w:p>
            <w:pPr>
              <w:jc w:val="left"/>
            </w:pPr>
            <w:r/>
            <w:r>
              <w:rPr>
                <w:rFonts w:ascii="Aptos" w:hAnsi="Aptos"/>
                <w:b/>
                <w:sz w:val="20"/>
              </w:rPr>
              <w:t>Policy Name</w:t>
            </w:r>
          </w:p>
        </w:tc>
        <w:tc>
          <w:tcPr>
            <w:tcW w:type="dxa" w:w="4968"/>
            <w:vAlign w:val="center"/>
          </w:tcPr>
          <w:p>
            <w:pPr>
              <w:jc w:val="left"/>
            </w:pPr>
            <w:r/>
            <w:r>
              <w:rPr>
                <w:rFonts w:ascii="Aptos" w:hAnsi="Aptos"/>
                <w:b w:val="0"/>
                <w:sz w:val="20"/>
              </w:rPr>
              <w:t>COMP-ThinClient-Windows</w:t>
            </w:r>
          </w:p>
        </w:tc>
      </w:tr>
      <w:tr>
        <w:tc>
          <w:tcPr>
            <w:tcW w:type="dxa" w:w="4968"/>
            <w:vAlign w:val="center"/>
          </w:tcPr>
          <w:p>
            <w:pPr>
              <w:jc w:val="left"/>
            </w:pPr>
            <w:r/>
            <w:r>
              <w:rPr>
                <w:rFonts w:ascii="Aptos" w:hAnsi="Aptos"/>
                <w:b/>
                <w:sz w:val="20"/>
              </w:rPr>
              <w:t>Platform</w:t>
            </w:r>
          </w:p>
        </w:tc>
        <w:tc>
          <w:tcPr>
            <w:tcW w:type="dxa" w:w="4968"/>
            <w:vAlign w:val="center"/>
          </w:tcPr>
          <w:p>
            <w:pPr>
              <w:jc w:val="left"/>
            </w:pPr>
            <w:r/>
            <w:r>
              <w:rPr>
                <w:rFonts w:ascii="Aptos" w:hAnsi="Aptos"/>
                <w:b w:val="0"/>
                <w:sz w:val="20"/>
              </w:rPr>
              <w:t>Windows 10 and later</w:t>
            </w:r>
          </w:p>
        </w:tc>
      </w:tr>
      <w:tr>
        <w:tc>
          <w:tcPr>
            <w:tcW w:type="dxa" w:w="4968"/>
            <w:vAlign w:val="center"/>
          </w:tcPr>
          <w:p>
            <w:pPr>
              <w:jc w:val="left"/>
            </w:pPr>
            <w:r/>
            <w:r>
              <w:rPr>
                <w:rFonts w:ascii="Aptos" w:hAnsi="Aptos"/>
                <w:b w:val="0"/>
                <w:sz w:val="20"/>
              </w:rPr>
              <w:t>Device Health</w:t>
            </w:r>
          </w:p>
        </w:tc>
        <w:tc>
          <w:tcPr>
            <w:tcW w:type="dxa" w:w="4968"/>
            <w:vAlign w:val="center"/>
          </w:tcPr>
          <w:p>
            <w:pPr>
              <w:jc w:val="left"/>
            </w:pPr>
            <w:r/>
            <w:r>
              <w:rPr>
                <w:rFonts w:ascii="Aptos" w:hAnsi="Aptos"/>
                <w:b w:val="0"/>
                <w:sz w:val="20"/>
              </w:rPr>
              <w:t>Require BitLocker: Yes (if applicable); Require Secure Boot: Yes; Require TPM: Yes</w:t>
            </w:r>
          </w:p>
        </w:tc>
      </w:tr>
      <w:tr>
        <w:tc>
          <w:tcPr>
            <w:tcW w:type="dxa" w:w="4968"/>
            <w:vAlign w:val="center"/>
          </w:tcPr>
          <w:p>
            <w:pPr>
              <w:jc w:val="left"/>
            </w:pPr>
            <w:r/>
            <w:r>
              <w:rPr>
                <w:rFonts w:ascii="Aptos" w:hAnsi="Aptos"/>
                <w:b w:val="0"/>
                <w:sz w:val="20"/>
              </w:rPr>
              <w:t>System Security</w:t>
            </w:r>
          </w:p>
        </w:tc>
        <w:tc>
          <w:tcPr>
            <w:tcW w:type="dxa" w:w="4968"/>
            <w:vAlign w:val="center"/>
          </w:tcPr>
          <w:p>
            <w:pPr>
              <w:jc w:val="left"/>
            </w:pPr>
            <w:r/>
            <w:r>
              <w:rPr>
                <w:rFonts w:ascii="Aptos" w:hAnsi="Aptos"/>
                <w:b w:val="0"/>
                <w:sz w:val="20"/>
              </w:rPr>
              <w:t>Firewall required: Yes; Defender Antivirus required: Yes; Real-time protection required: Yes</w:t>
            </w:r>
          </w:p>
        </w:tc>
      </w:tr>
      <w:tr>
        <w:tc>
          <w:tcPr>
            <w:tcW w:type="dxa" w:w="4968"/>
            <w:vAlign w:val="center"/>
          </w:tcPr>
          <w:p>
            <w:pPr>
              <w:jc w:val="left"/>
            </w:pPr>
            <w:r/>
            <w:r>
              <w:rPr>
                <w:rFonts w:ascii="Aptos" w:hAnsi="Aptos"/>
                <w:b/>
                <w:sz w:val="20"/>
              </w:rPr>
              <w:t>Assignment</w:t>
            </w:r>
          </w:p>
        </w:tc>
        <w:tc>
          <w:tcPr>
            <w:tcW w:type="dxa" w:w="4968"/>
            <w:vAlign w:val="center"/>
          </w:tcPr>
          <w:p>
            <w:pPr>
              <w:jc w:val="left"/>
            </w:pPr>
            <w:r/>
            <w:r>
              <w:rPr>
                <w:rFonts w:ascii="Aptos" w:hAnsi="Aptos"/>
                <w:b w:val="0"/>
                <w:sz w:val="20"/>
              </w:rPr>
              <w:t>INTUNE-THINCLIENT-LABPCS</w:t>
            </w:r>
          </w:p>
        </w:tc>
      </w:tr>
    </w:tbl>
    <w:p/>
    <w:p>
      <w:pPr>
        <w:pStyle w:val="Heading1"/>
        <w:spacing w:before="200" w:after="80"/>
      </w:pPr>
      <w:r>
        <w:t>9. Phase 5 — Deploy Intune Configuration Profiles</w:t>
      </w:r>
    </w:p>
    <w:p>
      <w:pPr>
        <w:pStyle w:val="Heading2"/>
        <w:spacing w:before="120" w:after="40"/>
      </w:pPr>
      <w:r>
        <w:t>9.1 Thin Client Hardening Profile</w:t>
      </w:r>
    </w:p>
    <w:p>
      <w:pPr>
        <w:spacing w:after="80" w:line="259" w:lineRule="auto"/>
      </w:pPr>
      <w:r>
        <w:t>Create a Windows 10/11 Settings Catalog profile with the following controls and assign it to INTUNE-THINCLIENT-LABPCS.</w:t>
      </w:r>
    </w:p>
    <w:p>
      <w:pPr>
        <w:spacing w:after="20" w:before="0"/>
        <w:ind w:left="288"/>
      </w:pPr>
      <w:r>
        <w:rPr>
          <w:sz w:val="21"/>
        </w:rPr>
        <w:t>• Microsoft Defender Firewall: Enabled</w:t>
      </w:r>
    </w:p>
    <w:p>
      <w:pPr>
        <w:spacing w:after="20" w:before="0"/>
        <w:ind w:left="288"/>
      </w:pPr>
      <w:r>
        <w:rPr>
          <w:sz w:val="21"/>
        </w:rPr>
        <w:t>• Defender real-time protection: Enabled</w:t>
      </w:r>
    </w:p>
    <w:p>
      <w:pPr>
        <w:spacing w:after="20" w:before="0"/>
        <w:ind w:left="288"/>
      </w:pPr>
      <w:r>
        <w:rPr>
          <w:sz w:val="21"/>
        </w:rPr>
        <w:t>• Defender cloud protection: Enabled</w:t>
      </w:r>
    </w:p>
    <w:p>
      <w:pPr>
        <w:pStyle w:val="Heading1"/>
        <w:spacing w:before="200" w:after="80"/>
      </w:pPr>
      <w:r>
        <w:t>10. Phase 6 — Force Device Enrollment</w:t>
      </w:r>
    </w:p>
    <w:p>
      <w:pPr>
        <w:spacing w:after="80" w:line="259" w:lineRule="auto"/>
      </w:pPr>
      <w:r>
        <w:t>On one classroom PC, run:</w:t>
      </w:r>
    </w:p>
    <w:p>
      <w:r>
        <w:rPr>
          <w:rFonts w:ascii="Consolas" w:hAnsi="Consolas"/>
          <w:sz w:val="21"/>
        </w:rPr>
        <w:t>gpupdate /force</w:t>
      </w:r>
    </w:p>
    <w:p>
      <w:r>
        <w:rPr>
          <w:rFonts w:ascii="Consolas" w:hAnsi="Consolas"/>
          <w:sz w:val="21"/>
        </w:rPr>
        <w:t>dsregcmd /status</w:t>
      </w:r>
    </w:p>
    <w:p>
      <w:pPr>
        <w:spacing w:after="80" w:line="259" w:lineRule="auto"/>
      </w:pPr>
      <w:r>
        <w:t>Reboot the device after policy application.</w:t>
      </w:r>
    </w:p>
    <w:p>
      <w:pPr>
        <w:pStyle w:val="Heading2"/>
        <w:spacing w:before="120" w:after="40"/>
      </w:pPr>
      <w:r>
        <w:t>Verify Enrollment</w:t>
      </w:r>
    </w:p>
    <w:p>
      <w:pPr>
        <w:spacing w:after="80" w:line="259" w:lineRule="auto"/>
      </w:pPr>
      <w:r>
        <w:t>Navigate to Settings → Accounts → Access work or school and confirm:</w:t>
      </w:r>
    </w:p>
    <w:p>
      <w:pPr>
        <w:spacing w:after="20" w:before="0"/>
        <w:ind w:left="288"/>
      </w:pPr>
      <w:r>
        <w:rPr>
          <w:sz w:val="21"/>
        </w:rPr>
        <w:t>• Connected to Azure AD / Entra ID</w:t>
      </w:r>
    </w:p>
    <w:p>
      <w:pPr>
        <w:spacing w:after="20" w:before="0"/>
        <w:ind w:left="288"/>
      </w:pPr>
      <w:r>
        <w:rPr>
          <w:sz w:val="21"/>
        </w:rPr>
        <w:t>• Managed by Microsoft Intune</w:t>
      </w:r>
    </w:p>
    <w:p>
      <w:pPr>
        <w:pStyle w:val="Heading1"/>
        <w:spacing w:before="200" w:after="80"/>
      </w:pPr>
      <w:r>
        <w:t>11. Phase 7 — Validation Checklist</w:t>
      </w:r>
    </w:p>
    <w:tbl>
      <w:tblPr>
        <w:tblW w:type="auto" w:w="0"/>
        <w:tblLook w:firstColumn="1" w:firstRow="1" w:lastColumn="0" w:lastRow="0" w:noHBand="0" w:noVBand="1" w:val="04A0"/>
      </w:tblPr>
      <w:tblGrid>
        <w:gridCol w:w="4968"/>
        <w:gridCol w:w="4968"/>
      </w:tblGrid>
      <w:tr>
        <w:trPr>
          <w:tblHeader w:val="true"/>
        </w:trPr>
        <w:tc>
          <w:tcPr>
            <w:tcW w:type="dxa" w:w="4968"/>
            <w:shd w:fill="D9EAF7"/>
            <w:vAlign w:val="center"/>
          </w:tcPr>
          <w:p>
            <w:pPr>
              <w:jc w:val="left"/>
            </w:pPr>
            <w:r/>
            <w:r>
              <w:rPr>
                <w:rFonts w:ascii="Aptos" w:hAnsi="Aptos"/>
                <w:b/>
                <w:color w:val="1F4E79"/>
                <w:sz w:val="20"/>
              </w:rPr>
              <w:t>Validation Area</w:t>
            </w:r>
          </w:p>
        </w:tc>
        <w:tc>
          <w:tcPr>
            <w:tcW w:type="dxa" w:w="4968"/>
            <w:shd w:fill="D9EAF7"/>
            <w:vAlign w:val="center"/>
          </w:tcPr>
          <w:p>
            <w:pPr>
              <w:jc w:val="left"/>
            </w:pPr>
            <w:r/>
            <w:r>
              <w:rPr>
                <w:rFonts w:ascii="Aptos" w:hAnsi="Aptos"/>
                <w:b/>
                <w:color w:val="1F4E79"/>
                <w:sz w:val="20"/>
              </w:rPr>
              <w:t>Verification Items</w:t>
            </w:r>
          </w:p>
        </w:tc>
      </w:tr>
      <w:tr>
        <w:tc>
          <w:tcPr>
            <w:tcW w:type="dxa" w:w="4968"/>
            <w:vAlign w:val="center"/>
          </w:tcPr>
          <w:p>
            <w:pPr>
              <w:jc w:val="left"/>
            </w:pPr>
            <w:r/>
            <w:r>
              <w:rPr>
                <w:rFonts w:ascii="Aptos" w:hAnsi="Aptos"/>
                <w:b/>
                <w:sz w:val="20"/>
              </w:rPr>
              <w:t>RDS Validation</w:t>
            </w:r>
          </w:p>
        </w:tc>
        <w:tc>
          <w:tcPr>
            <w:tcW w:type="dxa" w:w="4968"/>
            <w:vAlign w:val="center"/>
          </w:tcPr>
          <w:p>
            <w:r/>
            <w:r>
              <w:rPr>
                <w:rFonts w:ascii="Aptos" w:hAnsi="Aptos"/>
                <w:sz w:val="20"/>
              </w:rPr>
              <w:t>☐ User can RDP to RDS-SRV01</w:t>
            </w:r>
          </w:p>
          <w:p>
            <w:r>
              <w:rPr>
                <w:rFonts w:ascii="Aptos" w:hAnsi="Aptos"/>
                <w:sz w:val="20"/>
              </w:rPr>
              <w:t>☐ Auto-launch works</w:t>
            </w:r>
          </w:p>
          <w:p>
            <w:r>
              <w:rPr>
                <w:rFonts w:ascii="Aptos" w:hAnsi="Aptos"/>
                <w:sz w:val="20"/>
              </w:rPr>
              <w:t>☐ Multi-user sessions are stable</w:t>
            </w:r>
          </w:p>
          <w:p>
            <w:r>
              <w:rPr>
                <w:rFonts w:ascii="Aptos" w:hAnsi="Aptos"/>
                <w:sz w:val="20"/>
              </w:rPr>
              <w:t>☐ Licensing is active</w:t>
            </w:r>
          </w:p>
        </w:tc>
      </w:tr>
      <w:tr>
        <w:tc>
          <w:tcPr>
            <w:tcW w:type="dxa" w:w="4968"/>
            <w:vAlign w:val="center"/>
          </w:tcPr>
          <w:p>
            <w:pPr>
              <w:jc w:val="left"/>
            </w:pPr>
            <w:r/>
            <w:r>
              <w:rPr>
                <w:rFonts w:ascii="Aptos" w:hAnsi="Aptos"/>
                <w:b/>
                <w:sz w:val="20"/>
              </w:rPr>
              <w:t>Thin Client Validation</w:t>
            </w:r>
          </w:p>
        </w:tc>
        <w:tc>
          <w:tcPr>
            <w:tcW w:type="dxa" w:w="4968"/>
            <w:vAlign w:val="center"/>
          </w:tcPr>
          <w:p>
            <w:r/>
            <w:r>
              <w:rPr>
                <w:rFonts w:ascii="Aptos" w:hAnsi="Aptos"/>
                <w:sz w:val="20"/>
              </w:rPr>
              <w:t>☐ PC is in the LabPc OU</w:t>
            </w:r>
          </w:p>
          <w:p>
            <w:r>
              <w:rPr>
                <w:rFonts w:ascii="Aptos" w:hAnsi="Aptos"/>
                <w:sz w:val="20"/>
              </w:rPr>
              <w:t>☐ Thin client GPO applied</w:t>
            </w:r>
          </w:p>
          <w:p>
            <w:r>
              <w:rPr>
                <w:rFonts w:ascii="Aptos" w:hAnsi="Aptos"/>
                <w:sz w:val="20"/>
              </w:rPr>
              <w:t>☐ Local desktop restricted</w:t>
            </w:r>
          </w:p>
          <w:p>
            <w:r>
              <w:rPr>
                <w:rFonts w:ascii="Aptos" w:hAnsi="Aptos"/>
                <w:sz w:val="20"/>
              </w:rPr>
              <w:t>☐ RDP auto-launch works</w:t>
            </w:r>
          </w:p>
        </w:tc>
      </w:tr>
      <w:tr>
        <w:tc>
          <w:tcPr>
            <w:tcW w:type="dxa" w:w="4968"/>
            <w:vAlign w:val="center"/>
          </w:tcPr>
          <w:p>
            <w:pPr>
              <w:jc w:val="left"/>
            </w:pPr>
            <w:r/>
            <w:r>
              <w:rPr>
                <w:rFonts w:ascii="Aptos" w:hAnsi="Aptos"/>
                <w:b/>
                <w:sz w:val="20"/>
              </w:rPr>
              <w:t>Intune Validation</w:t>
            </w:r>
          </w:p>
        </w:tc>
        <w:tc>
          <w:tcPr>
            <w:tcW w:type="dxa" w:w="4968"/>
            <w:vAlign w:val="center"/>
          </w:tcPr>
          <w:p>
            <w:r/>
            <w:r>
              <w:rPr>
                <w:rFonts w:ascii="Aptos" w:hAnsi="Aptos"/>
                <w:sz w:val="20"/>
              </w:rPr>
              <w:t>☐ Device is hybrid joined</w:t>
            </w:r>
          </w:p>
          <w:p>
            <w:r>
              <w:rPr>
                <w:rFonts w:ascii="Aptos" w:hAnsi="Aptos"/>
                <w:sz w:val="20"/>
              </w:rPr>
              <w:t>☐ Device appears in Intune</w:t>
            </w:r>
          </w:p>
          <w:p>
            <w:r>
              <w:rPr>
                <w:rFonts w:ascii="Aptos" w:hAnsi="Aptos"/>
                <w:sz w:val="20"/>
              </w:rPr>
              <w:t>☐ Compliance policy applied</w:t>
            </w:r>
          </w:p>
          <w:p>
            <w:r>
              <w:rPr>
                <w:rFonts w:ascii="Aptos" w:hAnsi="Aptos"/>
                <w:sz w:val="20"/>
              </w:rPr>
              <w:t>☐ Configuration profile applied</w:t>
            </w:r>
          </w:p>
          <w:p>
            <w:r>
              <w:rPr>
                <w:rFonts w:ascii="Aptos" w:hAnsi="Aptos"/>
                <w:sz w:val="20"/>
              </w:rPr>
              <w:t>☐ Firewall enforced</w:t>
            </w:r>
          </w:p>
          <w:p>
            <w:r>
              <w:rPr>
                <w:rFonts w:ascii="Aptos" w:hAnsi="Aptos"/>
                <w:sz w:val="20"/>
              </w:rPr>
              <w:t>☐ Defender active</w:t>
            </w:r>
          </w:p>
        </w:tc>
      </w:tr>
    </w:tbl>
    <w:p/>
    <w:p>
      <w:pPr>
        <w:pStyle w:val="Heading1"/>
        <w:spacing w:before="200" w:after="80"/>
      </w:pPr>
      <w:r>
        <w:t>12. Notes</w:t>
      </w:r>
    </w:p>
    <w:p>
      <w:pPr>
        <w:spacing w:after="80" w:line="259" w:lineRule="auto"/>
      </w:pPr>
      <w:r>
        <w:t>This SOP assumes classroom endpoints have line-of-sight to domain services, DNS, and outbound Microsoft enrollment endpoints. If OPNsense egress controls, proxying, certificate trust, or identity synchronization are incomplete, enrollment may fail even when RDS access is functional.</w:t>
      </w:r>
    </w:p>
    <w:p>
      <w:pPr>
        <w:pStyle w:val="Heading1"/>
        <w:spacing w:before="200" w:after="80"/>
      </w:pPr>
      <w:r>
        <w:t>13. End of SOP</w:t>
      </w:r>
    </w:p>
    <w:p>
      <w:pPr>
        <w:spacing w:after="80" w:line="259" w:lineRule="auto"/>
      </w:pPr>
      <w:r>
        <w:t>Document complete.</w:t>
      </w:r>
    </w:p>
    <w:sectPr>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6"/>
        <w:szCs w:val="16"/>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rPr>
      <w:rFonts w:ascii="Aptos" w:hAnsi="Aptos"/>
      <w:sz w:val="21"/>
    </w:rPr>
  </w:style>
  <w:style w:type="paragraph" w:styleId="Heading1">
    <w:name w:val="heading 1"/>
    <w:basedOn w:val="Normal"/>
    <w:next w:val="Normal"/>
    <w:pPr>
      <w:jc w:val="center"/>
    </w:pPr>
    <w:rPr>
      <w:rFonts w:ascii="Aptos Display" w:cs="Arial" w:eastAsia="Arial" w:hAnsi="Aptos Display"/>
      <w:b/>
      <w:bCs w:val="1"/>
      <w:smallCaps w:val="1"/>
      <w:color w:val="1F4E79"/>
      <w:sz w:val="30"/>
      <w:szCs w:val="20"/>
    </w:rPr>
  </w:style>
  <w:style w:type="paragraph" w:styleId="Heading2">
    <w:name w:val="heading 2"/>
    <w:basedOn w:val="Normal"/>
    <w:next w:val="Normal"/>
    <w:pPr>
      <w:jc w:val="right"/>
    </w:pPr>
    <w:rPr>
      <w:rFonts w:ascii="Aptos" w:hAnsi="Aptos"/>
      <w:b/>
      <w:color w:val="373737"/>
      <w:sz w:val="23"/>
      <w:szCs w:val="20"/>
    </w:rPr>
  </w:style>
  <w:style w:type="paragraph" w:styleId="Heading3">
    <w:name w:val="heading 3"/>
    <w:basedOn w:val="Normal"/>
    <w:next w:val="Normal"/>
    <w:pPr>
      <w:jc w:val="center"/>
    </w:pPr>
    <w:rPr>
      <w:rFonts w:ascii="Arial" w:cs="Arial" w:eastAsia="Arial" w:hAnsi="Arial"/>
      <w:b w:val="1"/>
      <w:bCs w:val="1"/>
      <w:smallCaps w:val="1"/>
    </w:rPr>
  </w:style>
  <w:style w:type="paragraph" w:styleId="Heading4">
    <w:name w:val="heading 4"/>
    <w:basedOn w:val="Normal"/>
    <w:next w:val="Normal"/>
    <w:pPr/>
    <w:rPr>
      <w:b w:val="1"/>
      <w:bCs w:val="1"/>
    </w:rPr>
  </w:style>
  <w:style w:type="paragraph" w:styleId="Heading5">
    <w:name w:val="heading 5"/>
    <w:basedOn w:val="Normal"/>
    <w:next w:val="Normal"/>
    <w:pPr>
      <w:jc w:val="center"/>
    </w:pPr>
    <w:rPr>
      <w:rFonts w:ascii="Arial" w:cs="Arial" w:eastAsia="Arial" w:hAnsi="Arial"/>
      <w:b w:val="1"/>
      <w:bCs w:val="1"/>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rFonts w:ascii="Aptos Display" w:hAnsi="Aptos Display"/>
      <w:b w:val="1"/>
      <w:bCs w:val="1"/>
      <w:sz w:val="44"/>
      <w:szCs w:val="72"/>
    </w:rPr>
  </w:style>
  <w:style w:type="paragraph" w:styleId="Subtitle">
    <w:name w:val="Subtitle"/>
    <w:basedOn w:val="Normal"/>
    <w:next w:val="Normal"/>
    <w:pPr>
      <w:keepNext w:val="1"/>
      <w:keepLines w:val="1"/>
      <w:pageBreakBefore w:val="0"/>
      <w:spacing w:after="80" w:before="360" w:lineRule="auto"/>
    </w:pPr>
    <w:rPr>
      <w:rFonts w:ascii="Aptos" w:cs="Georgia" w:eastAsia="Georgia" w:hAnsi="Aptos"/>
      <w:i w:val="1"/>
      <w:iCs w:val="1"/>
      <w:color w:val="666666"/>
      <w:sz w:val="22"/>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7">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8">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9">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8">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19">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0">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1">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2">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3">
    <w:basedOn w:val="TableNormal"/>
    <w:rPr>
      <w:rFonts w:ascii="Arial" w:cs="Arial" w:eastAsia="Arial" w:hAnsi="Arial"/>
      <w:sz w:val="22"/>
      <w:szCs w:val="22"/>
    </w:rPr>
    <w:tblPr>
      <w:tblStyleRowBandSize w:val="1"/>
      <w:tblStyleColBandSize w:val="1"/>
      <w:tblCellMar>
        <w:top w:w="0.0" w:type="dxa"/>
        <w:left w:w="108.0" w:type="dxa"/>
        <w:bottom w:w="0.0" w:type="dxa"/>
        <w:right w:w="108.0" w:type="dxa"/>
      </w:tblCellMar>
    </w:tblPr>
  </w:style>
  <w:style w:type="table" w:styleId="Table24">
    <w:basedOn w:val="TableNormal"/>
    <w:rPr>
      <w:rFonts w:ascii="Arial" w:cs="Arial" w:eastAsia="Arial" w:hAnsi="Arial"/>
      <w:sz w:val="22"/>
      <w:szCs w:val="22"/>
    </w:rPr>
    <w:tblPr>
      <w:tblStyleRowBandSize w:val="1"/>
      <w:tblStyleColBandSize w:val="1"/>
      <w:tblCellMar>
        <w:top w:w="0.0" w:type="dxa"/>
        <w:left w:w="360.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www.smartsheet.com/try-it?trp=12403&amp;utm_source=template-google-doc&amp;utm_medium=content&amp;utm_campaign=SEO"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TC010184621033</vt:lpwstr>
  </property>
  <property fmtid="{D5CDD505-2E9C-101B-9397-08002B2CF9AE}" pid="3" name="InternalTags">
    <vt:lpwstr>InternalTags</vt:lpwstr>
  </property>
  <property fmtid="{D5CDD505-2E9C-101B-9397-08002B2CF9AE}" pid="4" name="ContentTypeId">
    <vt:lpwstr>0x0101006EDDDB5EE6D98C44930B742096920B300400F5B6D36B3EF94B4E9A635CDF2A18F5B8</vt:lpwstr>
  </property>
  <property fmtid="{D5CDD505-2E9C-101B-9397-08002B2CF9AE}" pid="5" name="FeatureTags">
    <vt:lpwstr>FeatureTags</vt:lpwstr>
  </property>
  <property fmtid="{D5CDD505-2E9C-101B-9397-08002B2CF9AE}" pid="6" name="LocalizationTags">
    <vt:lpwstr>LocalizationTags</vt:lpwstr>
  </property>
  <property fmtid="{D5CDD505-2E9C-101B-9397-08002B2CF9AE}" pid="7" name="CampaignTags">
    <vt:lpwstr>CampaignTags</vt:lpwstr>
  </property>
  <property fmtid="{D5CDD505-2E9C-101B-9397-08002B2CF9AE}" pid="8" name="ScenarioTags">
    <vt:lpwstr>ScenarioTags</vt:lpwstr>
  </property>
  <property fmtid="{D5CDD505-2E9C-101B-9397-08002B2CF9AE}" pid="9" name="LocMarketGroupTiers">
    <vt:lpwstr>,t:Tier 1,t:Tier 2,t:Tier 3,</vt:lpwstr>
  </property>
  <property fmtid="{D5CDD505-2E9C-101B-9397-08002B2CF9AE}" pid="10" name="GrammarlyDocumentId">
    <vt:lpwstr>2466e2f9-fb92-4e80-a82e-885d0775c7de</vt:lpwstr>
  </property>
</Properties>
</file>