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TF-IDF relied on word frequencies, which could find documents with similar keywords, but failed to capture deeper meaning or synonyms in said keywords. Word2Vec aimed to solve this limitation. LSTMs, meanwhile, processed text sequentially, but struggled with long-range dependencies. The Transformer architecture used a different technique: “self-attention” mechanisms that allowed the model to look at the entire input sequence at once and weigh the importance of each word. This allowed the context of each sentence to be captured more efficiently.</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Unlike earlier models, BIRT learned to predict hidden input tokens based on both preceding and succeeding context in the sentence. As a result, it understood relationships and context between sentences.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Produces high-quality, contextually-rich  embeddings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Access to many open-source pre-trained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Models can be too large for system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Generating embedding = computationally expensive and can be slow without GPU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requires careful selection of model for best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easy to set up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very fast and optimized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high-quality and easy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need to pay-per-token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no customization in model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low data privacy</w:t>
            </w:r>
          </w:p>
        </w:tc>
      </w:tr>
    </w:tbl>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Chunking is necessary because the model’s maximum input sequence length is too small. I would chunk the PDF by going either by section by section (document-specific chunking) or through semantic chunking (i.e, based on topic shifts).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OpenAI, because it is cost-effective and doesn’t pose a privacy risk</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Local SBERT, because it is easy to use and produces high-quality materials</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Local SBERT, because it is powerful and easier to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