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00"/>
      </w:pPr>
    </w:p>
    <w:p>
      <w:pPr>
        <w:pStyle w:val="Title"/>
        <w:jc w:val="center"/>
      </w:pPr>
      <w:r>
        <w:t>Multivariate and Spatial Analysis of Environmental Vulnerability Across Dutch Municipalities Using R</w:t>
      </w:r>
    </w:p>
    <w:p>
      <w:pPr>
        <w:spacing w:before="700"/>
        <w:jc w:val="center"/>
      </w:pPr>
      <w:r>
        <w:rPr>
          <w:b/>
          <w:sz w:val="32"/>
        </w:rPr>
        <w:t>Complete Thesis</w:t>
      </w:r>
    </w:p>
    <w:p>
      <w:pPr>
        <w:spacing w:before="1100"/>
        <w:jc w:val="center"/>
      </w:pPr>
      <w:r>
        <w:rPr>
          <w:b/>
          <w:sz w:val="28"/>
        </w:rPr>
        <w:t>Joshua Aguele</w:t>
      </w:r>
    </w:p>
    <w:p>
      <w:pPr>
        <w:spacing w:before="1400"/>
        <w:jc w:val="center"/>
      </w:pPr>
      <w:r>
        <w:t>Independent Research Project</w:t>
        <w:br/>
        <w:t>September 2026</w:t>
      </w:r>
    </w:p>
    <w:p>
      <w:pPr>
        <w:spacing w:before="1200"/>
        <w:jc w:val="center"/>
      </w:pPr>
      <w:r>
        <w:rPr>
          <w:i/>
          <w:sz w:val="20"/>
        </w:rPr>
        <w:t>A quantitative cross-sectional analysis of canopy, drought, heat, flood, and heavy-rain indicators across Dutch municipalities</w:t>
      </w:r>
    </w:p>
    <w:p>
      <w:r>
        <w:br w:type="page"/>
      </w:r>
    </w:p>
    <w:p>
      <w:pPr>
        <w:pStyle w:val="Heading1"/>
        <w:keepNext/>
      </w:pPr>
      <w:bookmarkStart w:id="700" w:name="abstract"/>
      <w:r>
        <w:t>Abstract</w:t>
      </w:r>
      <w:bookmarkEnd w:id="700"/>
    </w:p>
    <w:p>
      <w:pPr>
        <w:jc w:val="both"/>
      </w:pPr>
      <w:r>
        <w:t>Environmental vulnerability is multidimensional and geographically structured, yet municipal assessments often examine climate indicators separately or assume that neighbouring municipalities are statistically independent. This study analysed canopy cover, drought depth, heat exposure, flood exposure, and heavy-rain exposure across Dutch municipalities using data derived from the Climate Impact Atlas Buurtdashboard. The assembled dataset contained 342 municipalities; five with missing drought-depth observations were excluded from the common analytical sample, leaving 337 cases. The analysis combined descriptive statistics and Pearson correlations, standardised principal component analysis with parallel analysis, k-means clustering, bootstrap Jaccard stability assessment, multiple linear regression with HC3-robust inference, Moran's I, and spatial lag and spatial error models. Two principal components retained by parallel analysis explained 70.53% of total standardised variance. A four-cluster solution produced distinct municipal environmental profiles, and all four clusters met the adopted bootstrap stability threshold. In the non-spatial regression, canopy and flood exposure were negatively associated with heat exposure, while heavy-rain exposure was positively associated. However, OLS residuals showed strong positive spatial autocorrelation (Moran's I = .356, p &lt; .001). The spatial error model provided the strongest fit (AIC = 1881.874), estimated substantial spatial error dependence (lambda = .616, p &lt; .001), and removed statistically detectable residual autocorrelation. In that model, canopy remained negatively associated with heat and drought depth became positively associated, whereas flood and heavy-rain coefficients were not statistically significant. The findings show that Dutch municipal environmental vulnerability cannot be represented adequately by one indicator or a non-spatial model. The resulting profiles support national comparison and adaptation screening, but they are ecological classifications and should not be interpreted as person-level vulnerability or causal effects.</w:t>
      </w:r>
    </w:p>
    <w:p>
      <w:r>
        <w:rPr>
          <w:b/>
        </w:rPr>
        <w:t xml:space="preserve">Keywords   </w:t>
      </w:r>
      <w:r>
        <w:t>environmental vulnerability, Dutch municipalities, principal component analysis, cluster analysis, spatial econometrics, heat exposure, climate adaptation</w:t>
      </w:r>
    </w:p>
    <w:p>
      <w:r>
        <w:br w:type="page"/>
      </w:r>
    </w:p>
    <w:p>
      <w:pPr>
        <w:pStyle w:val="Heading1"/>
        <w:keepNext/>
      </w:pPr>
      <w:bookmarkStart w:id="701" w:name="toc"/>
      <w:r>
        <w:t>Table of Contents</w:t>
      </w:r>
      <w:bookmarkEnd w:id="701"/>
    </w:p>
    <w:p>
      <w:pPr>
        <w:pStyle w:val="TOC1"/>
        <w:tabs>
          <w:tab w:pos="8856" w:val="right" w:leader="dot"/>
        </w:tabs>
      </w:pPr>
      <w:r>
        <w:fldChar w:fldCharType="begin" w:dirty="true"/>
        <w:instrText xml:space="preserve"> TOC \o "1-2" \h \z \u </w:instrText>
        <w:fldChar w:fldCharType="separate"/>
      </w:r>
      <w:r>
        <w:t>Abstract</w:t>
      </w:r>
      <w:r>
        <w:tab/>
        <w:t>ii</w:t>
      </w:r>
    </w:p>
    <w:p>
      <w:pPr>
        <w:pStyle w:val="TOC1"/>
        <w:tabs>
          <w:tab w:pos="8856" w:val="right" w:leader="dot"/>
        </w:tabs>
      </w:pPr>
      <w:r>
        <w:t>List of Tables</w:t>
      </w:r>
      <w:r>
        <w:tab/>
        <w:t>v</w:t>
      </w:r>
    </w:p>
    <w:p>
      <w:pPr>
        <w:pStyle w:val="TOC1"/>
        <w:tabs>
          <w:tab w:pos="8856" w:val="right" w:leader="dot"/>
        </w:tabs>
      </w:pPr>
      <w:r>
        <w:t>List of Figures</w:t>
      </w:r>
      <w:r>
        <w:tab/>
        <w:t>vi</w:t>
      </w:r>
    </w:p>
    <w:p>
      <w:pPr>
        <w:pStyle w:val="TOC1"/>
        <w:tabs>
          <w:tab w:pos="8856" w:val="right" w:leader="dot"/>
        </w:tabs>
      </w:pPr>
      <w:r>
        <w:t>List of Abbreviations</w:t>
      </w:r>
      <w:r>
        <w:tab/>
        <w:t>vii</w:t>
      </w:r>
    </w:p>
    <w:p>
      <w:pPr>
        <w:pStyle w:val="TOC1"/>
        <w:tabs>
          <w:tab w:pos="8856" w:val="right" w:leader="dot"/>
        </w:tabs>
      </w:pPr>
      <w:r>
        <w:t>1 Introduction</w:t>
      </w:r>
      <w:r>
        <w:tab/>
        <w:t>1</w:t>
      </w:r>
    </w:p>
    <w:p>
      <w:pPr>
        <w:pStyle w:val="TOC2"/>
        <w:tabs>
          <w:tab w:pos="8856" w:val="right" w:leader="dot"/>
        </w:tabs>
      </w:pPr>
      <w:r>
        <w:t>1.1 Background to the Study</w:t>
      </w:r>
      <w:r>
        <w:tab/>
        <w:t>2</w:t>
      </w:r>
    </w:p>
    <w:p>
      <w:pPr>
        <w:pStyle w:val="TOC2"/>
        <w:tabs>
          <w:tab w:pos="8856" w:val="right" w:leader="dot"/>
        </w:tabs>
      </w:pPr>
      <w:r>
        <w:t>1.2 Problem Statement</w:t>
      </w:r>
      <w:r>
        <w:tab/>
        <w:t>3</w:t>
      </w:r>
    </w:p>
    <w:p>
      <w:pPr>
        <w:pStyle w:val="TOC2"/>
        <w:tabs>
          <w:tab w:pos="8856" w:val="right" w:leader="dot"/>
        </w:tabs>
      </w:pPr>
      <w:r>
        <w:t>1.3 Research Gap</w:t>
      </w:r>
      <w:r>
        <w:tab/>
        <w:t>3</w:t>
      </w:r>
    </w:p>
    <w:p>
      <w:pPr>
        <w:pStyle w:val="TOC2"/>
        <w:tabs>
          <w:tab w:pos="8856" w:val="right" w:leader="dot"/>
        </w:tabs>
      </w:pPr>
      <w:r>
        <w:t>1.4 Research Aim</w:t>
      </w:r>
      <w:r>
        <w:tab/>
        <w:t>4</w:t>
      </w:r>
    </w:p>
    <w:p>
      <w:pPr>
        <w:pStyle w:val="TOC2"/>
        <w:tabs>
          <w:tab w:pos="8856" w:val="right" w:leader="dot"/>
        </w:tabs>
      </w:pPr>
      <w:r>
        <w:t>1.5 Research Objectives</w:t>
      </w:r>
      <w:r>
        <w:tab/>
        <w:t>4</w:t>
      </w:r>
    </w:p>
    <w:p>
      <w:pPr>
        <w:pStyle w:val="TOC2"/>
        <w:tabs>
          <w:tab w:pos="8856" w:val="right" w:leader="dot"/>
        </w:tabs>
      </w:pPr>
      <w:r>
        <w:t>1.6 Research Questions</w:t>
      </w:r>
      <w:r>
        <w:tab/>
        <w:t>5</w:t>
      </w:r>
    </w:p>
    <w:p>
      <w:pPr>
        <w:pStyle w:val="TOC2"/>
        <w:tabs>
          <w:tab w:pos="8856" w:val="right" w:leader="dot"/>
        </w:tabs>
      </w:pPr>
      <w:r>
        <w:t>1.7 Conceptual and Analytical Framework</w:t>
      </w:r>
      <w:r>
        <w:tab/>
        <w:t>5</w:t>
      </w:r>
    </w:p>
    <w:p>
      <w:pPr>
        <w:pStyle w:val="TOC2"/>
        <w:tabs>
          <w:tab w:pos="8856" w:val="right" w:leader="dot"/>
        </w:tabs>
      </w:pPr>
      <w:r>
        <w:t>1.8 Significance of the Study</w:t>
      </w:r>
      <w:r>
        <w:tab/>
        <w:t>6</w:t>
      </w:r>
    </w:p>
    <w:p>
      <w:pPr>
        <w:pStyle w:val="TOC2"/>
        <w:tabs>
          <w:tab w:pos="8856" w:val="right" w:leader="dot"/>
        </w:tabs>
      </w:pPr>
      <w:r>
        <w:t>1.9 Scope and Delimitations</w:t>
      </w:r>
      <w:r>
        <w:tab/>
        <w:t>7</w:t>
      </w:r>
    </w:p>
    <w:p>
      <w:pPr>
        <w:pStyle w:val="TOC2"/>
        <w:tabs>
          <w:tab w:pos="8856" w:val="right" w:leader="dot"/>
        </w:tabs>
      </w:pPr>
      <w:r>
        <w:t>1.10 Definition of Key Terms</w:t>
      </w:r>
      <w:r>
        <w:tab/>
        <w:t>8</w:t>
      </w:r>
    </w:p>
    <w:p>
      <w:pPr>
        <w:pStyle w:val="TOC2"/>
        <w:tabs>
          <w:tab w:pos="8856" w:val="right" w:leader="dot"/>
        </w:tabs>
      </w:pPr>
      <w:r>
        <w:t>1.11 Organisation of the Thesis</w:t>
      </w:r>
      <w:r>
        <w:tab/>
        <w:t>9</w:t>
      </w:r>
    </w:p>
    <w:p>
      <w:pPr>
        <w:pStyle w:val="TOC2"/>
        <w:tabs>
          <w:tab w:pos="8856" w:val="right" w:leader="dot"/>
        </w:tabs>
      </w:pPr>
      <w:r>
        <w:t>1.12 Chapter Summary</w:t>
      </w:r>
      <w:r>
        <w:tab/>
        <w:t>9</w:t>
      </w:r>
    </w:p>
    <w:p>
      <w:pPr>
        <w:pStyle w:val="TOC1"/>
        <w:tabs>
          <w:tab w:pos="8856" w:val="right" w:leader="dot"/>
        </w:tabs>
      </w:pPr>
      <w:r>
        <w:t>2 Literature Review and Conceptual Framework</w:t>
      </w:r>
      <w:r>
        <w:tab/>
        <w:t>10</w:t>
      </w:r>
    </w:p>
    <w:p>
      <w:pPr>
        <w:pStyle w:val="TOC2"/>
        <w:tabs>
          <w:tab w:pos="8856" w:val="right" w:leader="dot"/>
        </w:tabs>
      </w:pPr>
      <w:r>
        <w:t>2.1 Purpose and Scope of the Review</w:t>
      </w:r>
      <w:r>
        <w:tab/>
        <w:t>10</w:t>
      </w:r>
    </w:p>
    <w:p>
      <w:pPr>
        <w:pStyle w:val="TOC2"/>
        <w:tabs>
          <w:tab w:pos="8856" w:val="right" w:leader="dot"/>
        </w:tabs>
      </w:pPr>
      <w:r>
        <w:t>2.2 Conceptual Foundations</w:t>
      </w:r>
      <w:r>
        <w:tab/>
        <w:t>11</w:t>
      </w:r>
    </w:p>
    <w:p>
      <w:pPr>
        <w:pStyle w:val="TOC2"/>
        <w:tabs>
          <w:tab w:pos="8856" w:val="right" w:leader="dot"/>
        </w:tabs>
      </w:pPr>
      <w:r>
        <w:t>2.3 Dutch Climate and Adaptation Context</w:t>
      </w:r>
      <w:r>
        <w:tab/>
        <w:t>13</w:t>
      </w:r>
    </w:p>
    <w:p>
      <w:pPr>
        <w:pStyle w:val="TOC2"/>
        <w:tabs>
          <w:tab w:pos="8856" w:val="right" w:leader="dot"/>
        </w:tabs>
      </w:pPr>
      <w:r>
        <w:t>2.4 Environmental Indicator Domains</w:t>
      </w:r>
      <w:r>
        <w:tab/>
        <w:t>14</w:t>
      </w:r>
    </w:p>
    <w:p>
      <w:pPr>
        <w:pStyle w:val="TOC2"/>
        <w:tabs>
          <w:tab w:pos="8856" w:val="right" w:leader="dot"/>
        </w:tabs>
      </w:pPr>
      <w:r>
        <w:t>2.5 Multivariate Approaches to Vulnerability Assessment</w:t>
      </w:r>
      <w:r>
        <w:tab/>
        <w:t>18</w:t>
      </w:r>
    </w:p>
    <w:p>
      <w:pPr>
        <w:pStyle w:val="TOC2"/>
        <w:tabs>
          <w:tab w:pos="8856" w:val="right" w:leader="dot"/>
        </w:tabs>
      </w:pPr>
      <w:r>
        <w:t>2.6 Regression and Spatial Dependence</w:t>
      </w:r>
      <w:r>
        <w:tab/>
        <w:t>20</w:t>
      </w:r>
    </w:p>
    <w:p>
      <w:pPr>
        <w:pStyle w:val="TOC2"/>
        <w:tabs>
          <w:tab w:pos="8856" w:val="right" w:leader="dot"/>
        </w:tabs>
      </w:pPr>
      <w:r>
        <w:t>2.7 Synthesis of Empirical Evidence</w:t>
      </w:r>
      <w:r>
        <w:tab/>
        <w:t>22</w:t>
      </w:r>
    </w:p>
    <w:p>
      <w:pPr>
        <w:pStyle w:val="TOC2"/>
        <w:tabs>
          <w:tab w:pos="8856" w:val="right" w:leader="dot"/>
        </w:tabs>
      </w:pPr>
      <w:r>
        <w:t>2.8 Research Gap and Contribution</w:t>
      </w:r>
      <w:r>
        <w:tab/>
        <w:t>23</w:t>
      </w:r>
    </w:p>
    <w:p>
      <w:pPr>
        <w:pStyle w:val="TOC2"/>
        <w:tabs>
          <w:tab w:pos="8856" w:val="right" w:leader="dot"/>
        </w:tabs>
      </w:pPr>
      <w:r>
        <w:t>2.9 Conceptual and Analytical Framework</w:t>
      </w:r>
      <w:r>
        <w:tab/>
        <w:t>24</w:t>
      </w:r>
    </w:p>
    <w:p>
      <w:pPr>
        <w:pStyle w:val="TOC2"/>
        <w:tabs>
          <w:tab w:pos="8856" w:val="right" w:leader="dot"/>
        </w:tabs>
      </w:pPr>
      <w:r>
        <w:t>2.10 Analytical Expectations</w:t>
      </w:r>
      <w:r>
        <w:tab/>
        <w:t>25</w:t>
      </w:r>
    </w:p>
    <w:p>
      <w:pPr>
        <w:pStyle w:val="TOC2"/>
        <w:tabs>
          <w:tab w:pos="8856" w:val="right" w:leader="dot"/>
        </w:tabs>
      </w:pPr>
      <w:r>
        <w:t>2.11 Chapter Summary</w:t>
      </w:r>
      <w:r>
        <w:tab/>
        <w:t>26</w:t>
      </w:r>
    </w:p>
    <w:p>
      <w:pPr>
        <w:pStyle w:val="TOC1"/>
        <w:tabs>
          <w:tab w:pos="8856" w:val="right" w:leader="dot"/>
        </w:tabs>
      </w:pPr>
      <w:r>
        <w:t>3 Research Methodology</w:t>
      </w:r>
      <w:r>
        <w:tab/>
        <w:t>27</w:t>
      </w:r>
    </w:p>
    <w:p>
      <w:pPr>
        <w:pStyle w:val="TOC2"/>
        <w:tabs>
          <w:tab w:pos="8856" w:val="right" w:leader="dot"/>
        </w:tabs>
      </w:pPr>
      <w:r>
        <w:t>3.1 Research Questions and Analytical Alignment</w:t>
      </w:r>
      <w:r>
        <w:tab/>
        <w:t>27</w:t>
      </w:r>
    </w:p>
    <w:p>
      <w:pPr>
        <w:pStyle w:val="TOC2"/>
        <w:tabs>
          <w:tab w:pos="8856" w:val="right" w:leader="dot"/>
        </w:tabs>
      </w:pPr>
      <w:r>
        <w:t>3.2 Research Design</w:t>
      </w:r>
      <w:r>
        <w:tab/>
        <w:t>28</w:t>
      </w:r>
    </w:p>
    <w:p>
      <w:pPr>
        <w:pStyle w:val="TOC2"/>
        <w:tabs>
          <w:tab w:pos="8856" w:val="right" w:leader="dot"/>
        </w:tabs>
      </w:pPr>
      <w:r>
        <w:t>3.3 Data Sources and Study Population</w:t>
      </w:r>
      <w:r>
        <w:tab/>
        <w:t>28</w:t>
      </w:r>
    </w:p>
    <w:p>
      <w:pPr>
        <w:pStyle w:val="TOC2"/>
        <w:tabs>
          <w:tab w:pos="8856" w:val="right" w:leader="dot"/>
        </w:tabs>
      </w:pPr>
      <w:r>
        <w:t>3.4 Indicator Construction and Operationalisation</w:t>
      </w:r>
      <w:r>
        <w:tab/>
        <w:t>28</w:t>
      </w:r>
    </w:p>
    <w:p>
      <w:pPr>
        <w:pStyle w:val="TOC2"/>
        <w:tabs>
          <w:tab w:pos="8856" w:val="right" w:leader="dot"/>
        </w:tabs>
      </w:pPr>
      <w:r>
        <w:t>3.5 Data Quality Audit and Missing Data</w:t>
      </w:r>
      <w:r>
        <w:tab/>
        <w:t>30</w:t>
      </w:r>
    </w:p>
    <w:p>
      <w:pPr>
        <w:pStyle w:val="TOC2"/>
        <w:tabs>
          <w:tab w:pos="8856" w:val="right" w:leader="dot"/>
        </w:tabs>
      </w:pPr>
      <w:r>
        <w:t>3.6 Descriptive Statistics and Correlation</w:t>
      </w:r>
      <w:r>
        <w:tab/>
        <w:t>31</w:t>
      </w:r>
    </w:p>
    <w:p>
      <w:pPr>
        <w:pStyle w:val="TOC2"/>
        <w:tabs>
          <w:tab w:pos="8856" w:val="right" w:leader="dot"/>
        </w:tabs>
      </w:pPr>
      <w:r>
        <w:t>3.7 Principal Component Analysis</w:t>
      </w:r>
      <w:r>
        <w:tab/>
        <w:t>31</w:t>
      </w:r>
    </w:p>
    <w:p>
      <w:pPr>
        <w:pStyle w:val="TOC2"/>
        <w:tabs>
          <w:tab w:pos="8856" w:val="right" w:leader="dot"/>
        </w:tabs>
      </w:pPr>
      <w:r>
        <w:t>3.8 Cluster Analysis</w:t>
      </w:r>
      <w:r>
        <w:tab/>
        <w:t>32</w:t>
      </w:r>
    </w:p>
    <w:p>
      <w:pPr>
        <w:pStyle w:val="TOC2"/>
        <w:tabs>
          <w:tab w:pos="8856" w:val="right" w:leader="dot"/>
        </w:tabs>
      </w:pPr>
      <w:r>
        <w:t>3.9 Multiple Linear Regression</w:t>
      </w:r>
      <w:r>
        <w:tab/>
        <w:t>34</w:t>
      </w:r>
    </w:p>
    <w:p>
      <w:pPr>
        <w:pStyle w:val="TOC2"/>
        <w:tabs>
          <w:tab w:pos="8856" w:val="right" w:leader="dot"/>
        </w:tabs>
      </w:pPr>
      <w:r>
        <w:t>3.10 Spatial Analysis</w:t>
      </w:r>
      <w:r>
        <w:tab/>
        <w:t>37</w:t>
      </w:r>
    </w:p>
    <w:p>
      <w:pPr>
        <w:pStyle w:val="TOC2"/>
        <w:tabs>
          <w:tab w:pos="8856" w:val="right" w:leader="dot"/>
        </w:tabs>
      </w:pPr>
      <w:r>
        <w:t>3.11 Software Reproducibility and Output Management</w:t>
      </w:r>
      <w:r>
        <w:tab/>
        <w:t>38</w:t>
      </w:r>
    </w:p>
    <w:p>
      <w:pPr>
        <w:pStyle w:val="TOC2"/>
        <w:tabs>
          <w:tab w:pos="8856" w:val="right" w:leader="dot"/>
        </w:tabs>
      </w:pPr>
      <w:r>
        <w:t>3.12 Reliability Validity and Methodological Limitations</w:t>
      </w:r>
      <w:r>
        <w:tab/>
        <w:t>38</w:t>
      </w:r>
    </w:p>
    <w:p>
      <w:pPr>
        <w:pStyle w:val="TOC2"/>
        <w:tabs>
          <w:tab w:pos="8856" w:val="right" w:leader="dot"/>
        </w:tabs>
      </w:pPr>
      <w:r>
        <w:t>3.13 Ethical Considerations</w:t>
      </w:r>
      <w:r>
        <w:tab/>
        <w:t>39</w:t>
      </w:r>
    </w:p>
    <w:p>
      <w:pPr>
        <w:pStyle w:val="TOC2"/>
        <w:tabs>
          <w:tab w:pos="8856" w:val="right" w:leader="dot"/>
        </w:tabs>
      </w:pPr>
      <w:r>
        <w:t>3.14 Chapter Summary</w:t>
      </w:r>
      <w:r>
        <w:tab/>
        <w:t>39</w:t>
      </w:r>
    </w:p>
    <w:p>
      <w:pPr>
        <w:pStyle w:val="TOC1"/>
        <w:tabs>
          <w:tab w:pos="8856" w:val="right" w:leader="dot"/>
        </w:tabs>
      </w:pPr>
      <w:r>
        <w:t>4 Results</w:t>
      </w:r>
      <w:r>
        <w:tab/>
        <w:t>40</w:t>
      </w:r>
    </w:p>
    <w:p>
      <w:pPr>
        <w:pStyle w:val="TOC1"/>
        <w:tabs>
          <w:tab w:pos="8856" w:val="right" w:leader="dot"/>
        </w:tabs>
      </w:pPr>
      <w:r>
        <w:t>4.1 Data Quality and Analytical Sample</w:t>
      </w:r>
      <w:r>
        <w:tab/>
        <w:t>40</w:t>
      </w:r>
    </w:p>
    <w:p>
      <w:pPr>
        <w:pStyle w:val="TOC1"/>
        <w:tabs>
          <w:tab w:pos="8856" w:val="right" w:leader="dot"/>
        </w:tabs>
      </w:pPr>
      <w:r>
        <w:t>4.2 Descriptive Statistics</w:t>
      </w:r>
      <w:r>
        <w:tab/>
        <w:t>41</w:t>
      </w:r>
    </w:p>
    <w:p>
      <w:pPr>
        <w:pStyle w:val="TOC1"/>
        <w:tabs>
          <w:tab w:pos="8856" w:val="right" w:leader="dot"/>
        </w:tabs>
      </w:pPr>
      <w:r>
        <w:t>4.3 Correlation Analysis</w:t>
      </w:r>
      <w:r>
        <w:tab/>
        <w:t>42</w:t>
      </w:r>
    </w:p>
    <w:p>
      <w:pPr>
        <w:pStyle w:val="TOC1"/>
        <w:tabs>
          <w:tab w:pos="8856" w:val="right" w:leader="dot"/>
        </w:tabs>
      </w:pPr>
      <w:r>
        <w:t>4.4 Principal Component Analysis</w:t>
      </w:r>
      <w:r>
        <w:tab/>
        <w:t>44</w:t>
      </w:r>
    </w:p>
    <w:p>
      <w:pPr>
        <w:pStyle w:val="TOC1"/>
        <w:tabs>
          <w:tab w:pos="8856" w:val="right" w:leader="dot"/>
        </w:tabs>
      </w:pPr>
      <w:r>
        <w:t>4.5 Cluster Analysis</w:t>
      </w:r>
      <w:r>
        <w:tab/>
        <w:t>46</w:t>
      </w:r>
    </w:p>
    <w:p>
      <w:pPr>
        <w:pStyle w:val="TOC2"/>
        <w:tabs>
          <w:tab w:pos="8856" w:val="right" w:leader="dot"/>
        </w:tabs>
      </w:pPr>
      <w:r>
        <w:t>4.5.1 Selection of the Cluster Solution</w:t>
      </w:r>
      <w:r>
        <w:tab/>
        <w:t>46</w:t>
      </w:r>
    </w:p>
    <w:p>
      <w:pPr>
        <w:pStyle w:val="TOC2"/>
        <w:tabs>
          <w:tab w:pos="8856" w:val="right" w:leader="dot"/>
        </w:tabs>
      </w:pPr>
      <w:r>
        <w:t>4.5.2 Environmental Profiles of the Four Clusters</w:t>
      </w:r>
      <w:r>
        <w:tab/>
        <w:t>48</w:t>
      </w:r>
    </w:p>
    <w:p>
      <w:pPr>
        <w:pStyle w:val="TOC2"/>
        <w:tabs>
          <w:tab w:pos="8856" w:val="right" w:leader="dot"/>
        </w:tabs>
      </w:pPr>
      <w:r>
        <w:t>4.5.3 Geographic Distribution of the Profiles</w:t>
      </w:r>
      <w:r>
        <w:tab/>
        <w:t>50</w:t>
      </w:r>
    </w:p>
    <w:p>
      <w:pPr>
        <w:pStyle w:val="TOC2"/>
        <w:tabs>
          <w:tab w:pos="8856" w:val="right" w:leader="dot"/>
        </w:tabs>
      </w:pPr>
      <w:r>
        <w:t>4.5.4 Bootstrap Stability</w:t>
      </w:r>
      <w:r>
        <w:tab/>
        <w:t>51</w:t>
      </w:r>
    </w:p>
    <w:p>
      <w:pPr>
        <w:pStyle w:val="TOC1"/>
        <w:tabs>
          <w:tab w:pos="8856" w:val="right" w:leader="dot"/>
        </w:tabs>
      </w:pPr>
      <w:r>
        <w:t>4.6 Multiple Linear Regression</w:t>
      </w:r>
      <w:r>
        <w:tab/>
        <w:t>52</w:t>
      </w:r>
    </w:p>
    <w:p>
      <w:pPr>
        <w:pStyle w:val="TOC2"/>
        <w:tabs>
          <w:tab w:pos="8856" w:val="right" w:leader="dot"/>
        </w:tabs>
      </w:pPr>
      <w:r>
        <w:t>4.6.1 Model Fit and HC3-Robust Estimates</w:t>
      </w:r>
      <w:r>
        <w:tab/>
        <w:t>52</w:t>
      </w:r>
    </w:p>
    <w:p>
      <w:pPr>
        <w:pStyle w:val="TOC2"/>
        <w:tabs>
          <w:tab w:pos="8856" w:val="right" w:leader="dot"/>
        </w:tabs>
      </w:pPr>
      <w:r>
        <w:t>4.6.2 Diagnostics and Influence Sensitivity</w:t>
      </w:r>
      <w:r>
        <w:tab/>
        <w:t>54</w:t>
      </w:r>
    </w:p>
    <w:p>
      <w:pPr>
        <w:pStyle w:val="TOC1"/>
        <w:tabs>
          <w:tab w:pos="8856" w:val="right" w:leader="dot"/>
        </w:tabs>
      </w:pPr>
      <w:r>
        <w:t>4.7 Spatial Analysis</w:t>
      </w:r>
      <w:r>
        <w:tab/>
        <w:t>57</w:t>
      </w:r>
    </w:p>
    <w:p>
      <w:pPr>
        <w:pStyle w:val="TOC2"/>
        <w:tabs>
          <w:tab w:pos="8856" w:val="right" w:leader="dot"/>
        </w:tabs>
      </w:pPr>
      <w:r>
        <w:t>4.7.1 Neighbour Structure and Residual Spatial Dependence</w:t>
      </w:r>
      <w:r>
        <w:tab/>
        <w:t>57</w:t>
      </w:r>
    </w:p>
    <w:p>
      <w:pPr>
        <w:pStyle w:val="TOC2"/>
        <w:tabs>
          <w:tab w:pos="8856" w:val="right" w:leader="dot"/>
        </w:tabs>
      </w:pPr>
      <w:r>
        <w:t>4.7.2 Spatial-Model Comparison</w:t>
      </w:r>
      <w:r>
        <w:tab/>
        <w:t>57</w:t>
      </w:r>
    </w:p>
    <w:p>
      <w:pPr>
        <w:pStyle w:val="TOC2"/>
        <w:tabs>
          <w:tab w:pos="8856" w:val="right" w:leader="dot"/>
        </w:tabs>
      </w:pPr>
      <w:r>
        <w:t>4.7.3 Spatial-Error Model</w:t>
      </w:r>
      <w:r>
        <w:tab/>
        <w:t>58</w:t>
      </w:r>
    </w:p>
    <w:p>
      <w:pPr>
        <w:pStyle w:val="TOC2"/>
        <w:tabs>
          <w:tab w:pos="8856" w:val="right" w:leader="dot"/>
        </w:tabs>
      </w:pPr>
      <w:r>
        <w:t>4.7.4 Spatial-Weights Sensitivity</w:t>
      </w:r>
      <w:r>
        <w:tab/>
        <w:t>60</w:t>
      </w:r>
    </w:p>
    <w:p>
      <w:pPr>
        <w:pStyle w:val="TOC1"/>
        <w:tabs>
          <w:tab w:pos="8856" w:val="right" w:leader="dot"/>
        </w:tabs>
      </w:pPr>
      <w:r>
        <w:t>4.8 Summary of Findings</w:t>
      </w:r>
      <w:r>
        <w:tab/>
        <w:t>61</w:t>
      </w:r>
    </w:p>
    <w:p>
      <w:pPr>
        <w:pStyle w:val="TOC1"/>
        <w:tabs>
          <w:tab w:pos="8856" w:val="right" w:leader="dot"/>
        </w:tabs>
      </w:pPr>
      <w:r>
        <w:t>5 Discussion Conclusions and Recommendations</w:t>
      </w:r>
      <w:r>
        <w:tab/>
        <w:t>62</w:t>
      </w:r>
    </w:p>
    <w:p>
      <w:pPr>
        <w:pStyle w:val="TOC1"/>
        <w:tabs>
          <w:tab w:pos="8856" w:val="right" w:leader="dot"/>
        </w:tabs>
      </w:pPr>
      <w:r>
        <w:t>5.1 Overview of the Study</w:t>
      </w:r>
      <w:r>
        <w:tab/>
        <w:t>62</w:t>
      </w:r>
    </w:p>
    <w:p>
      <w:pPr>
        <w:pStyle w:val="TOC1"/>
        <w:tabs>
          <w:tab w:pos="8856" w:val="right" w:leader="dot"/>
        </w:tabs>
      </w:pPr>
      <w:r>
        <w:t>5.2 Discussion of the Findings</w:t>
      </w:r>
      <w:r>
        <w:tab/>
        <w:t>63</w:t>
      </w:r>
    </w:p>
    <w:p>
      <w:pPr>
        <w:pStyle w:val="TOC2"/>
        <w:tabs>
          <w:tab w:pos="8856" w:val="right" w:leader="dot"/>
        </w:tabs>
      </w:pPr>
      <w:r>
        <w:t>5.2.1 Variation and Relationships Among Environmental Indicators</w:t>
      </w:r>
      <w:r>
        <w:tab/>
        <w:t>63</w:t>
      </w:r>
    </w:p>
    <w:p>
      <w:pPr>
        <w:pStyle w:val="TOC2"/>
        <w:tabs>
          <w:tab w:pos="8856" w:val="right" w:leader="dot"/>
        </w:tabs>
      </w:pPr>
      <w:r>
        <w:t>5.2.2 Latent Dimensions of Municipal Environmental Vulnerability</w:t>
      </w:r>
      <w:r>
        <w:tab/>
        <w:t>64</w:t>
      </w:r>
    </w:p>
    <w:p>
      <w:pPr>
        <w:pStyle w:val="TOC2"/>
        <w:tabs>
          <w:tab w:pos="8856" w:val="right" w:leader="dot"/>
        </w:tabs>
      </w:pPr>
      <w:r>
        <w:t>5.2.3 Environmental Profiles and Cluster Stability</w:t>
      </w:r>
      <w:r>
        <w:tab/>
        <w:t>65</w:t>
      </w:r>
    </w:p>
    <w:p>
      <w:pPr>
        <w:pStyle w:val="TOC2"/>
        <w:tabs>
          <w:tab w:pos="8856" w:val="right" w:leader="dot"/>
        </w:tabs>
      </w:pPr>
      <w:r>
        <w:t>5.2.4 Adjusted Associations With Heat Exposure</w:t>
      </w:r>
      <w:r>
        <w:tab/>
        <w:t>66</w:t>
      </w:r>
    </w:p>
    <w:p>
      <w:pPr>
        <w:pStyle w:val="TOC2"/>
        <w:tabs>
          <w:tab w:pos="8856" w:val="right" w:leader="dot"/>
        </w:tabs>
      </w:pPr>
      <w:r>
        <w:t>5.2.5 Spatial Dependence and Model Choice</w:t>
      </w:r>
      <w:r>
        <w:tab/>
        <w:t>67</w:t>
      </w:r>
    </w:p>
    <w:p>
      <w:pPr>
        <w:pStyle w:val="TOC1"/>
        <w:tabs>
          <w:tab w:pos="8856" w:val="right" w:leader="dot"/>
        </w:tabs>
      </w:pPr>
      <w:r>
        <w:t>5.3 Integrated Interpretation and Contribution</w:t>
      </w:r>
      <w:r>
        <w:tab/>
        <w:t>68</w:t>
      </w:r>
    </w:p>
    <w:p>
      <w:pPr>
        <w:pStyle w:val="TOC1"/>
        <w:tabs>
          <w:tab w:pos="8856" w:val="right" w:leader="dot"/>
        </w:tabs>
      </w:pPr>
      <w:r>
        <w:t>5.4 Implications for Climate Adaptation and Municipal Planning</w:t>
      </w:r>
      <w:r>
        <w:tab/>
        <w:t>69</w:t>
      </w:r>
    </w:p>
    <w:p>
      <w:pPr>
        <w:pStyle w:val="TOC1"/>
        <w:tabs>
          <w:tab w:pos="8856" w:val="right" w:leader="dot"/>
        </w:tabs>
      </w:pPr>
      <w:r>
        <w:t>5.5 Methodological Strengths</w:t>
      </w:r>
      <w:r>
        <w:tab/>
        <w:t>70</w:t>
      </w:r>
    </w:p>
    <w:p>
      <w:pPr>
        <w:pStyle w:val="TOC1"/>
        <w:tabs>
          <w:tab w:pos="8856" w:val="right" w:leader="dot"/>
        </w:tabs>
      </w:pPr>
      <w:r>
        <w:t>5.6 Limitations</w:t>
      </w:r>
      <w:r>
        <w:tab/>
        <w:t>71</w:t>
      </w:r>
    </w:p>
    <w:p>
      <w:pPr>
        <w:pStyle w:val="TOC1"/>
        <w:tabs>
          <w:tab w:pos="8856" w:val="right" w:leader="dot"/>
        </w:tabs>
      </w:pPr>
      <w:r>
        <w:t>5.7 Recommendations</w:t>
      </w:r>
      <w:r>
        <w:tab/>
        <w:t>73</w:t>
      </w:r>
    </w:p>
    <w:p>
      <w:pPr>
        <w:pStyle w:val="TOC2"/>
        <w:tabs>
          <w:tab w:pos="8856" w:val="right" w:leader="dot"/>
        </w:tabs>
      </w:pPr>
      <w:r>
        <w:t>5.7.1 Recommendations for Practice</w:t>
      </w:r>
      <w:r>
        <w:tab/>
        <w:t>73</w:t>
      </w:r>
    </w:p>
    <w:p>
      <w:pPr>
        <w:pStyle w:val="TOC2"/>
        <w:tabs>
          <w:tab w:pos="8856" w:val="right" w:leader="dot"/>
        </w:tabs>
      </w:pPr>
      <w:r>
        <w:t>5.7.2 Recommendations for Further Research</w:t>
      </w:r>
      <w:r>
        <w:tab/>
        <w:t>73</w:t>
      </w:r>
    </w:p>
    <w:p>
      <w:pPr>
        <w:pStyle w:val="TOC1"/>
        <w:tabs>
          <w:tab w:pos="8856" w:val="right" w:leader="dot"/>
        </w:tabs>
      </w:pPr>
      <w:r>
        <w:t>5.8 Conclusion</w:t>
      </w:r>
      <w:r>
        <w:tab/>
        <w:t>74</w:t>
      </w:r>
    </w:p>
    <w:p>
      <w:pPr>
        <w:pStyle w:val="TOC1"/>
        <w:tabs>
          <w:tab w:pos="8856" w:val="right" w:leader="dot"/>
        </w:tabs>
      </w:pPr>
      <w:r>
        <w:t>References</w:t>
      </w:r>
      <w:r>
        <w:tab/>
        <w:t>75</w:t>
      </w:r>
      <w:r>
        <w:fldChar w:fldCharType="end"/>
      </w:r>
    </w:p>
    <w:p>
      <w:r>
        <w:br w:type="page"/>
      </w:r>
    </w:p>
    <w:p>
      <w:pPr>
        <w:pStyle w:val="Heading1"/>
        <w:keepNext/>
      </w:pPr>
      <w:bookmarkStart w:id="702" w:name="list_tables"/>
      <w:r>
        <w:t>List of Tables</w:t>
      </w:r>
      <w:bookmarkEnd w:id="702"/>
    </w:p>
    <w:p>
      <w:pPr>
        <w:pStyle w:val="TOC1"/>
        <w:tabs>
          <w:tab w:pos="8856" w:val="right" w:leader="dot"/>
        </w:tabs>
      </w:pPr>
      <w:r>
        <w:t>Table 1.1  Research questions and analytical purpose</w:t>
      </w:r>
      <w:r>
        <w:tab/>
        <w:t>5</w:t>
      </w:r>
    </w:p>
    <w:p>
      <w:pPr>
        <w:pStyle w:val="TOC1"/>
        <w:tabs>
          <w:tab w:pos="8856" w:val="right" w:leader="dot"/>
        </w:tabs>
      </w:pPr>
      <w:r>
        <w:t>Table 1.2  Conceptual-to-analytical pathway</w:t>
      </w:r>
      <w:r>
        <w:tab/>
        <w:t>6</w:t>
      </w:r>
    </w:p>
    <w:p>
      <w:pPr>
        <w:pStyle w:val="TOC1"/>
        <w:tabs>
          <w:tab w:pos="8856" w:val="right" w:leader="dot"/>
        </w:tabs>
      </w:pPr>
      <w:r>
        <w:t>Table 1.3  Scope of the study</w:t>
      </w:r>
      <w:r>
        <w:tab/>
        <w:t>7</w:t>
      </w:r>
    </w:p>
    <w:p>
      <w:pPr>
        <w:pStyle w:val="TOC1"/>
        <w:tabs>
          <w:tab w:pos="8856" w:val="right" w:leader="dot"/>
        </w:tabs>
      </w:pPr>
      <w:r>
        <w:t>Table 1.4  Operational definitions of key terms</w:t>
      </w:r>
      <w:r>
        <w:tab/>
        <w:t>8</w:t>
      </w:r>
    </w:p>
    <w:p>
      <w:pPr>
        <w:pStyle w:val="TOC1"/>
        <w:tabs>
          <w:tab w:pos="8856" w:val="right" w:leader="dot"/>
        </w:tabs>
      </w:pPr>
      <w:r>
        <w:t>Table 2.1  Core concepts and implications for this study</w:t>
      </w:r>
      <w:r>
        <w:tab/>
        <w:t>13</w:t>
      </w:r>
    </w:p>
    <w:p>
      <w:pPr>
        <w:pStyle w:val="TOC1"/>
        <w:tabs>
          <w:tab w:pos="8856" w:val="right" w:leader="dot"/>
        </w:tabs>
      </w:pPr>
      <w:r>
        <w:t>Table 2.2  Environmental domains and expected analytical relationships</w:t>
      </w:r>
      <w:r>
        <w:tab/>
        <w:t>17</w:t>
      </w:r>
    </w:p>
    <w:p>
      <w:pPr>
        <w:pStyle w:val="TOC1"/>
        <w:tabs>
          <w:tab w:pos="8856" w:val="right" w:leader="dot"/>
        </w:tabs>
      </w:pPr>
      <w:r>
        <w:t>Table 2.3  Methodological literature and application in this study</w:t>
      </w:r>
      <w:r>
        <w:tab/>
        <w:t>20</w:t>
      </w:r>
    </w:p>
    <w:p>
      <w:pPr>
        <w:pStyle w:val="TOC1"/>
        <w:tabs>
          <w:tab w:pos="8856" w:val="right" w:leader="dot"/>
        </w:tabs>
      </w:pPr>
      <w:r>
        <w:t>Table 2.4  Selected evidence and relevance to the thesis</w:t>
      </w:r>
      <w:r>
        <w:tab/>
        <w:t>22</w:t>
      </w:r>
    </w:p>
    <w:p>
      <w:pPr>
        <w:pStyle w:val="TOC1"/>
        <w:tabs>
          <w:tab w:pos="8856" w:val="right" w:leader="dot"/>
        </w:tabs>
      </w:pPr>
      <w:r>
        <w:t>Table 2.5  Research gaps and study response</w:t>
      </w:r>
      <w:r>
        <w:tab/>
        <w:t>24</w:t>
      </w:r>
    </w:p>
    <w:p>
      <w:pPr>
        <w:pStyle w:val="TOC1"/>
        <w:tabs>
          <w:tab w:pos="8856" w:val="right" w:leader="dot"/>
        </w:tabs>
      </w:pPr>
      <w:r>
        <w:t>Table 3.1  Research questions and corresponding methods</w:t>
      </w:r>
      <w:r>
        <w:tab/>
        <w:t>27</w:t>
      </w:r>
    </w:p>
    <w:p>
      <w:pPr>
        <w:pStyle w:val="TOC1"/>
        <w:tabs>
          <w:tab w:pos="8856" w:val="right" w:leader="dot"/>
        </w:tabs>
      </w:pPr>
      <w:r>
        <w:t>Table 3.2  Operational definitions</w:t>
      </w:r>
      <w:r>
        <w:tab/>
        <w:t>28</w:t>
      </w:r>
    </w:p>
    <w:p>
      <w:pPr>
        <w:pStyle w:val="TOC1"/>
        <w:tabs>
          <w:tab w:pos="8856" w:val="right" w:leader="dot"/>
        </w:tabs>
      </w:pPr>
      <w:r>
        <w:t>Table 3.3  Diagnostics and responses</w:t>
      </w:r>
      <w:r>
        <w:tab/>
        <w:t>35</w:t>
      </w:r>
    </w:p>
    <w:p>
      <w:pPr>
        <w:pStyle w:val="TOC1"/>
        <w:tabs>
          <w:tab w:pos="8856" w:val="right" w:leader="dot"/>
        </w:tabs>
      </w:pPr>
      <w:r>
        <w:t>Table 3.4  Reproducibility settings</w:t>
      </w:r>
      <w:r>
        <w:tab/>
        <w:t>38</w:t>
      </w:r>
    </w:p>
    <w:p>
      <w:pPr>
        <w:pStyle w:val="TOC1"/>
        <w:tabs>
          <w:tab w:pos="8856" w:val="right" w:leader="dot"/>
        </w:tabs>
      </w:pPr>
      <w:r>
        <w:t>Table 4.1  Data quality and analytical sample</w:t>
      </w:r>
      <w:r>
        <w:tab/>
        <w:t>40</w:t>
      </w:r>
    </w:p>
    <w:p>
      <w:pPr>
        <w:pStyle w:val="TOC1"/>
        <w:tabs>
          <w:tab w:pos="8856" w:val="right" w:leader="dot"/>
        </w:tabs>
      </w:pPr>
      <w:r>
        <w:t>Table 4.2  Descriptive statistics for the environmental indicators</w:t>
      </w:r>
      <w:r>
        <w:tab/>
        <w:t>41</w:t>
      </w:r>
    </w:p>
    <w:p>
      <w:pPr>
        <w:pStyle w:val="TOC1"/>
        <w:tabs>
          <w:tab w:pos="8856" w:val="right" w:leader="dot"/>
        </w:tabs>
      </w:pPr>
      <w:r>
        <w:t>Table 4.3  Pearson correlation matrix for the environmental indicators</w:t>
      </w:r>
      <w:r>
        <w:tab/>
        <w:t>42</w:t>
      </w:r>
    </w:p>
    <w:p>
      <w:pPr>
        <w:pStyle w:val="TOC1"/>
        <w:tabs>
          <w:tab w:pos="8856" w:val="right" w:leader="dot"/>
        </w:tabs>
      </w:pPr>
      <w:r>
        <w:t>Table 4.4  PCA eigenvalues, explained variance, and parallel-analysis decision</w:t>
      </w:r>
      <w:r>
        <w:tab/>
        <w:t>44</w:t>
      </w:r>
    </w:p>
    <w:p>
      <w:pPr>
        <w:pStyle w:val="TOC1"/>
        <w:tabs>
          <w:tab w:pos="8856" w:val="right" w:leader="dot"/>
        </w:tabs>
      </w:pPr>
      <w:r>
        <w:t>Table 4.5  Loadings for the retained principal components</w:t>
      </w:r>
      <w:r>
        <w:tab/>
        <w:t>45</w:t>
      </w:r>
    </w:p>
    <w:p>
      <w:pPr>
        <w:pStyle w:val="TOC1"/>
        <w:tabs>
          <w:tab w:pos="8856" w:val="right" w:leader="dot"/>
        </w:tabs>
      </w:pPr>
      <w:r>
        <w:t>Table 4.6  Comparison of the two- and four-cluster solutions</w:t>
      </w:r>
      <w:r>
        <w:tab/>
        <w:t>46</w:t>
      </w:r>
    </w:p>
    <w:p>
      <w:pPr>
        <w:pStyle w:val="TOC1"/>
        <w:tabs>
          <w:tab w:pos="8856" w:val="right" w:leader="dot"/>
        </w:tabs>
      </w:pPr>
      <w:r>
        <w:t>Table 4.7  Characteristics of the four-cluster solution in original units</w:t>
      </w:r>
      <w:r>
        <w:tab/>
        <w:t>48</w:t>
      </w:r>
    </w:p>
    <w:p>
      <w:pPr>
        <w:pStyle w:val="TOC1"/>
        <w:tabs>
          <w:tab w:pos="8856" w:val="right" w:leader="dot"/>
        </w:tabs>
      </w:pPr>
      <w:r>
        <w:t>Table 4.8  Bootstrap stability of the four-cluster solution</w:t>
      </w:r>
      <w:r>
        <w:tab/>
        <w:t>51</w:t>
      </w:r>
    </w:p>
    <w:p>
      <w:pPr>
        <w:pStyle w:val="TOC1"/>
        <w:tabs>
          <w:tab w:pos="8856" w:val="right" w:leader="dot"/>
        </w:tabs>
      </w:pPr>
      <w:r>
        <w:t>Table 4.9  Fit statistics for the heat-exposure regression model</w:t>
      </w:r>
      <w:r>
        <w:tab/>
        <w:t>52</w:t>
      </w:r>
    </w:p>
    <w:p>
      <w:pPr>
        <w:pStyle w:val="TOC1"/>
        <w:tabs>
          <w:tab w:pos="8856" w:val="right" w:leader="dot"/>
        </w:tabs>
      </w:pPr>
      <w:r>
        <w:t>Table 4.10  HC3-robust coefficients for municipal heat exposure</w:t>
      </w:r>
      <w:r>
        <w:tab/>
        <w:t>52</w:t>
      </w:r>
    </w:p>
    <w:p>
      <w:pPr>
        <w:pStyle w:val="TOC1"/>
        <w:tabs>
          <w:tab w:pos="8856" w:val="right" w:leader="dot"/>
        </w:tabs>
      </w:pPr>
      <w:r>
        <w:t>Table 4.11  Regression diagnostic tests</w:t>
      </w:r>
      <w:r>
        <w:tab/>
        <w:t>54</w:t>
      </w:r>
    </w:p>
    <w:p>
      <w:pPr>
        <w:pStyle w:val="TOC1"/>
        <w:tabs>
          <w:tab w:pos="8856" w:val="right" w:leader="dot"/>
        </w:tabs>
      </w:pPr>
      <w:r>
        <w:t>Table 4.12  Coefficient sensitivity after excluding influential observations</w:t>
      </w:r>
      <w:r>
        <w:tab/>
        <w:t>56</w:t>
      </w:r>
    </w:p>
    <w:p>
      <w:pPr>
        <w:pStyle w:val="TOC1"/>
        <w:tabs>
          <w:tab w:pos="8856" w:val="right" w:leader="dot"/>
        </w:tabs>
      </w:pPr>
      <w:r>
        <w:t>Table 4.13  Spatial-neighbour structure and residual Moran's I</w:t>
      </w:r>
      <w:r>
        <w:tab/>
        <w:t>57</w:t>
      </w:r>
    </w:p>
    <w:p>
      <w:pPr>
        <w:pStyle w:val="TOC1"/>
        <w:tabs>
          <w:tab w:pos="8856" w:val="right" w:leader="dot"/>
        </w:tabs>
      </w:pPr>
      <w:r>
        <w:t>Table 4.14  Comparison of non-spatial and spatial regression models</w:t>
      </w:r>
      <w:r>
        <w:tab/>
        <w:t>57</w:t>
      </w:r>
    </w:p>
    <w:p>
      <w:pPr>
        <w:pStyle w:val="TOC1"/>
        <w:tabs>
          <w:tab w:pos="8856" w:val="right" w:leader="dot"/>
        </w:tabs>
      </w:pPr>
      <w:r>
        <w:t>Table 4.15  Spatial-error model for municipal heat exposure</w:t>
      </w:r>
      <w:r>
        <w:tab/>
        <w:t>58</w:t>
      </w:r>
    </w:p>
    <w:p>
      <w:pPr>
        <w:pStyle w:val="TOC1"/>
        <w:tabs>
          <w:tab w:pos="8856" w:val="right" w:leader="dot"/>
        </w:tabs>
      </w:pPr>
      <w:r>
        <w:t>Table 4.16  Sensitivity of the spatial-error model to the weights definition</w:t>
      </w:r>
      <w:r>
        <w:tab/>
        <w:t>60</w:t>
      </w:r>
    </w:p>
    <w:p>
      <w:pPr>
        <w:pStyle w:val="TOC1"/>
        <w:tabs>
          <w:tab w:pos="8856" w:val="right" w:leader="dot"/>
        </w:tabs>
      </w:pPr>
      <w:r>
        <w:t>Table 5.1  Summary of answers to the research questions</w:t>
      </w:r>
      <w:r>
        <w:tab/>
        <w:t>62</w:t>
      </w:r>
    </w:p>
    <w:p>
      <w:pPr>
        <w:pStyle w:val="TOC1"/>
        <w:tabs>
          <w:tab w:pos="8856" w:val="right" w:leader="dot"/>
        </w:tabs>
      </w:pPr>
      <w:r>
        <w:t>Table 5.2  Profile-specific implications for further assessment</w:t>
      </w:r>
      <w:r>
        <w:tab/>
        <w:t>69</w:t>
      </w:r>
    </w:p>
    <w:p>
      <w:pPr>
        <w:pStyle w:val="TOC1"/>
        <w:tabs>
          <w:tab w:pos="8856" w:val="right" w:leader="dot"/>
        </w:tabs>
      </w:pPr>
      <w:r>
        <w:t>Table 5.3  Study limitations and interpretive consequences</w:t>
      </w:r>
      <w:r>
        <w:tab/>
        <w:t>71</w:t>
      </w:r>
    </w:p>
    <w:p>
      <w:r>
        <w:br w:type="page"/>
      </w:r>
    </w:p>
    <w:p>
      <w:pPr>
        <w:pStyle w:val="Heading1"/>
        <w:keepNext/>
      </w:pPr>
      <w:bookmarkStart w:id="703" w:name="list_figures"/>
      <w:r>
        <w:t>List of Figures</w:t>
      </w:r>
      <w:bookmarkEnd w:id="703"/>
    </w:p>
    <w:p>
      <w:pPr>
        <w:pStyle w:val="TOC1"/>
        <w:tabs>
          <w:tab w:pos="8856" w:val="right" w:leader="dot"/>
        </w:tabs>
      </w:pPr>
      <w:r>
        <w:t>Figure 2.1  Conceptual and analytical framework</w:t>
      </w:r>
      <w:r>
        <w:tab/>
        <w:t>24</w:t>
      </w:r>
    </w:p>
    <w:p>
      <w:pPr>
        <w:pStyle w:val="TOC1"/>
        <w:tabs>
          <w:tab w:pos="8856" w:val="right" w:leader="dot"/>
        </w:tabs>
      </w:pPr>
      <w:r>
        <w:t>Figure 4.1  Correlations among municipal environmental indicators (N = 337).</w:t>
      </w:r>
      <w:r>
        <w:tab/>
        <w:t>42</w:t>
      </w:r>
    </w:p>
    <w:p>
      <w:pPr>
        <w:pStyle w:val="TOC1"/>
        <w:tabs>
          <w:tab w:pos="8856" w:val="right" w:leader="dot"/>
        </w:tabs>
      </w:pPr>
      <w:r>
        <w:t>Figure 4.2  Parallel analysis for PCA component retention.</w:t>
      </w:r>
      <w:r>
        <w:tab/>
        <w:t>44</w:t>
      </w:r>
    </w:p>
    <w:p>
      <w:pPr>
        <w:pStyle w:val="TOC1"/>
        <w:tabs>
          <w:tab w:pos="8856" w:val="right" w:leader="dot"/>
        </w:tabs>
      </w:pPr>
      <w:r>
        <w:t>Figure 4.3  Indicator loadings on the first two principal components.</w:t>
      </w:r>
      <w:r>
        <w:tab/>
        <w:t>45</w:t>
      </w:r>
    </w:p>
    <w:p>
      <w:pPr>
        <w:pStyle w:val="TOC1"/>
        <w:tabs>
          <w:tab w:pos="8856" w:val="right" w:leader="dot"/>
        </w:tabs>
      </w:pPr>
      <w:r>
        <w:t>Figure 4.4  Elbow diagnostic for two to ten clusters.</w:t>
      </w:r>
      <w:r>
        <w:tab/>
        <w:t>47</w:t>
      </w:r>
    </w:p>
    <w:p>
      <w:pPr>
        <w:pStyle w:val="TOC1"/>
        <w:tabs>
          <w:tab w:pos="8856" w:val="right" w:leader="dot"/>
        </w:tabs>
      </w:pPr>
      <w:r>
        <w:t>Figure 4.5  Average silhouette width for two to ten clusters.</w:t>
      </w:r>
      <w:r>
        <w:tab/>
        <w:t>47</w:t>
      </w:r>
    </w:p>
    <w:p>
      <w:pPr>
        <w:pStyle w:val="TOC1"/>
        <w:tabs>
          <w:tab w:pos="8856" w:val="right" w:leader="dot"/>
        </w:tabs>
      </w:pPr>
      <w:r>
        <w:t>Figure 4.6  Standardized environmental profiles of the four municipality clusters.</w:t>
      </w:r>
      <w:r>
        <w:tab/>
        <w:t>49</w:t>
      </w:r>
    </w:p>
    <w:p>
      <w:pPr>
        <w:pStyle w:val="TOC1"/>
        <w:tabs>
          <w:tab w:pos="8856" w:val="right" w:leader="dot"/>
        </w:tabs>
      </w:pPr>
      <w:r>
        <w:t>Figure 4.7  Geographic distribution of the four environmental-profile clusters.</w:t>
      </w:r>
      <w:r>
        <w:tab/>
        <w:t>50</w:t>
      </w:r>
    </w:p>
    <w:p>
      <w:pPr>
        <w:pStyle w:val="TOC1"/>
        <w:tabs>
          <w:tab w:pos="8856" w:val="right" w:leader="dot"/>
        </w:tabs>
      </w:pPr>
      <w:r>
        <w:t>Figure 4.8  Bootstrap stability of the four-cluster solution.</w:t>
      </w:r>
      <w:r>
        <w:tab/>
        <w:t>51</w:t>
      </w:r>
    </w:p>
    <w:p>
      <w:pPr>
        <w:pStyle w:val="TOC1"/>
        <w:tabs>
          <w:tab w:pos="8856" w:val="right" w:leader="dot"/>
        </w:tabs>
      </w:pPr>
      <w:r>
        <w:t>Figure 4.9  HC3-robust adjusted associations with municipal heat exposure.</w:t>
      </w:r>
      <w:r>
        <w:tab/>
        <w:t>53</w:t>
      </w:r>
    </w:p>
    <w:p>
      <w:pPr>
        <w:pStyle w:val="TOC1"/>
        <w:tabs>
          <w:tab w:pos="8856" w:val="right" w:leader="dot"/>
        </w:tabs>
      </w:pPr>
      <w:r>
        <w:t>Figure 4.10  Residuals versus fitted values for the OLS model.</w:t>
      </w:r>
      <w:r>
        <w:tab/>
        <w:t>54</w:t>
      </w:r>
    </w:p>
    <w:p>
      <w:pPr>
        <w:pStyle w:val="TOC1"/>
        <w:tabs>
          <w:tab w:pos="8856" w:val="right" w:leader="dot"/>
        </w:tabs>
      </w:pPr>
      <w:r>
        <w:t>Figure 4.11  Normal Q-Q plot of OLS residuals.</w:t>
      </w:r>
      <w:r>
        <w:tab/>
        <w:t>55</w:t>
      </w:r>
    </w:p>
    <w:p>
      <w:pPr>
        <w:pStyle w:val="TOC1"/>
        <w:tabs>
          <w:tab w:pos="8856" w:val="right" w:leader="dot"/>
        </w:tabs>
      </w:pPr>
      <w:r>
        <w:t>Figure 4.12  Cook's distances for the OLS model.</w:t>
      </w:r>
      <w:r>
        <w:tab/>
        <w:t>55</w:t>
      </w:r>
    </w:p>
    <w:p>
      <w:pPr>
        <w:pStyle w:val="TOC1"/>
        <w:tabs>
          <w:tab w:pos="8856" w:val="right" w:leader="dot"/>
        </w:tabs>
      </w:pPr>
      <w:r>
        <w:t>Figure 4.13  Coefficients and 95% confidence intervals from the spatial-error model.</w:t>
      </w:r>
      <w:r>
        <w:tab/>
        <w:t>59</w:t>
      </w:r>
    </w:p>
    <w:p>
      <w:pPr>
        <w:pStyle w:val="TOC1"/>
        <w:tabs>
          <w:tab w:pos="8856" w:val="right" w:leader="dot"/>
        </w:tabs>
      </w:pPr>
      <w:r>
        <w:t>Figure 4.14  Geographic distribution of residuals from the spatial-error model.</w:t>
      </w:r>
      <w:r>
        <w:tab/>
        <w:t>60</w:t>
      </w:r>
    </w:p>
    <w:p>
      <w:r>
        <w:br w:type="page"/>
      </w:r>
    </w:p>
    <w:p>
      <w:pPr>
        <w:pStyle w:val="Heading1"/>
        <w:keepNext/>
      </w:pPr>
      <w:bookmarkStart w:id="704" w:name="abbreviations"/>
      <w:r>
        <w:t>List of Abbreviations</w:t>
      </w:r>
      <w:bookmarkEnd w:id="704"/>
    </w:p>
    <w:p>
      <w:pPr>
        <w:ind w:left="360" w:hanging="360"/>
      </w:pPr>
      <w:r>
        <w:rPr>
          <w:b/>
        </w:rPr>
        <w:t xml:space="preserve">AIC   </w:t>
      </w:r>
      <w:r>
        <w:t>Akaike information criterion</w:t>
      </w:r>
    </w:p>
    <w:p>
      <w:pPr>
        <w:ind w:left="360" w:hanging="360"/>
      </w:pPr>
      <w:r>
        <w:rPr>
          <w:b/>
        </w:rPr>
        <w:t xml:space="preserve">AHN   </w:t>
      </w:r>
      <w:r>
        <w:t>Actueel Hoogtebestand Nederland</w:t>
      </w:r>
    </w:p>
    <w:p>
      <w:pPr>
        <w:ind w:left="360" w:hanging="360"/>
      </w:pPr>
      <w:r>
        <w:rPr>
          <w:b/>
        </w:rPr>
        <w:t xml:space="preserve">BP   </w:t>
      </w:r>
      <w:r>
        <w:t>Breusch Pagan test</w:t>
      </w:r>
    </w:p>
    <w:p>
      <w:pPr>
        <w:ind w:left="360" w:hanging="360"/>
      </w:pPr>
      <w:r>
        <w:rPr>
          <w:b/>
        </w:rPr>
        <w:t xml:space="preserve">CI   </w:t>
      </w:r>
      <w:r>
        <w:t>confidence interval</w:t>
      </w:r>
    </w:p>
    <w:p>
      <w:pPr>
        <w:ind w:left="360" w:hanging="360"/>
      </w:pPr>
      <w:r>
        <w:rPr>
          <w:b/>
        </w:rPr>
        <w:t xml:space="preserve">CRS   </w:t>
      </w:r>
      <w:r>
        <w:t>coordinate reference system</w:t>
      </w:r>
    </w:p>
    <w:p>
      <w:pPr>
        <w:ind w:left="360" w:hanging="360"/>
      </w:pPr>
      <w:r>
        <w:rPr>
          <w:b/>
        </w:rPr>
        <w:t xml:space="preserve">HC3   </w:t>
      </w:r>
      <w:r>
        <w:t>heteroskedasticity consistent covariance estimator type 3</w:t>
      </w:r>
    </w:p>
    <w:p>
      <w:pPr>
        <w:ind w:left="360" w:hanging="360"/>
      </w:pPr>
      <w:r>
        <w:rPr>
          <w:b/>
        </w:rPr>
        <w:t xml:space="preserve">IPCC   </w:t>
      </w:r>
      <w:r>
        <w:t>Intergovernmental Panel on Climate Change</w:t>
      </w:r>
    </w:p>
    <w:p>
      <w:pPr>
        <w:ind w:left="360" w:hanging="360"/>
      </w:pPr>
      <w:r>
        <w:rPr>
          <w:b/>
        </w:rPr>
        <w:t xml:space="preserve">KNN   </w:t>
      </w:r>
      <w:r>
        <w:t>k nearest neighbours</w:t>
      </w:r>
    </w:p>
    <w:p>
      <w:pPr>
        <w:ind w:left="360" w:hanging="360"/>
      </w:pPr>
      <w:r>
        <w:rPr>
          <w:b/>
        </w:rPr>
        <w:t xml:space="preserve">OLS   </w:t>
      </w:r>
      <w:r>
        <w:t>ordinary least squares</w:t>
      </w:r>
    </w:p>
    <w:p>
      <w:pPr>
        <w:ind w:left="360" w:hanging="360"/>
      </w:pPr>
      <w:r>
        <w:rPr>
          <w:b/>
        </w:rPr>
        <w:t xml:space="preserve">PC   </w:t>
      </w:r>
      <w:r>
        <w:t>principal component</w:t>
      </w:r>
    </w:p>
    <w:p>
      <w:pPr>
        <w:ind w:left="360" w:hanging="360"/>
      </w:pPr>
      <w:r>
        <w:rPr>
          <w:b/>
        </w:rPr>
        <w:t xml:space="preserve">PCA   </w:t>
      </w:r>
      <w:r>
        <w:t>principal component analysis</w:t>
      </w:r>
    </w:p>
    <w:p>
      <w:pPr>
        <w:ind w:left="360" w:hanging="360"/>
      </w:pPr>
      <w:r>
        <w:rPr>
          <w:b/>
        </w:rPr>
        <w:t xml:space="preserve">RQ   </w:t>
      </w:r>
      <w:r>
        <w:t>research question</w:t>
      </w:r>
    </w:p>
    <w:p>
      <w:pPr>
        <w:ind w:left="360" w:hanging="360"/>
      </w:pPr>
      <w:r>
        <w:rPr>
          <w:b/>
        </w:rPr>
        <w:t xml:space="preserve">SD   </w:t>
      </w:r>
      <w:r>
        <w:t>standard deviation</w:t>
      </w:r>
    </w:p>
    <w:p>
      <w:pPr>
        <w:ind w:left="360" w:hanging="360"/>
      </w:pPr>
      <w:r>
        <w:rPr>
          <w:b/>
        </w:rPr>
        <w:t xml:space="preserve">VIF   </w:t>
      </w:r>
      <w:r>
        <w:t>variance inflation factor</w:t>
      </w:r>
    </w:p>
    <w:p>
      <w:pPr>
        <w:sectPr>
          <w:footerReference w:type="default" r:id="rId9"/>
          <w:headerReference w:type="default" r:id="rId10"/>
          <w:pgSz w:w="12240" w:h="15840"/>
          <w:pgMar w:top="1152" w:right="1440" w:bottom="1080" w:left="1440" w:header="720" w:footer="720" w:gutter="0"/>
          <w:cols w:space="720"/>
          <w:titlePg/>
          <w:docGrid w:linePitch="360"/>
          <w:pgNumType w:fmt="lowerRoman" w:start="1"/>
        </w:sectPr>
      </w:pPr>
    </w:p>
    <w:p>
      <w:pPr>
        <w:pStyle w:val="Heading1"/>
        <w:keepNext/>
        <w:pageBreakBefore/>
      </w:pPr>
      <w:r>
        <w:t>1 Introduction</w:t>
      </w:r>
    </w:p>
    <w:p>
      <w:pPr>
        <w:widowControl/>
      </w:pPr>
      <w:r>
        <w:t>Climate change is intensifying risks to human settlements through heat, drought, flooding, and extreme precipitation. These risks are not evenly distributed: their consequences depend on where hazards occur, which people and assets are exposed, and the capacity of institutions and communities to anticipate, cope with, and adapt to them. The Intergovernmental Panel on Climate Change therefore treats climate risk as an interaction among climatic hazards, exposure, and vulnerability, while the European Climate Risk Assessment emphasises that many European risks are already critical and may become severe without additional action (IPCC, 2022; European Environment Agency, 2024).</w:t>
      </w:r>
    </w:p>
    <w:p>
      <w:pPr>
        <w:widowControl/>
      </w:pPr>
      <w:r>
        <w:t>The Netherlands is particularly relevant to this debate. Its low-lying deltaic setting, dense settlement pattern, extensive infrastructure, and highly modified water system create overlapping concerns involving pluvial and fluvial flooding, drought, heat stress, and ecosystem pressure. KNMI's national climate scenarios project continued warming, sea-level rise, wetter winters, drier summers in some scenarios, and more intense precipitation extremes, although the magnitude differs by emissions pathway and circulation response (van Dorland et al., 2023). National adaptation policy consequently combines flood-risk management, freshwater security, spatial adaptation, and climate-resilient development (Climate Adaptation Platform Netherlands, 2026; Delta Programme, 2026).</w:t>
      </w:r>
    </w:p>
    <w:p>
      <w:pPr>
        <w:widowControl/>
      </w:pPr>
      <w:r>
        <w:t>National averages, however, can conceal important local variation. Municipalities differ in land cover, urban form, soil and groundwater conditions, settlement density, and exposure to water-related hazards. Environmental pressures also interact. Limited tree canopy may coincide with high heat exposure; drought-prone areas may face different water-management problems from flood-prone areas; and municipalities with similar average risk levels may have very different combinations of hazards. A multivariate and spatial perspective is therefore necessary to understand not only the level of each indicator, but also the structures, profiles, and geographic dependencies that connect them.</w:t>
      </w:r>
    </w:p>
    <w:p>
      <w:pPr>
        <w:widowControl/>
      </w:pPr>
      <w:r>
        <w:t>This study examines five municipality-level indicators derived from the Dutch Climate Impact Atlas Buurtdashboard: tree-canopy cover, drought depth, heat exposure, flood exposure, and heavy-rain exposure. It combines descriptive analysis, principal component analysis, cluster analysis, regression, and spatial econometric modelling in R. The resulting framework moves from measurement and pattern identification to adjusted association and spatial-dependence assessment, while maintaining a common analytical sample of 337 municipalities.</w:t>
      </w:r>
    </w:p>
    <w:p>
      <w:pPr>
        <w:pStyle w:val="Heading2"/>
        <w:keepNext/>
      </w:pPr>
      <w:r>
        <w:t>1.1 Background to the Study</w:t>
      </w:r>
    </w:p>
    <w:p>
      <w:pPr>
        <w:widowControl/>
      </w:pPr>
      <w:r>
        <w:t>Climate vulnerability is multidimensional. Hazard indicators describe potentially damaging physical events or conditions; exposure indicates the presence of people, livelihoods, ecosystems, infrastructure, or assets in places that could be adversely affected; and vulnerability concerns the propensity or predisposition to be harmed. Adaptive capacity can reduce adverse consequences but is shaped by institutions, resources, infrastructure, knowledge, and social conditions. These concepts are analytically related but not interchangeable, which means that an environmental indicator study must state clearly what it measures and avoid presenting physical exposure alone as a complete measure of social vulnerability (IPCC, 2022).</w:t>
      </w:r>
    </w:p>
    <w:p>
      <w:pPr>
        <w:widowControl/>
      </w:pPr>
      <w:r>
        <w:t>Heat is an increasingly important concern in Dutch urban and peri-urban environments. Monitoring in the Rotterdam agglomeration has demonstrated substantial temporal and spatial variation in urban heat-island intensity and thermal comfort, while research in Amsterdam has shown that local tree volume can reduce nocturnal urban heat. A review of Dutch heatwave research similarly concludes that built-environment characteristics and scale influence the identification of heat vulnerability (van Hove et al., 2015; Rafiee et al., 2016; Ahmed et al., 2023). More recent high-resolution datasets extend the ability to assess urban heat vulnerability across urbanised municipalities, but their heat-specific and fine-resolution focus does not by itself explain how heat co-varies with other municipal environmental pressures (Habib et al., 2025).</w:t>
      </w:r>
    </w:p>
    <w:p>
      <w:pPr>
        <w:widowControl/>
      </w:pPr>
      <w:r>
        <w:t>Water-related hazards are also spatially differentiated. Intense rainfall can overwhelm local drainage and create pluvial inundation, whereas river or coastal flooding may generate deeper water exposure over broader areas. Drought is not simply the absence of rainfall: its local expression depends on soil, groundwater, land use, evapotranspiration, water demand, and management. In the Dutch context, these processes are addressed through integrated climate adaptation and the Delta Programme, but practical decisions remain distributed across national, regional, municipal, and water-board institutions (Climate Adaptation Platform Netherlands, 2026; Delta Programme, 2026).</w:t>
      </w:r>
    </w:p>
    <w:p>
      <w:pPr>
        <w:widowControl/>
      </w:pPr>
      <w:r>
        <w:t>The Dutch Climate Impact Atlas supports local adaptation by making climate-effect maps and indicator information accessible for the Netherlands. Its Buurtdashboard provides neighbourhood-level environmental attributes that can be aggregated for comparative analysis. The availability of standardised source fields creates an opportunity for reproducible national-scale assessment, but the analyst must still make defensible decisions about indicator construction, aggregation, missingness, scale, and spatial relationships (Klimaateffectatlas, 2026).</w:t>
      </w:r>
    </w:p>
    <w:p>
      <w:pPr>
        <w:pStyle w:val="Heading2"/>
        <w:keepNext/>
      </w:pPr>
      <w:r>
        <w:t>1.2 Problem Statement</w:t>
      </w:r>
    </w:p>
    <w:p>
      <w:pPr>
        <w:widowControl/>
      </w:pPr>
      <w:r>
        <w:t>Municipal climate-adaptation planning requires evidence that is geographically comparable yet sensitive to local combinations of environmental pressure. Examining heat, drought, flood, heavy rain, or canopy separately can identify municipalities with high values on one measure, but it cannot reveal whether the indicators form broader dimensions or recurring environmental profiles. Separate univariate rankings may also imply that municipalities can be ordered along one vulnerability scale even when their risk combinations differ qualitatively.</w:t>
      </w:r>
    </w:p>
    <w:p>
      <w:pPr>
        <w:widowControl/>
      </w:pPr>
      <w:r>
        <w:t>A second problem is that municipalities are not statistically independent islands. Environmental conditions cross administrative borders through shared hydrological systems, connected urban regions, land-cover continuities, and neighbouring infrastructure. If geographically proximate municipalities have similar unmeasured characteristics, conventional regression residuals may be spatially autocorrelated. Ignoring that dependence can weaken inference, obscure spatial processes, and produce an incomplete account of the association between environmental predictors and heat exposure (Anselin, 1988).</w:t>
      </w:r>
    </w:p>
    <w:p>
      <w:pPr>
        <w:widowControl/>
      </w:pPr>
      <w:r>
        <w:t>A third problem concerns reproducibility and interpretation. Dashboard indicators are designed for communication and screening, whereas academic analysis requires documented transformations, consistent units, explicit treatment of missing values, justified dimension reduction and cluster selection, diagnostic testing, and preservation of computational outputs. Without this chain of evidence, attractive maps or profiles may be difficult to reproduce and easy to overinterpret. The problem addressed by this study is therefore both substantive and methodological: how to derive a coherent, auditable, and spatially informed account of municipal environmental vulnerability from multiple neighbourhood-level indicators.</w:t>
      </w:r>
    </w:p>
    <w:p>
      <w:pPr>
        <w:pStyle w:val="Heading2"/>
        <w:keepNext/>
      </w:pPr>
      <w:r>
        <w:t>1.3 Research Gap</w:t>
      </w:r>
    </w:p>
    <w:p>
      <w:pPr>
        <w:widowControl/>
      </w:pPr>
      <w:r>
        <w:t>Existing Dutch research provides strong but largely specialised evidence. Studies have examined urban heat and thermal comfort in Rotterdam, the cooling contribution of trees in Amsterdam, built-environment dimensions of heatwave vulnerability, and high-resolution urban heat datasets (van Hove et al., 2015; Rafiee et al., 2016; Ahmed et al., 2023; Habib et al., 2025). Official platforms provide extensive hazard maps and neighbourhood indicators for adaptation practice (Klimaateffectatlas, 2026). These contributions establish the importance of local scale, land cover, urban form, and accessible spatial information.</w:t>
      </w:r>
    </w:p>
    <w:p>
      <w:pPr>
        <w:widowControl/>
      </w:pPr>
      <w:r>
        <w:t>Nevertheless, the literature and official tools reviewed for this study do not provide a single reproducible municipality-level workflow that jointly integrates canopy, drought, heat, flood, and heavy-rain indicators; identifies latent dimensions; develops and validates a national municipal typology; estimates adjusted associations with heat; and explicitly compares non-spatial and spatial regression models. This is a bounded gap statement: it concerns the integration of these five indicators, this administrative scale, and this sequence of methods, rather than claiming that no multihazard or spatial study exists (Ahmed et al., 2023; Habib et al., 2025; Klimaateffectatlas, 2026; Rafiee et al., 2016; van Hove et al., 2015).</w:t>
      </w:r>
    </w:p>
    <w:p>
      <w:pPr>
        <w:widowControl/>
      </w:pPr>
      <w:r>
        <w:t>The study addresses that gap in four ways. First, it converts neighbourhood information into population-weighted municipality indicators using documented rules. Second, it combines principal component analysis with a four-cluster typology and tests cluster stability using bootstrap Jaccard similarity. Third, it estimates the conditional association of canopy, drought, flood, and heavy rain with heat exposure using robust OLS inference and influence diagnostics. Fourth, it tests residual spatial dependence and compares spatial lag and spatial error specifications under alternative spatial-weight definitions. The contribution is therefore an integrated analytical framework and an evidence-based national comparison, not a new physical climate model or a causal estimate of adaptation effects.</w:t>
      </w:r>
    </w:p>
    <w:p>
      <w:pPr>
        <w:pStyle w:val="Heading2"/>
        <w:keepNext/>
      </w:pPr>
      <w:r>
        <w:t>1.4 Research Aim</w:t>
      </w:r>
    </w:p>
    <w:p>
      <w:pPr>
        <w:widowControl/>
      </w:pPr>
      <w:r>
        <w:t>The aim of this study is to analyse the multivariate structure, municipal profiles, adjusted associations, and spatial dependence of environmental vulnerability indicators across Dutch municipalities using a reproducible R-based workflow.</w:t>
      </w:r>
    </w:p>
    <w:p>
      <w:pPr>
        <w:pStyle w:val="Heading2"/>
        <w:keepNext/>
      </w:pPr>
      <w:r>
        <w:t>1.5 Research Objectives</w:t>
      </w:r>
    </w:p>
    <w:p>
      <w:pPr>
        <w:widowControl/>
      </w:pPr>
      <w:r>
        <w:t>To achieve the aim, the study pursues the following objectives:</w:t>
      </w:r>
    </w:p>
    <w:p>
      <w:pPr>
        <w:spacing w:after="100"/>
        <w:ind w:left="432" w:hanging="432"/>
      </w:pPr>
      <w:r>
        <w:rPr>
          <w:b/>
        </w:rPr>
        <w:t xml:space="preserve">1. </w:t>
      </w:r>
      <w:r>
        <w:t>Construct and audit five comparable municipality-level environmental indicators covering canopy, drought, heat, flood, and heavy rain.</w:t>
      </w:r>
    </w:p>
    <w:p>
      <w:pPr>
        <w:spacing w:after="100"/>
        <w:ind w:left="432" w:hanging="432"/>
      </w:pPr>
      <w:r>
        <w:rPr>
          <w:b/>
        </w:rPr>
        <w:t xml:space="preserve">2. </w:t>
      </w:r>
      <w:r>
        <w:t>Describe the distributions and pairwise relationships of the five indicators across the complete analytical sample.</w:t>
      </w:r>
    </w:p>
    <w:p>
      <w:pPr>
        <w:spacing w:after="100"/>
        <w:ind w:left="432" w:hanging="432"/>
      </w:pPr>
      <w:r>
        <w:rPr>
          <w:b/>
        </w:rPr>
        <w:t xml:space="preserve">3. </w:t>
      </w:r>
      <w:r>
        <w:t>Identify the principal latent dimensions that summarise the shared variation among the indicators.</w:t>
      </w:r>
    </w:p>
    <w:p>
      <w:pPr>
        <w:spacing w:after="100"/>
        <w:ind w:left="432" w:hanging="432"/>
      </w:pPr>
      <w:r>
        <w:rPr>
          <w:b/>
        </w:rPr>
        <w:t xml:space="preserve">4. </w:t>
      </w:r>
      <w:r>
        <w:t>Develop, interpret, map, and assess the stability of a municipal environmental-profile typology.</w:t>
      </w:r>
    </w:p>
    <w:p>
      <w:pPr>
        <w:spacing w:after="100"/>
        <w:ind w:left="432" w:hanging="432"/>
      </w:pPr>
      <w:r>
        <w:rPr>
          <w:b/>
        </w:rPr>
        <w:t xml:space="preserve">5. </w:t>
      </w:r>
      <w:r>
        <w:t>Estimate the adjusted associations of canopy, drought, flood, and heavy rain with municipal heat exposure and evaluate model assumptions and influence.</w:t>
      </w:r>
    </w:p>
    <w:p>
      <w:pPr>
        <w:spacing w:after="100"/>
        <w:ind w:left="432" w:hanging="432"/>
      </w:pPr>
      <w:r>
        <w:rPr>
          <w:b/>
        </w:rPr>
        <w:t xml:space="preserve">6. </w:t>
      </w:r>
      <w:r>
        <w:t>Test whether spatial dependence affects those associations and compare conventional and spatial regression specifications.</w:t>
      </w:r>
    </w:p>
    <w:p>
      <w:pPr>
        <w:pStyle w:val="Heading2"/>
        <w:keepNext/>
      </w:pPr>
      <w:r>
        <w:t>1.6 Research Questions</w:t>
      </w:r>
    </w:p>
    <w:p>
      <w:pPr>
        <w:widowControl/>
      </w:pPr>
      <w:r>
        <w:t>The study is guided by five research questions. Their wording is identical to the questions operationalised in Chapter Three and answered in Chapters Four and Five.</w:t>
      </w:r>
    </w:p>
    <w:p>
      <w:pPr>
        <w:spacing w:before="160" w:after="80"/>
        <w:keepNext/>
      </w:pPr>
      <w:r>
        <w:rPr>
          <w:b/>
          <w:sz w:val="20"/>
        </w:rPr>
        <w:t>Table 1.1 Research questions and analytical purpose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792"/>
            <w:tcMar>
              <w:top w:w="90" w:type="dxa"/>
              <w:start w:w="90" w:type="dxa"/>
              <w:bottom w:w="90" w:type="dxa"/>
              <w:end w:w="90" w:type="dxa"/>
            </w:tcMar>
            <w:shd w:fill="17365D"/>
            <w:vAlign w:val="center"/>
          </w:tcPr>
          <w:p>
            <w:pPr>
              <w:pStyle w:val="TableText"/>
              <w:jc w:val="center"/>
              <w:keepNext/>
            </w:pPr>
            <w:r>
              <w:rPr>
                <w:b/>
                <w:color w:val="FFFFFF"/>
                <w:sz w:val="16"/>
              </w:rPr>
              <w:t>No.</w:t>
            </w:r>
          </w:p>
        </w:tc>
        <w:tc>
          <w:tcPr>
            <w:tcW w:type="dxa" w:w="5328"/>
            <w:tcMar>
              <w:top w:w="90" w:type="dxa"/>
              <w:start w:w="90" w:type="dxa"/>
              <w:bottom w:w="90" w:type="dxa"/>
              <w:end w:w="90" w:type="dxa"/>
            </w:tcMar>
            <w:shd w:fill="17365D"/>
            <w:vAlign w:val="center"/>
          </w:tcPr>
          <w:p>
            <w:pPr>
              <w:pStyle w:val="TableText"/>
              <w:jc w:val="center"/>
              <w:keepNext/>
            </w:pPr>
            <w:r>
              <w:rPr>
                <w:b/>
                <w:color w:val="FFFFFF"/>
                <w:sz w:val="16"/>
              </w:rPr>
              <w:t>Research question</w:t>
            </w:r>
          </w:p>
        </w:tc>
        <w:tc>
          <w:tcPr>
            <w:tcW w:type="dxa" w:w="2880"/>
            <w:tcMar>
              <w:top w:w="90" w:type="dxa"/>
              <w:start w:w="90" w:type="dxa"/>
              <w:bottom w:w="90" w:type="dxa"/>
              <w:end w:w="90" w:type="dxa"/>
            </w:tcMar>
            <w:shd w:fill="17365D"/>
            <w:vAlign w:val="center"/>
          </w:tcPr>
          <w:p>
            <w:pPr>
              <w:pStyle w:val="TableText"/>
              <w:jc w:val="center"/>
              <w:keepNext/>
            </w:pPr>
            <w:r>
              <w:rPr>
                <w:b/>
                <w:color w:val="FFFFFF"/>
                <w:sz w:val="16"/>
              </w:rPr>
              <w:t>Analytical purpose</w:t>
            </w:r>
          </w:p>
        </w:tc>
      </w:tr>
      <w:tr>
        <w:trPr>
          <w:cantSplit/>
        </w:trPr>
        <w:tc>
          <w:tcPr>
            <w:tcW w:type="dxa" w:w="792"/>
            <w:tcMar>
              <w:top w:w="90" w:type="dxa"/>
              <w:start w:w="90" w:type="dxa"/>
              <w:bottom w:w="90" w:type="dxa"/>
              <w:end w:w="90" w:type="dxa"/>
            </w:tcMar>
            <w:vAlign w:val="center"/>
          </w:tcPr>
          <w:p>
            <w:pPr>
              <w:pStyle w:val="TableText"/>
            </w:pPr>
            <w:r>
              <w:t>RQ1</w:t>
            </w:r>
          </w:p>
        </w:tc>
        <w:tc>
          <w:tcPr>
            <w:tcW w:type="dxa" w:w="5328"/>
            <w:tcMar>
              <w:top w:w="90" w:type="dxa"/>
              <w:start w:w="90" w:type="dxa"/>
              <w:bottom w:w="90" w:type="dxa"/>
              <w:end w:w="90" w:type="dxa"/>
            </w:tcMar>
            <w:vAlign w:val="center"/>
          </w:tcPr>
          <w:p>
            <w:pPr>
              <w:pStyle w:val="TableText"/>
            </w:pPr>
            <w:r>
              <w:t>What are the distributions and relationships among the five indicators?</w:t>
            </w:r>
          </w:p>
        </w:tc>
        <w:tc>
          <w:tcPr>
            <w:tcW w:type="dxa" w:w="2880"/>
            <w:tcMar>
              <w:top w:w="90" w:type="dxa"/>
              <w:start w:w="90" w:type="dxa"/>
              <w:bottom w:w="90" w:type="dxa"/>
              <w:end w:w="90" w:type="dxa"/>
            </w:tcMar>
            <w:vAlign w:val="center"/>
          </w:tcPr>
          <w:p>
            <w:pPr>
              <w:pStyle w:val="TableText"/>
            </w:pPr>
            <w:r>
              <w:t>Establish municipal variation, ranges, and bivariate structure.</w:t>
            </w:r>
          </w:p>
        </w:tc>
      </w:tr>
      <w:tr>
        <w:trPr>
          <w:cantSplit/>
        </w:trPr>
        <w:tc>
          <w:tcPr>
            <w:tcW w:type="dxa" w:w="792"/>
            <w:tcMar>
              <w:top w:w="90" w:type="dxa"/>
              <w:start w:w="90" w:type="dxa"/>
              <w:bottom w:w="90" w:type="dxa"/>
              <w:end w:w="90" w:type="dxa"/>
            </w:tcMar>
            <w:vAlign w:val="center"/>
            <w:shd w:fill="F2F6FA"/>
          </w:tcPr>
          <w:p>
            <w:pPr>
              <w:pStyle w:val="TableText"/>
            </w:pPr>
            <w:r>
              <w:t>RQ2</w:t>
            </w:r>
          </w:p>
        </w:tc>
        <w:tc>
          <w:tcPr>
            <w:tcW w:type="dxa" w:w="5328"/>
            <w:tcMar>
              <w:top w:w="90" w:type="dxa"/>
              <w:start w:w="90" w:type="dxa"/>
              <w:bottom w:w="90" w:type="dxa"/>
              <w:end w:w="90" w:type="dxa"/>
            </w:tcMar>
            <w:vAlign w:val="center"/>
            <w:shd w:fill="F2F6FA"/>
          </w:tcPr>
          <w:p>
            <w:pPr>
              <w:pStyle w:val="TableText"/>
            </w:pPr>
            <w:r>
              <w:t>What latent dimensions summarise the indicators?</w:t>
            </w:r>
          </w:p>
        </w:tc>
        <w:tc>
          <w:tcPr>
            <w:tcW w:type="dxa" w:w="2880"/>
            <w:tcMar>
              <w:top w:w="90" w:type="dxa"/>
              <w:start w:w="90" w:type="dxa"/>
              <w:bottom w:w="90" w:type="dxa"/>
              <w:end w:w="90" w:type="dxa"/>
            </w:tcMar>
            <w:vAlign w:val="center"/>
            <w:shd w:fill="F2F6FA"/>
          </w:tcPr>
          <w:p>
            <w:pPr>
              <w:pStyle w:val="TableText"/>
            </w:pPr>
            <w:r>
              <w:t>Reduce correlated information and interpret major axes of environmental variation.</w:t>
            </w:r>
          </w:p>
        </w:tc>
      </w:tr>
      <w:tr>
        <w:trPr>
          <w:cantSplit/>
        </w:trPr>
        <w:tc>
          <w:tcPr>
            <w:tcW w:type="dxa" w:w="792"/>
            <w:tcMar>
              <w:top w:w="90" w:type="dxa"/>
              <w:start w:w="90" w:type="dxa"/>
              <w:bottom w:w="90" w:type="dxa"/>
              <w:end w:w="90" w:type="dxa"/>
            </w:tcMar>
            <w:vAlign w:val="center"/>
          </w:tcPr>
          <w:p>
            <w:pPr>
              <w:pStyle w:val="TableText"/>
            </w:pPr>
            <w:r>
              <w:t>RQ3</w:t>
            </w:r>
          </w:p>
        </w:tc>
        <w:tc>
          <w:tcPr>
            <w:tcW w:type="dxa" w:w="5328"/>
            <w:tcMar>
              <w:top w:w="90" w:type="dxa"/>
              <w:start w:w="90" w:type="dxa"/>
              <w:bottom w:w="90" w:type="dxa"/>
              <w:end w:w="90" w:type="dxa"/>
            </w:tcMar>
            <w:vAlign w:val="center"/>
          </w:tcPr>
          <w:p>
            <w:pPr>
              <w:pStyle w:val="TableText"/>
            </w:pPr>
            <w:r>
              <w:t>Which municipal profiles emerge and how stable and geographically distributed are they?</w:t>
            </w:r>
          </w:p>
        </w:tc>
        <w:tc>
          <w:tcPr>
            <w:tcW w:type="dxa" w:w="2880"/>
            <w:tcMar>
              <w:top w:w="90" w:type="dxa"/>
              <w:start w:w="90" w:type="dxa"/>
              <w:bottom w:w="90" w:type="dxa"/>
              <w:end w:w="90" w:type="dxa"/>
            </w:tcMar>
            <w:vAlign w:val="center"/>
          </w:tcPr>
          <w:p>
            <w:pPr>
              <w:pStyle w:val="TableText"/>
            </w:pPr>
            <w:r>
              <w:t>Develop, validate, and map a municipal typology.</w:t>
            </w:r>
          </w:p>
        </w:tc>
      </w:tr>
      <w:tr>
        <w:trPr>
          <w:cantSplit/>
        </w:trPr>
        <w:tc>
          <w:tcPr>
            <w:tcW w:type="dxa" w:w="792"/>
            <w:tcMar>
              <w:top w:w="90" w:type="dxa"/>
              <w:start w:w="90" w:type="dxa"/>
              <w:bottom w:w="90" w:type="dxa"/>
              <w:end w:w="90" w:type="dxa"/>
            </w:tcMar>
            <w:vAlign w:val="center"/>
            <w:shd w:fill="F2F6FA"/>
          </w:tcPr>
          <w:p>
            <w:pPr>
              <w:pStyle w:val="TableText"/>
            </w:pPr>
            <w:r>
              <w:t>RQ4</w:t>
            </w:r>
          </w:p>
        </w:tc>
        <w:tc>
          <w:tcPr>
            <w:tcW w:type="dxa" w:w="5328"/>
            <w:tcMar>
              <w:top w:w="90" w:type="dxa"/>
              <w:start w:w="90" w:type="dxa"/>
              <w:bottom w:w="90" w:type="dxa"/>
              <w:end w:w="90" w:type="dxa"/>
            </w:tcMar>
            <w:vAlign w:val="center"/>
            <w:shd w:fill="F2F6FA"/>
          </w:tcPr>
          <w:p>
            <w:pPr>
              <w:pStyle w:val="TableText"/>
            </w:pPr>
            <w:r>
              <w:t>How are canopy, drought, flood, and heavy rain jointly associated with heat?</w:t>
            </w:r>
          </w:p>
        </w:tc>
        <w:tc>
          <w:tcPr>
            <w:tcW w:type="dxa" w:w="2880"/>
            <w:tcMar>
              <w:top w:w="90" w:type="dxa"/>
              <w:start w:w="90" w:type="dxa"/>
              <w:bottom w:w="90" w:type="dxa"/>
              <w:end w:w="90" w:type="dxa"/>
            </w:tcMar>
            <w:vAlign w:val="center"/>
            <w:shd w:fill="F2F6FA"/>
          </w:tcPr>
          <w:p>
            <w:pPr>
              <w:pStyle w:val="TableText"/>
            </w:pPr>
            <w:r>
              <w:t>Estimate adjusted municipal associations with heat exposure.</w:t>
            </w:r>
          </w:p>
        </w:tc>
      </w:tr>
      <w:tr>
        <w:trPr>
          <w:cantSplit/>
        </w:trPr>
        <w:tc>
          <w:tcPr>
            <w:tcW w:type="dxa" w:w="792"/>
            <w:tcMar>
              <w:top w:w="90" w:type="dxa"/>
              <w:start w:w="90" w:type="dxa"/>
              <w:bottom w:w="90" w:type="dxa"/>
              <w:end w:w="90" w:type="dxa"/>
            </w:tcMar>
            <w:vAlign w:val="center"/>
          </w:tcPr>
          <w:p>
            <w:pPr>
              <w:pStyle w:val="TableText"/>
            </w:pPr>
            <w:r>
              <w:t>RQ5</w:t>
            </w:r>
          </w:p>
        </w:tc>
        <w:tc>
          <w:tcPr>
            <w:tcW w:type="dxa" w:w="5328"/>
            <w:tcMar>
              <w:top w:w="90" w:type="dxa"/>
              <w:start w:w="90" w:type="dxa"/>
              <w:bottom w:w="90" w:type="dxa"/>
              <w:end w:w="90" w:type="dxa"/>
            </w:tcMar>
            <w:vAlign w:val="center"/>
          </w:tcPr>
          <w:p>
            <w:pPr>
              <w:pStyle w:val="TableText"/>
            </w:pPr>
            <w:r>
              <w:t>How does spatial dependence affect those associations?</w:t>
            </w:r>
          </w:p>
        </w:tc>
        <w:tc>
          <w:tcPr>
            <w:tcW w:type="dxa" w:w="2880"/>
            <w:tcMar>
              <w:top w:w="90" w:type="dxa"/>
              <w:start w:w="90" w:type="dxa"/>
              <w:bottom w:w="90" w:type="dxa"/>
              <w:end w:w="90" w:type="dxa"/>
            </w:tcMar>
            <w:vAlign w:val="center"/>
          </w:tcPr>
          <w:p>
            <w:pPr>
              <w:pStyle w:val="TableText"/>
            </w:pPr>
            <w:r>
              <w:t>Test residual autocorrelation and compare spatial model specifications.</w:t>
            </w:r>
          </w:p>
        </w:tc>
      </w:tr>
    </w:tbl>
    <w:p>
      <w:pPr>
        <w:spacing w:after="20"/>
      </w:pPr>
    </w:p>
    <w:p>
      <w:pPr>
        <w:pStyle w:val="Heading2"/>
        <w:keepNext/>
      </w:pPr>
      <w:r>
        <w:t>1.7 Conceptual and Analytical Framework</w:t>
      </w:r>
    </w:p>
    <w:p>
      <w:pPr>
        <w:widowControl/>
      </w:pPr>
      <w:r>
        <w:t>The conceptual framework distinguishes environmental conditions from a complete social-vulnerability assessment. The five indicators represent physical or land-cover conditions at municipal scale. Canopy is treated as an environmental and potential adaptive feature; drought, flood, and heavy rain represent different water-related pressures; and heat is examined both as part of the multivariate profile and as the regression outcome. This operational choice does not imply that heat is the only important consequence or that physical exposure fully captures vulnerability.</w:t>
      </w:r>
    </w:p>
    <w:p>
      <w:pPr>
        <w:spacing w:before="160" w:after="80"/>
        <w:keepNext/>
      </w:pPr>
      <w:r>
        <w:rPr>
          <w:b/>
          <w:sz w:val="20"/>
        </w:rPr>
        <w:t>Table 1.2 Conceptual-to-analytical pathway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1440"/>
            <w:tcMar>
              <w:top w:w="90" w:type="dxa"/>
              <w:start w:w="90" w:type="dxa"/>
              <w:bottom w:w="90" w:type="dxa"/>
              <w:end w:w="90" w:type="dxa"/>
            </w:tcMar>
            <w:shd w:fill="17365D"/>
            <w:vAlign w:val="center"/>
          </w:tcPr>
          <w:p>
            <w:pPr>
              <w:pStyle w:val="TableText"/>
              <w:jc w:val="center"/>
              <w:keepNext/>
            </w:pPr>
            <w:r>
              <w:rPr>
                <w:b/>
                <w:color w:val="FFFFFF"/>
                <w:sz w:val="15"/>
              </w:rPr>
              <w:t>Stage</w:t>
            </w:r>
          </w:p>
        </w:tc>
        <w:tc>
          <w:tcPr>
            <w:tcW w:type="dxa" w:w="2664"/>
            <w:tcMar>
              <w:top w:w="90" w:type="dxa"/>
              <w:start w:w="90" w:type="dxa"/>
              <w:bottom w:w="90" w:type="dxa"/>
              <w:end w:w="90" w:type="dxa"/>
            </w:tcMar>
            <w:shd w:fill="17365D"/>
            <w:vAlign w:val="center"/>
          </w:tcPr>
          <w:p>
            <w:pPr>
              <w:pStyle w:val="TableText"/>
              <w:jc w:val="center"/>
              <w:keepNext/>
            </w:pPr>
            <w:r>
              <w:rPr>
                <w:b/>
                <w:color w:val="FFFFFF"/>
                <w:sz w:val="15"/>
              </w:rPr>
              <w:t>Analytical question</w:t>
            </w:r>
          </w:p>
        </w:tc>
        <w:tc>
          <w:tcPr>
            <w:tcW w:type="dxa" w:w="2880"/>
            <w:tcMar>
              <w:top w:w="90" w:type="dxa"/>
              <w:start w:w="90" w:type="dxa"/>
              <w:bottom w:w="90" w:type="dxa"/>
              <w:end w:w="90" w:type="dxa"/>
            </w:tcMar>
            <w:shd w:fill="17365D"/>
            <w:vAlign w:val="center"/>
          </w:tcPr>
          <w:p>
            <w:pPr>
              <w:pStyle w:val="TableText"/>
              <w:jc w:val="center"/>
              <w:keepNext/>
            </w:pPr>
            <w:r>
              <w:rPr>
                <w:b/>
                <w:color w:val="FFFFFF"/>
                <w:sz w:val="15"/>
              </w:rPr>
              <w:t>Method</w:t>
            </w:r>
          </w:p>
        </w:tc>
        <w:tc>
          <w:tcPr>
            <w:tcW w:type="dxa" w:w="2016"/>
            <w:tcMar>
              <w:top w:w="90" w:type="dxa"/>
              <w:start w:w="90" w:type="dxa"/>
              <w:bottom w:w="90" w:type="dxa"/>
              <w:end w:w="90" w:type="dxa"/>
            </w:tcMar>
            <w:shd w:fill="17365D"/>
            <w:vAlign w:val="center"/>
          </w:tcPr>
          <w:p>
            <w:pPr>
              <w:pStyle w:val="TableText"/>
              <w:jc w:val="center"/>
              <w:keepNext/>
            </w:pPr>
            <w:r>
              <w:rPr>
                <w:b/>
                <w:color w:val="FFFFFF"/>
                <w:sz w:val="15"/>
              </w:rPr>
              <w:t>Interpretive product</w:t>
            </w:r>
          </w:p>
        </w:tc>
      </w:tr>
      <w:tr>
        <w:trPr>
          <w:cantSplit/>
        </w:trPr>
        <w:tc>
          <w:tcPr>
            <w:tcW w:type="dxa" w:w="1440"/>
            <w:tcMar>
              <w:top w:w="90" w:type="dxa"/>
              <w:start w:w="90" w:type="dxa"/>
              <w:bottom w:w="90" w:type="dxa"/>
              <w:end w:w="90" w:type="dxa"/>
            </w:tcMar>
            <w:vAlign w:val="center"/>
          </w:tcPr>
          <w:p>
            <w:pPr>
              <w:pStyle w:val="TableText"/>
            </w:pPr>
            <w:r>
              <w:t>Measurement</w:t>
            </w:r>
          </w:p>
        </w:tc>
        <w:tc>
          <w:tcPr>
            <w:tcW w:type="dxa" w:w="2664"/>
            <w:tcMar>
              <w:top w:w="90" w:type="dxa"/>
              <w:start w:w="90" w:type="dxa"/>
              <w:bottom w:w="90" w:type="dxa"/>
              <w:end w:w="90" w:type="dxa"/>
            </w:tcMar>
            <w:vAlign w:val="center"/>
          </w:tcPr>
          <w:p>
            <w:pPr>
              <w:pStyle w:val="TableText"/>
            </w:pPr>
            <w:r>
              <w:t>How can neighbourhood information be represented municipally?</w:t>
            </w:r>
          </w:p>
        </w:tc>
        <w:tc>
          <w:tcPr>
            <w:tcW w:type="dxa" w:w="2880"/>
            <w:tcMar>
              <w:top w:w="90" w:type="dxa"/>
              <w:start w:w="90" w:type="dxa"/>
              <w:bottom w:w="90" w:type="dxa"/>
              <w:end w:w="90" w:type="dxa"/>
            </w:tcMar>
            <w:vAlign w:val="center"/>
          </w:tcPr>
          <w:p>
            <w:pPr>
              <w:pStyle w:val="TableText"/>
            </w:pPr>
            <w:r>
              <w:t>Cleaning, composites, population-weighted aggregation</w:t>
            </w:r>
          </w:p>
        </w:tc>
        <w:tc>
          <w:tcPr>
            <w:tcW w:type="dxa" w:w="2016"/>
            <w:tcMar>
              <w:top w:w="90" w:type="dxa"/>
              <w:start w:w="90" w:type="dxa"/>
              <w:bottom w:w="90" w:type="dxa"/>
              <w:end w:w="90" w:type="dxa"/>
            </w:tcMar>
            <w:vAlign w:val="center"/>
          </w:tcPr>
          <w:p>
            <w:pPr>
              <w:pStyle w:val="TableText"/>
            </w:pPr>
            <w:r>
              <w:t>Audited municipal indicators</w:t>
            </w:r>
          </w:p>
        </w:tc>
      </w:tr>
      <w:tr>
        <w:trPr>
          <w:cantSplit/>
        </w:trPr>
        <w:tc>
          <w:tcPr>
            <w:tcW w:type="dxa" w:w="1440"/>
            <w:tcMar>
              <w:top w:w="90" w:type="dxa"/>
              <w:start w:w="90" w:type="dxa"/>
              <w:bottom w:w="90" w:type="dxa"/>
              <w:end w:w="90" w:type="dxa"/>
            </w:tcMar>
            <w:vAlign w:val="center"/>
            <w:shd w:fill="F2F6FA"/>
          </w:tcPr>
          <w:p>
            <w:pPr>
              <w:pStyle w:val="TableText"/>
            </w:pPr>
            <w:r>
              <w:t>Description</w:t>
            </w:r>
          </w:p>
        </w:tc>
        <w:tc>
          <w:tcPr>
            <w:tcW w:type="dxa" w:w="2664"/>
            <w:tcMar>
              <w:top w:w="90" w:type="dxa"/>
              <w:start w:w="90" w:type="dxa"/>
              <w:bottom w:w="90" w:type="dxa"/>
              <w:end w:w="90" w:type="dxa"/>
            </w:tcMar>
            <w:vAlign w:val="center"/>
            <w:shd w:fill="F2F6FA"/>
          </w:tcPr>
          <w:p>
            <w:pPr>
              <w:pStyle w:val="TableText"/>
            </w:pPr>
            <w:r>
              <w:t>How do indicators vary and co-vary?</w:t>
            </w:r>
          </w:p>
        </w:tc>
        <w:tc>
          <w:tcPr>
            <w:tcW w:type="dxa" w:w="2880"/>
            <w:tcMar>
              <w:top w:w="90" w:type="dxa"/>
              <w:start w:w="90" w:type="dxa"/>
              <w:bottom w:w="90" w:type="dxa"/>
              <w:end w:w="90" w:type="dxa"/>
            </w:tcMar>
            <w:vAlign w:val="center"/>
            <w:shd w:fill="F2F6FA"/>
          </w:tcPr>
          <w:p>
            <w:pPr>
              <w:pStyle w:val="TableText"/>
            </w:pPr>
            <w:r>
              <w:t>Summary statistics and Pearson correlations</w:t>
            </w:r>
          </w:p>
        </w:tc>
        <w:tc>
          <w:tcPr>
            <w:tcW w:type="dxa" w:w="2016"/>
            <w:tcMar>
              <w:top w:w="90" w:type="dxa"/>
              <w:start w:w="90" w:type="dxa"/>
              <w:bottom w:w="90" w:type="dxa"/>
              <w:end w:w="90" w:type="dxa"/>
            </w:tcMar>
            <w:vAlign w:val="center"/>
            <w:shd w:fill="F2F6FA"/>
          </w:tcPr>
          <w:p>
            <w:pPr>
              <w:pStyle w:val="TableText"/>
            </w:pPr>
            <w:r>
              <w:t>Distributions and relationships</w:t>
            </w:r>
          </w:p>
        </w:tc>
      </w:tr>
      <w:tr>
        <w:trPr>
          <w:cantSplit/>
        </w:trPr>
        <w:tc>
          <w:tcPr>
            <w:tcW w:type="dxa" w:w="1440"/>
            <w:tcMar>
              <w:top w:w="90" w:type="dxa"/>
              <w:start w:w="90" w:type="dxa"/>
              <w:bottom w:w="90" w:type="dxa"/>
              <w:end w:w="90" w:type="dxa"/>
            </w:tcMar>
            <w:vAlign w:val="center"/>
          </w:tcPr>
          <w:p>
            <w:pPr>
              <w:pStyle w:val="TableText"/>
            </w:pPr>
            <w:r>
              <w:t>Structure</w:t>
            </w:r>
          </w:p>
        </w:tc>
        <w:tc>
          <w:tcPr>
            <w:tcW w:type="dxa" w:w="2664"/>
            <w:tcMar>
              <w:top w:w="90" w:type="dxa"/>
              <w:start w:w="90" w:type="dxa"/>
              <w:bottom w:w="90" w:type="dxa"/>
              <w:end w:w="90" w:type="dxa"/>
            </w:tcMar>
            <w:vAlign w:val="center"/>
          </w:tcPr>
          <w:p>
            <w:pPr>
              <w:pStyle w:val="TableText"/>
            </w:pPr>
            <w:r>
              <w:t>Which common dimensions organise variation?</w:t>
            </w:r>
          </w:p>
        </w:tc>
        <w:tc>
          <w:tcPr>
            <w:tcW w:type="dxa" w:w="2880"/>
            <w:tcMar>
              <w:top w:w="90" w:type="dxa"/>
              <w:start w:w="90" w:type="dxa"/>
              <w:bottom w:w="90" w:type="dxa"/>
              <w:end w:w="90" w:type="dxa"/>
            </w:tcMar>
            <w:vAlign w:val="center"/>
          </w:tcPr>
          <w:p>
            <w:pPr>
              <w:pStyle w:val="TableText"/>
            </w:pPr>
            <w:r>
              <w:t>Standardised PCA and parallel analysis</w:t>
            </w:r>
          </w:p>
        </w:tc>
        <w:tc>
          <w:tcPr>
            <w:tcW w:type="dxa" w:w="2016"/>
            <w:tcMar>
              <w:top w:w="90" w:type="dxa"/>
              <w:start w:w="90" w:type="dxa"/>
              <w:bottom w:w="90" w:type="dxa"/>
              <w:end w:w="90" w:type="dxa"/>
            </w:tcMar>
            <w:vAlign w:val="center"/>
          </w:tcPr>
          <w:p>
            <w:pPr>
              <w:pStyle w:val="TableText"/>
            </w:pPr>
            <w:r>
              <w:t>Latent dimensions</w:t>
            </w:r>
          </w:p>
        </w:tc>
      </w:tr>
      <w:tr>
        <w:trPr>
          <w:cantSplit/>
        </w:trPr>
        <w:tc>
          <w:tcPr>
            <w:tcW w:type="dxa" w:w="1440"/>
            <w:tcMar>
              <w:top w:w="90" w:type="dxa"/>
              <w:start w:w="90" w:type="dxa"/>
              <w:bottom w:w="90" w:type="dxa"/>
              <w:end w:w="90" w:type="dxa"/>
            </w:tcMar>
            <w:vAlign w:val="center"/>
            <w:shd w:fill="F2F6FA"/>
          </w:tcPr>
          <w:p>
            <w:pPr>
              <w:pStyle w:val="TableText"/>
            </w:pPr>
            <w:r>
              <w:t>Typology</w:t>
            </w:r>
          </w:p>
        </w:tc>
        <w:tc>
          <w:tcPr>
            <w:tcW w:type="dxa" w:w="2664"/>
            <w:tcMar>
              <w:top w:w="90" w:type="dxa"/>
              <w:start w:w="90" w:type="dxa"/>
              <w:bottom w:w="90" w:type="dxa"/>
              <w:end w:w="90" w:type="dxa"/>
            </w:tcMar>
            <w:vAlign w:val="center"/>
            <w:shd w:fill="F2F6FA"/>
          </w:tcPr>
          <w:p>
            <w:pPr>
              <w:pStyle w:val="TableText"/>
            </w:pPr>
            <w:r>
              <w:t>Which recurring combinations occur?</w:t>
            </w:r>
          </w:p>
        </w:tc>
        <w:tc>
          <w:tcPr>
            <w:tcW w:type="dxa" w:w="2880"/>
            <w:tcMar>
              <w:top w:w="90" w:type="dxa"/>
              <w:start w:w="90" w:type="dxa"/>
              <w:bottom w:w="90" w:type="dxa"/>
              <w:end w:w="90" w:type="dxa"/>
            </w:tcMar>
            <w:vAlign w:val="center"/>
            <w:shd w:fill="F2F6FA"/>
          </w:tcPr>
          <w:p>
            <w:pPr>
              <w:pStyle w:val="TableText"/>
            </w:pPr>
            <w:r>
              <w:t>K-means, silhouette, profiles, bootstrap Jaccard</w:t>
            </w:r>
          </w:p>
        </w:tc>
        <w:tc>
          <w:tcPr>
            <w:tcW w:type="dxa" w:w="2016"/>
            <w:tcMar>
              <w:top w:w="90" w:type="dxa"/>
              <w:start w:w="90" w:type="dxa"/>
              <w:bottom w:w="90" w:type="dxa"/>
              <w:end w:w="90" w:type="dxa"/>
            </w:tcMar>
            <w:vAlign w:val="center"/>
            <w:shd w:fill="F2F6FA"/>
          </w:tcPr>
          <w:p>
            <w:pPr>
              <w:pStyle w:val="TableText"/>
            </w:pPr>
            <w:r>
              <w:t>Stable environmental profiles</w:t>
            </w:r>
          </w:p>
        </w:tc>
      </w:tr>
      <w:tr>
        <w:trPr>
          <w:cantSplit/>
        </w:trPr>
        <w:tc>
          <w:tcPr>
            <w:tcW w:type="dxa" w:w="1440"/>
            <w:tcMar>
              <w:top w:w="90" w:type="dxa"/>
              <w:start w:w="90" w:type="dxa"/>
              <w:bottom w:w="90" w:type="dxa"/>
              <w:end w:w="90" w:type="dxa"/>
            </w:tcMar>
            <w:vAlign w:val="center"/>
          </w:tcPr>
          <w:p>
            <w:pPr>
              <w:pStyle w:val="TableText"/>
            </w:pPr>
            <w:r>
              <w:t>Association</w:t>
            </w:r>
          </w:p>
        </w:tc>
        <w:tc>
          <w:tcPr>
            <w:tcW w:type="dxa" w:w="2664"/>
            <w:tcMar>
              <w:top w:w="90" w:type="dxa"/>
              <w:start w:w="90" w:type="dxa"/>
              <w:bottom w:w="90" w:type="dxa"/>
              <w:end w:w="90" w:type="dxa"/>
            </w:tcMar>
            <w:vAlign w:val="center"/>
          </w:tcPr>
          <w:p>
            <w:pPr>
              <w:pStyle w:val="TableText"/>
            </w:pPr>
            <w:r>
              <w:t>What is jointly associated with heat?</w:t>
            </w:r>
          </w:p>
        </w:tc>
        <w:tc>
          <w:tcPr>
            <w:tcW w:type="dxa" w:w="2880"/>
            <w:tcMar>
              <w:top w:w="90" w:type="dxa"/>
              <w:start w:w="90" w:type="dxa"/>
              <w:bottom w:w="90" w:type="dxa"/>
              <w:end w:w="90" w:type="dxa"/>
            </w:tcMar>
            <w:vAlign w:val="center"/>
          </w:tcPr>
          <w:p>
            <w:pPr>
              <w:pStyle w:val="TableText"/>
            </w:pPr>
            <w:r>
              <w:t>OLS, HC3 inference, diagnostics, sensitivity</w:t>
            </w:r>
          </w:p>
        </w:tc>
        <w:tc>
          <w:tcPr>
            <w:tcW w:type="dxa" w:w="2016"/>
            <w:tcMar>
              <w:top w:w="90" w:type="dxa"/>
              <w:start w:w="90" w:type="dxa"/>
              <w:bottom w:w="90" w:type="dxa"/>
              <w:end w:w="90" w:type="dxa"/>
            </w:tcMar>
            <w:vAlign w:val="center"/>
          </w:tcPr>
          <w:p>
            <w:pPr>
              <w:pStyle w:val="TableText"/>
            </w:pPr>
            <w:r>
              <w:t>Adjusted coefficients</w:t>
            </w:r>
          </w:p>
        </w:tc>
      </w:tr>
      <w:tr>
        <w:trPr>
          <w:cantSplit/>
        </w:trPr>
        <w:tc>
          <w:tcPr>
            <w:tcW w:type="dxa" w:w="1440"/>
            <w:tcMar>
              <w:top w:w="90" w:type="dxa"/>
              <w:start w:w="90" w:type="dxa"/>
              <w:bottom w:w="90" w:type="dxa"/>
              <w:end w:w="90" w:type="dxa"/>
            </w:tcMar>
            <w:vAlign w:val="center"/>
            <w:shd w:fill="F2F6FA"/>
          </w:tcPr>
          <w:p>
            <w:pPr>
              <w:pStyle w:val="TableText"/>
            </w:pPr>
            <w:r>
              <w:t>Spatial dependence</w:t>
            </w:r>
          </w:p>
        </w:tc>
        <w:tc>
          <w:tcPr>
            <w:tcW w:type="dxa" w:w="2664"/>
            <w:tcMar>
              <w:top w:w="90" w:type="dxa"/>
              <w:start w:w="90" w:type="dxa"/>
              <w:bottom w:w="90" w:type="dxa"/>
              <w:end w:w="90" w:type="dxa"/>
            </w:tcMar>
            <w:vAlign w:val="center"/>
            <w:shd w:fill="F2F6FA"/>
          </w:tcPr>
          <w:p>
            <w:pPr>
              <w:pStyle w:val="TableText"/>
            </w:pPr>
            <w:r>
              <w:t>Does geographic structure remain?</w:t>
            </w:r>
          </w:p>
        </w:tc>
        <w:tc>
          <w:tcPr>
            <w:tcW w:type="dxa" w:w="2880"/>
            <w:tcMar>
              <w:top w:w="90" w:type="dxa"/>
              <w:start w:w="90" w:type="dxa"/>
              <w:bottom w:w="90" w:type="dxa"/>
              <w:end w:w="90" w:type="dxa"/>
            </w:tcMar>
            <w:vAlign w:val="center"/>
            <w:shd w:fill="F2F6FA"/>
          </w:tcPr>
          <w:p>
            <w:pPr>
              <w:pStyle w:val="TableText"/>
            </w:pPr>
            <w:r>
              <w:t>Moran's I, spatial lag, spatial error, KNN sensitivity</w:t>
            </w:r>
          </w:p>
        </w:tc>
        <w:tc>
          <w:tcPr>
            <w:tcW w:type="dxa" w:w="2016"/>
            <w:tcMar>
              <w:top w:w="90" w:type="dxa"/>
              <w:start w:w="90" w:type="dxa"/>
              <w:bottom w:w="90" w:type="dxa"/>
              <w:end w:w="90" w:type="dxa"/>
            </w:tcMar>
            <w:vAlign w:val="center"/>
            <w:shd w:fill="F2F6FA"/>
          </w:tcPr>
          <w:p>
            <w:pPr>
              <w:pStyle w:val="TableText"/>
            </w:pPr>
            <w:r>
              <w:t>Spatially informed model</w:t>
            </w:r>
          </w:p>
        </w:tc>
      </w:tr>
    </w:tbl>
    <w:p>
      <w:pPr>
        <w:spacing w:after="20"/>
      </w:pPr>
    </w:p>
    <w:p>
      <w:pPr>
        <w:widowControl/>
      </w:pPr>
      <w:r>
        <w:t>The framework is sequential but not causal. PCA and clustering reveal structure without proving natural or immutable classes. Regression coefficients describe conditional municipality-level associations, not intervention effects. Spatial models account for dependence under specified neighbour relations, but they do not resolve omitted-variable bias or establish temporal ordering. This distinction governs the language used throughout the thesis.</w:t>
      </w:r>
    </w:p>
    <w:p>
      <w:pPr>
        <w:pStyle w:val="Heading2"/>
        <w:keepNext/>
      </w:pPr>
      <w:r>
        <w:t>1.8 Significance of the Study</w:t>
      </w:r>
    </w:p>
    <w:p>
      <w:pPr>
        <w:pStyle w:val="Heading3"/>
        <w:keepNext/>
      </w:pPr>
      <w:r>
        <w:t>1.8.1 Empirical Significance</w:t>
      </w:r>
    </w:p>
    <w:p>
      <w:pPr>
        <w:widowControl/>
      </w:pPr>
      <w:r>
        <w:t>The study provides a common-scale comparison of 337 municipalities using five indicators that are often considered separately. By identifying dimensions and profiles, it shows whether municipalities face similar levels of overall pressure or contrasting combinations of heat, water, drought, and canopy conditions. This can support more differentiated interpretation than a single composite ranking.</w:t>
      </w:r>
    </w:p>
    <w:p>
      <w:pPr>
        <w:pStyle w:val="Heading3"/>
        <w:keepNext/>
      </w:pPr>
      <w:r>
        <w:t>1.8.2 Methodological Significance</w:t>
      </w:r>
    </w:p>
    <w:p>
      <w:pPr>
        <w:widowControl/>
      </w:pPr>
      <w:r>
        <w:t>Methodologically, the study demonstrates an integrated and reproducible workflow from raw neighbourhood fields to publication-ready tables, figures, maps, model objects, and audit files. The combination of parallel analysis, cluster-stability assessment, robust regression inference, residual spatial-autocorrelation testing, and spatial-weight sensitivity provides safeguards against several common weaknesses of exploratory municipal comparisons.</w:t>
      </w:r>
    </w:p>
    <w:p>
      <w:pPr>
        <w:pStyle w:val="Heading3"/>
        <w:keepNext/>
      </w:pPr>
      <w:r>
        <w:t>1.8.3 Policy and Planning Significance</w:t>
      </w:r>
    </w:p>
    <w:p>
      <w:pPr>
        <w:widowControl/>
      </w:pPr>
      <w:r>
        <w:t>For policy and planning, the findings can help distinguish municipalities that may require different adaptation mixes. Areas characterised by high heat and low canopy may justify attention to shade and urban greening, whereas flood- or heavy-rain-oriented profiles may demand water storage, drainage, or spatial-design responses. Such profiles are screening tools, not funding formulas: local decisions should incorporate neighbourhood inequality, critical infrastructure, demographic vulnerability, feasibility, and community knowledge alongside the environmental indicators (Climate Adaptation Platform Netherlands, 2026; Delta Programme, 2026).</w:t>
      </w:r>
    </w:p>
    <w:p>
      <w:pPr>
        <w:pStyle w:val="Heading2"/>
        <w:keepNext/>
      </w:pPr>
      <w:r>
        <w:t>1.9 Scope and Delimitations</w:t>
      </w:r>
    </w:p>
    <w:p>
      <w:pPr>
        <w:spacing w:before="160" w:after="80"/>
        <w:keepNext/>
      </w:pPr>
      <w:r>
        <w:rPr>
          <w:b/>
          <w:sz w:val="20"/>
        </w:rPr>
        <w:t>Table 1.3 Scope of the study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584"/>
            <w:tcMar>
              <w:top w:w="90" w:type="dxa"/>
              <w:start w:w="90" w:type="dxa"/>
              <w:bottom w:w="90" w:type="dxa"/>
              <w:end w:w="90" w:type="dxa"/>
            </w:tcMar>
            <w:shd w:fill="17365D"/>
            <w:vAlign w:val="center"/>
          </w:tcPr>
          <w:p>
            <w:pPr>
              <w:pStyle w:val="TableText"/>
              <w:jc w:val="center"/>
              <w:keepNext/>
            </w:pPr>
            <w:r>
              <w:rPr>
                <w:b/>
                <w:color w:val="FFFFFF"/>
                <w:sz w:val="15"/>
              </w:rPr>
              <w:t>Dimension</w:t>
            </w:r>
          </w:p>
        </w:tc>
        <w:tc>
          <w:tcPr>
            <w:tcW w:type="dxa" w:w="3888"/>
            <w:tcMar>
              <w:top w:w="90" w:type="dxa"/>
              <w:start w:w="90" w:type="dxa"/>
              <w:bottom w:w="90" w:type="dxa"/>
              <w:end w:w="90" w:type="dxa"/>
            </w:tcMar>
            <w:shd w:fill="17365D"/>
            <w:vAlign w:val="center"/>
          </w:tcPr>
          <w:p>
            <w:pPr>
              <w:pStyle w:val="TableText"/>
              <w:jc w:val="center"/>
              <w:keepNext/>
            </w:pPr>
            <w:r>
              <w:rPr>
                <w:b/>
                <w:color w:val="FFFFFF"/>
                <w:sz w:val="15"/>
              </w:rPr>
              <w:t>Included</w:t>
            </w:r>
          </w:p>
        </w:tc>
        <w:tc>
          <w:tcPr>
            <w:tcW w:type="dxa" w:w="3528"/>
            <w:tcMar>
              <w:top w:w="90" w:type="dxa"/>
              <w:start w:w="90" w:type="dxa"/>
              <w:bottom w:w="90" w:type="dxa"/>
              <w:end w:w="90" w:type="dxa"/>
            </w:tcMar>
            <w:shd w:fill="17365D"/>
            <w:vAlign w:val="center"/>
          </w:tcPr>
          <w:p>
            <w:pPr>
              <w:pStyle w:val="TableText"/>
              <w:jc w:val="center"/>
              <w:keepNext/>
            </w:pPr>
            <w:r>
              <w:rPr>
                <w:b/>
                <w:color w:val="FFFFFF"/>
                <w:sz w:val="15"/>
              </w:rPr>
              <w:t>Delimitation</w:t>
            </w:r>
          </w:p>
        </w:tc>
      </w:tr>
      <w:tr>
        <w:trPr>
          <w:cantSplit/>
        </w:trPr>
        <w:tc>
          <w:tcPr>
            <w:tcW w:type="dxa" w:w="1584"/>
            <w:tcMar>
              <w:top w:w="90" w:type="dxa"/>
              <w:start w:w="90" w:type="dxa"/>
              <w:bottom w:w="90" w:type="dxa"/>
              <w:end w:w="90" w:type="dxa"/>
            </w:tcMar>
            <w:vAlign w:val="center"/>
          </w:tcPr>
          <w:p>
            <w:pPr>
              <w:pStyle w:val="TableText"/>
            </w:pPr>
            <w:r>
              <w:t>Geography</w:t>
            </w:r>
          </w:p>
        </w:tc>
        <w:tc>
          <w:tcPr>
            <w:tcW w:type="dxa" w:w="3888"/>
            <w:tcMar>
              <w:top w:w="90" w:type="dxa"/>
              <w:start w:w="90" w:type="dxa"/>
              <w:bottom w:w="90" w:type="dxa"/>
              <w:end w:w="90" w:type="dxa"/>
            </w:tcMar>
            <w:vAlign w:val="center"/>
          </w:tcPr>
          <w:p>
            <w:pPr>
              <w:pStyle w:val="TableText"/>
            </w:pPr>
            <w:r>
              <w:t>Municipalities in the European Netherlands represented by the selected 2024 boundary file</w:t>
            </w:r>
          </w:p>
        </w:tc>
        <w:tc>
          <w:tcPr>
            <w:tcW w:type="dxa" w:w="3528"/>
            <w:tcMar>
              <w:top w:w="90" w:type="dxa"/>
              <w:start w:w="90" w:type="dxa"/>
              <w:bottom w:w="90" w:type="dxa"/>
              <w:end w:w="90" w:type="dxa"/>
            </w:tcMar>
            <w:vAlign w:val="center"/>
          </w:tcPr>
          <w:p>
            <w:pPr>
              <w:pStyle w:val="TableText"/>
            </w:pPr>
            <w:r>
              <w:t>Results are not automatically transferable outside the Netherlands or to other boundary vintages.</w:t>
            </w:r>
          </w:p>
        </w:tc>
      </w:tr>
      <w:tr>
        <w:trPr>
          <w:cantSplit/>
        </w:trPr>
        <w:tc>
          <w:tcPr>
            <w:tcW w:type="dxa" w:w="1584"/>
            <w:tcMar>
              <w:top w:w="90" w:type="dxa"/>
              <w:start w:w="90" w:type="dxa"/>
              <w:bottom w:w="90" w:type="dxa"/>
              <w:end w:w="90" w:type="dxa"/>
            </w:tcMar>
            <w:vAlign w:val="center"/>
            <w:shd w:fill="F2F6FA"/>
          </w:tcPr>
          <w:p>
            <w:pPr>
              <w:pStyle w:val="TableText"/>
            </w:pPr>
            <w:r>
              <w:t>Analytical unit</w:t>
            </w:r>
          </w:p>
        </w:tc>
        <w:tc>
          <w:tcPr>
            <w:tcW w:type="dxa" w:w="3888"/>
            <w:tcMar>
              <w:top w:w="90" w:type="dxa"/>
              <w:start w:w="90" w:type="dxa"/>
              <w:bottom w:w="90" w:type="dxa"/>
              <w:end w:w="90" w:type="dxa"/>
            </w:tcMar>
            <w:vAlign w:val="center"/>
            <w:shd w:fill="F2F6FA"/>
          </w:tcPr>
          <w:p>
            <w:pPr>
              <w:pStyle w:val="TableText"/>
            </w:pPr>
            <w:r>
              <w:t>Municipality</w:t>
            </w:r>
          </w:p>
        </w:tc>
        <w:tc>
          <w:tcPr>
            <w:tcW w:type="dxa" w:w="3528"/>
            <w:tcMar>
              <w:top w:w="90" w:type="dxa"/>
              <w:start w:w="90" w:type="dxa"/>
              <w:bottom w:w="90" w:type="dxa"/>
              <w:end w:w="90" w:type="dxa"/>
            </w:tcMar>
            <w:vAlign w:val="center"/>
            <w:shd w:fill="F2F6FA"/>
          </w:tcPr>
          <w:p>
            <w:pPr>
              <w:pStyle w:val="TableText"/>
            </w:pPr>
            <w:r>
              <w:t>Neighbourhood variation and individual exposure are not estimated directly.</w:t>
            </w:r>
          </w:p>
        </w:tc>
      </w:tr>
      <w:tr>
        <w:trPr>
          <w:cantSplit/>
        </w:trPr>
        <w:tc>
          <w:tcPr>
            <w:tcW w:type="dxa" w:w="1584"/>
            <w:tcMar>
              <w:top w:w="90" w:type="dxa"/>
              <w:start w:w="90" w:type="dxa"/>
              <w:bottom w:w="90" w:type="dxa"/>
              <w:end w:w="90" w:type="dxa"/>
            </w:tcMar>
            <w:vAlign w:val="center"/>
          </w:tcPr>
          <w:p>
            <w:pPr>
              <w:pStyle w:val="TableText"/>
            </w:pPr>
            <w:r>
              <w:t>Sample</w:t>
            </w:r>
          </w:p>
        </w:tc>
        <w:tc>
          <w:tcPr>
            <w:tcW w:type="dxa" w:w="3888"/>
            <w:tcMar>
              <w:top w:w="90" w:type="dxa"/>
              <w:start w:w="90" w:type="dxa"/>
              <w:bottom w:w="90" w:type="dxa"/>
              <w:end w:w="90" w:type="dxa"/>
            </w:tcMar>
            <w:vAlign w:val="center"/>
          </w:tcPr>
          <w:p>
            <w:pPr>
              <w:pStyle w:val="TableText"/>
            </w:pPr>
            <w:r>
              <w:t>337 municipalities with complete values on all five indicators</w:t>
            </w:r>
          </w:p>
        </w:tc>
        <w:tc>
          <w:tcPr>
            <w:tcW w:type="dxa" w:w="3528"/>
            <w:tcMar>
              <w:top w:w="90" w:type="dxa"/>
              <w:start w:w="90" w:type="dxa"/>
              <w:bottom w:w="90" w:type="dxa"/>
              <w:end w:w="90" w:type="dxa"/>
            </w:tcMar>
            <w:vAlign w:val="center"/>
          </w:tcPr>
          <w:p>
            <w:pPr>
              <w:pStyle w:val="TableText"/>
            </w:pPr>
            <w:r>
              <w:t>Five municipalities with missing drought depth are excluded from the common analytical sample.</w:t>
            </w:r>
          </w:p>
        </w:tc>
      </w:tr>
      <w:tr>
        <w:trPr>
          <w:cantSplit/>
        </w:trPr>
        <w:tc>
          <w:tcPr>
            <w:tcW w:type="dxa" w:w="1584"/>
            <w:tcMar>
              <w:top w:w="90" w:type="dxa"/>
              <w:start w:w="90" w:type="dxa"/>
              <w:bottom w:w="90" w:type="dxa"/>
              <w:end w:w="90" w:type="dxa"/>
            </w:tcMar>
            <w:vAlign w:val="center"/>
            <w:shd w:fill="F2F6FA"/>
          </w:tcPr>
          <w:p>
            <w:pPr>
              <w:pStyle w:val="TableText"/>
            </w:pPr>
            <w:r>
              <w:t>Indicators</w:t>
            </w:r>
          </w:p>
        </w:tc>
        <w:tc>
          <w:tcPr>
            <w:tcW w:type="dxa" w:w="3888"/>
            <w:tcMar>
              <w:top w:w="90" w:type="dxa"/>
              <w:start w:w="90" w:type="dxa"/>
              <w:bottom w:w="90" w:type="dxa"/>
              <w:end w:w="90" w:type="dxa"/>
            </w:tcMar>
            <w:vAlign w:val="center"/>
            <w:shd w:fill="F2F6FA"/>
          </w:tcPr>
          <w:p>
            <w:pPr>
              <w:pStyle w:val="TableText"/>
            </w:pPr>
            <w:r>
              <w:t>Canopy, drought depth, heat exposure, flood exposure, and heavy-rain exposure</w:t>
            </w:r>
          </w:p>
        </w:tc>
        <w:tc>
          <w:tcPr>
            <w:tcW w:type="dxa" w:w="3528"/>
            <w:tcMar>
              <w:top w:w="90" w:type="dxa"/>
              <w:start w:w="90" w:type="dxa"/>
              <w:bottom w:w="90" w:type="dxa"/>
              <w:end w:w="90" w:type="dxa"/>
            </w:tcMar>
            <w:vAlign w:val="center"/>
            <w:shd w:fill="F2F6FA"/>
          </w:tcPr>
          <w:p>
            <w:pPr>
              <w:pStyle w:val="TableText"/>
            </w:pPr>
            <w:r>
              <w:t>The study does not constitute a comprehensive social, health, economic, or institutional vulnerability index.</w:t>
            </w:r>
          </w:p>
        </w:tc>
      </w:tr>
      <w:tr>
        <w:trPr>
          <w:cantSplit/>
        </w:trPr>
        <w:tc>
          <w:tcPr>
            <w:tcW w:type="dxa" w:w="1584"/>
            <w:tcMar>
              <w:top w:w="90" w:type="dxa"/>
              <w:start w:w="90" w:type="dxa"/>
              <w:bottom w:w="90" w:type="dxa"/>
              <w:end w:w="90" w:type="dxa"/>
            </w:tcMar>
            <w:vAlign w:val="center"/>
          </w:tcPr>
          <w:p>
            <w:pPr>
              <w:pStyle w:val="TableText"/>
            </w:pPr>
            <w:r>
              <w:t>Design</w:t>
            </w:r>
          </w:p>
        </w:tc>
        <w:tc>
          <w:tcPr>
            <w:tcW w:type="dxa" w:w="3888"/>
            <w:tcMar>
              <w:top w:w="90" w:type="dxa"/>
              <w:start w:w="90" w:type="dxa"/>
              <w:bottom w:w="90" w:type="dxa"/>
              <w:end w:w="90" w:type="dxa"/>
            </w:tcMar>
            <w:vAlign w:val="center"/>
          </w:tcPr>
          <w:p>
            <w:pPr>
              <w:pStyle w:val="TableText"/>
            </w:pPr>
            <w:r>
              <w:t>Quantitative, cross-sectional, ecological</w:t>
            </w:r>
          </w:p>
        </w:tc>
        <w:tc>
          <w:tcPr>
            <w:tcW w:type="dxa" w:w="3528"/>
            <w:tcMar>
              <w:top w:w="90" w:type="dxa"/>
              <w:start w:w="90" w:type="dxa"/>
              <w:bottom w:w="90" w:type="dxa"/>
              <w:end w:w="90" w:type="dxa"/>
            </w:tcMar>
            <w:vAlign w:val="center"/>
          </w:tcPr>
          <w:p>
            <w:pPr>
              <w:pStyle w:val="TableText"/>
            </w:pPr>
            <w:r>
              <w:t>Associations are not causal and temporal change is not estimated.</w:t>
            </w:r>
          </w:p>
        </w:tc>
      </w:tr>
      <w:tr>
        <w:trPr>
          <w:cantSplit/>
        </w:trPr>
        <w:tc>
          <w:tcPr>
            <w:tcW w:type="dxa" w:w="1584"/>
            <w:tcMar>
              <w:top w:w="90" w:type="dxa"/>
              <w:start w:w="90" w:type="dxa"/>
              <w:bottom w:w="90" w:type="dxa"/>
              <w:end w:w="90" w:type="dxa"/>
            </w:tcMar>
            <w:vAlign w:val="center"/>
            <w:shd w:fill="F2F6FA"/>
          </w:tcPr>
          <w:p>
            <w:pPr>
              <w:pStyle w:val="TableText"/>
            </w:pPr>
            <w:r>
              <w:t>Methods</w:t>
            </w:r>
          </w:p>
        </w:tc>
        <w:tc>
          <w:tcPr>
            <w:tcW w:type="dxa" w:w="3888"/>
            <w:tcMar>
              <w:top w:w="90" w:type="dxa"/>
              <w:start w:w="90" w:type="dxa"/>
              <w:bottom w:w="90" w:type="dxa"/>
              <w:end w:w="90" w:type="dxa"/>
            </w:tcMar>
            <w:vAlign w:val="center"/>
            <w:shd w:fill="F2F6FA"/>
          </w:tcPr>
          <w:p>
            <w:pPr>
              <w:pStyle w:val="TableText"/>
            </w:pPr>
            <w:r>
              <w:t>Description, correlation, PCA, k-means, bootstrap stability, OLS, diagnostics, Moran's I, spatial lag and error models</w:t>
            </w:r>
          </w:p>
        </w:tc>
        <w:tc>
          <w:tcPr>
            <w:tcW w:type="dxa" w:w="3528"/>
            <w:tcMar>
              <w:top w:w="90" w:type="dxa"/>
              <w:start w:w="90" w:type="dxa"/>
              <w:bottom w:w="90" w:type="dxa"/>
              <w:end w:w="90" w:type="dxa"/>
            </w:tcMar>
            <w:vAlign w:val="center"/>
            <w:shd w:fill="F2F6FA"/>
          </w:tcPr>
          <w:p>
            <w:pPr>
              <w:pStyle w:val="TableText"/>
            </w:pPr>
            <w:r>
              <w:t>Alternative machine-learning, Bayesian, panel, and causal designs are outside the scope.</w:t>
            </w:r>
          </w:p>
        </w:tc>
      </w:tr>
      <w:tr>
        <w:trPr>
          <w:cantSplit/>
        </w:trPr>
        <w:tc>
          <w:tcPr>
            <w:tcW w:type="dxa" w:w="1584"/>
            <w:tcMar>
              <w:top w:w="90" w:type="dxa"/>
              <w:start w:w="90" w:type="dxa"/>
              <w:bottom w:w="90" w:type="dxa"/>
              <w:end w:w="90" w:type="dxa"/>
            </w:tcMar>
            <w:vAlign w:val="center"/>
          </w:tcPr>
          <w:p>
            <w:pPr>
              <w:pStyle w:val="TableText"/>
            </w:pPr>
            <w:r>
              <w:t>Software</w:t>
            </w:r>
          </w:p>
        </w:tc>
        <w:tc>
          <w:tcPr>
            <w:tcW w:type="dxa" w:w="3888"/>
            <w:tcMar>
              <w:top w:w="90" w:type="dxa"/>
              <w:start w:w="90" w:type="dxa"/>
              <w:bottom w:w="90" w:type="dxa"/>
              <w:end w:w="90" w:type="dxa"/>
            </w:tcMar>
            <w:vAlign w:val="center"/>
          </w:tcPr>
          <w:p>
            <w:pPr>
              <w:pStyle w:val="TableText"/>
            </w:pPr>
            <w:r>
              <w:t>Scripted analysis in R</w:t>
            </w:r>
          </w:p>
        </w:tc>
        <w:tc>
          <w:tcPr>
            <w:tcW w:type="dxa" w:w="3528"/>
            <w:tcMar>
              <w:top w:w="90" w:type="dxa"/>
              <w:start w:w="90" w:type="dxa"/>
              <w:bottom w:w="90" w:type="dxa"/>
              <w:end w:w="90" w:type="dxa"/>
            </w:tcMar>
            <w:vAlign w:val="center"/>
          </w:tcPr>
          <w:p>
            <w:pPr>
              <w:pStyle w:val="TableText"/>
            </w:pPr>
            <w:r>
              <w:t>Findings depend on the selected source version, field definitions, boundary geometry, and modelling decisions.</w:t>
            </w:r>
          </w:p>
        </w:tc>
      </w:tr>
    </w:tbl>
    <w:p>
      <w:pPr>
        <w:spacing w:after="20"/>
      </w:pPr>
    </w:p>
    <w:p>
      <w:pPr>
        <w:widowControl/>
      </w:pPr>
      <w:r>
        <w:t>Population weighting increases the influence of neighbourhoods in which more residents live, but it does not create person-level exposure data. Municipal averages may conceal intra-municipal inequality, especially in large or heterogeneous municipalities. The environmental profiles should therefore be interpreted as administrative-area summaries rather than descriptions of every neighbourhood or resident.</w:t>
      </w:r>
    </w:p>
    <w:p>
      <w:pPr>
        <w:widowControl/>
      </w:pPr>
      <w:r>
        <w:t>The study also delimits vulnerability conceptually. It analyses environmental exposure and land-cover conditions, with heat as the modelled outcome, but does not directly include age, income, health, housing quality, institutional capacity, or behavioural adaptation. Because these factors are central to full vulnerability assessment, the results are best described as municipal environmental vulnerability patterns rather than comprehensive climate vulnerability scores (IPCC, 2022; Ahmed et al., 2023).</w:t>
      </w:r>
    </w:p>
    <w:p>
      <w:pPr>
        <w:pStyle w:val="Heading2"/>
        <w:keepNext/>
      </w:pPr>
      <w:r>
        <w:t>1.10 Definition of Key Terms</w:t>
      </w:r>
    </w:p>
    <w:p>
      <w:pPr>
        <w:spacing w:before="160" w:after="80"/>
        <w:keepNext/>
      </w:pPr>
      <w:r>
        <w:rPr>
          <w:b/>
          <w:sz w:val="20"/>
        </w:rPr>
        <w:t>Table 1.4 Operational definitions of key terms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680"/>
        <w:gridCol w:w="4680"/>
      </w:tblGrid>
      <w:tr>
        <w:trPr>
          <w:tblHeader w:val="true"/>
          <w:cantSplit/>
        </w:trPr>
        <w:tc>
          <w:tcPr>
            <w:tcW w:type="dxa" w:w="2376"/>
            <w:tcMar>
              <w:top w:w="90" w:type="dxa"/>
              <w:start w:w="90" w:type="dxa"/>
              <w:bottom w:w="90" w:type="dxa"/>
              <w:end w:w="90" w:type="dxa"/>
            </w:tcMar>
            <w:shd w:fill="17365D"/>
            <w:vAlign w:val="center"/>
          </w:tcPr>
          <w:p>
            <w:pPr>
              <w:pStyle w:val="TableText"/>
              <w:jc w:val="center"/>
              <w:keepNext/>
            </w:pPr>
            <w:r>
              <w:rPr>
                <w:b/>
                <w:color w:val="FFFFFF"/>
                <w:sz w:val="16"/>
              </w:rPr>
              <w:t>Term</w:t>
            </w:r>
          </w:p>
        </w:tc>
        <w:tc>
          <w:tcPr>
            <w:tcW w:type="dxa" w:w="6624"/>
            <w:tcMar>
              <w:top w:w="90" w:type="dxa"/>
              <w:start w:w="90" w:type="dxa"/>
              <w:bottom w:w="90" w:type="dxa"/>
              <w:end w:w="90" w:type="dxa"/>
            </w:tcMar>
            <w:shd w:fill="17365D"/>
            <w:vAlign w:val="center"/>
          </w:tcPr>
          <w:p>
            <w:pPr>
              <w:pStyle w:val="TableText"/>
              <w:jc w:val="center"/>
              <w:keepNext/>
            </w:pPr>
            <w:r>
              <w:rPr>
                <w:b/>
                <w:color w:val="FFFFFF"/>
                <w:sz w:val="16"/>
              </w:rPr>
              <w:t>Definition in this study</w:t>
            </w:r>
          </w:p>
        </w:tc>
      </w:tr>
      <w:tr>
        <w:trPr>
          <w:cantSplit/>
        </w:trPr>
        <w:tc>
          <w:tcPr>
            <w:tcW w:type="dxa" w:w="2376"/>
            <w:tcMar>
              <w:top w:w="90" w:type="dxa"/>
              <w:start w:w="90" w:type="dxa"/>
              <w:bottom w:w="90" w:type="dxa"/>
              <w:end w:w="90" w:type="dxa"/>
            </w:tcMar>
            <w:vAlign w:val="center"/>
          </w:tcPr>
          <w:p>
            <w:pPr>
              <w:pStyle w:val="TableText"/>
            </w:pPr>
            <w:r>
              <w:t>Environmental vulnerability</w:t>
            </w:r>
          </w:p>
        </w:tc>
        <w:tc>
          <w:tcPr>
            <w:tcW w:type="dxa" w:w="6624"/>
            <w:tcMar>
              <w:top w:w="90" w:type="dxa"/>
              <w:start w:w="90" w:type="dxa"/>
              <w:bottom w:w="90" w:type="dxa"/>
              <w:end w:w="90" w:type="dxa"/>
            </w:tcMar>
            <w:vAlign w:val="center"/>
          </w:tcPr>
          <w:p>
            <w:pPr>
              <w:pStyle w:val="TableText"/>
            </w:pPr>
            <w:r>
              <w:t>The municipality-level pattern of selected physical exposure and land-cover indicators; not a complete measure of social vulnerability.</w:t>
            </w:r>
          </w:p>
        </w:tc>
      </w:tr>
      <w:tr>
        <w:trPr>
          <w:cantSplit/>
        </w:trPr>
        <w:tc>
          <w:tcPr>
            <w:tcW w:type="dxa" w:w="2376"/>
            <w:tcMar>
              <w:top w:w="90" w:type="dxa"/>
              <w:start w:w="90" w:type="dxa"/>
              <w:bottom w:w="90" w:type="dxa"/>
              <w:end w:w="90" w:type="dxa"/>
            </w:tcMar>
            <w:vAlign w:val="center"/>
            <w:shd w:fill="F2F6FA"/>
          </w:tcPr>
          <w:p>
            <w:pPr>
              <w:pStyle w:val="TableText"/>
            </w:pPr>
            <w:r>
              <w:t>Exposure</w:t>
            </w:r>
          </w:p>
        </w:tc>
        <w:tc>
          <w:tcPr>
            <w:tcW w:type="dxa" w:w="6624"/>
            <w:tcMar>
              <w:top w:w="90" w:type="dxa"/>
              <w:start w:w="90" w:type="dxa"/>
              <w:bottom w:w="90" w:type="dxa"/>
              <w:end w:w="90" w:type="dxa"/>
            </w:tcMar>
            <w:vAlign w:val="center"/>
            <w:shd w:fill="F2F6FA"/>
          </w:tcPr>
          <w:p>
            <w:pPr>
              <w:pStyle w:val="TableText"/>
            </w:pPr>
            <w:r>
              <w:t>The spatial presence or share of land and population-related environments subject to the selected heat, flood, heavy-rain, or drought condition.</w:t>
            </w:r>
          </w:p>
        </w:tc>
      </w:tr>
      <w:tr>
        <w:trPr>
          <w:cantSplit/>
        </w:trPr>
        <w:tc>
          <w:tcPr>
            <w:tcW w:type="dxa" w:w="2376"/>
            <w:tcMar>
              <w:top w:w="90" w:type="dxa"/>
              <w:start w:w="90" w:type="dxa"/>
              <w:bottom w:w="90" w:type="dxa"/>
              <w:end w:w="90" w:type="dxa"/>
            </w:tcMar>
            <w:vAlign w:val="center"/>
          </w:tcPr>
          <w:p>
            <w:pPr>
              <w:pStyle w:val="TableText"/>
            </w:pPr>
            <w:r>
              <w:t>Tree-canopy cover</w:t>
            </w:r>
          </w:p>
        </w:tc>
        <w:tc>
          <w:tcPr>
            <w:tcW w:type="dxa" w:w="6624"/>
            <w:tcMar>
              <w:top w:w="90" w:type="dxa"/>
              <w:start w:w="90" w:type="dxa"/>
              <w:bottom w:w="90" w:type="dxa"/>
              <w:end w:w="90" w:type="dxa"/>
            </w:tcMar>
            <w:vAlign w:val="center"/>
          </w:tcPr>
          <w:p>
            <w:pPr>
              <w:pStyle w:val="TableText"/>
            </w:pPr>
            <w:r>
              <w:t>The percentage of municipal land represented by the selected AHN4 canopy field after population-weighted aggregation.</w:t>
            </w:r>
          </w:p>
        </w:tc>
      </w:tr>
      <w:tr>
        <w:trPr>
          <w:cantSplit/>
        </w:trPr>
        <w:tc>
          <w:tcPr>
            <w:tcW w:type="dxa" w:w="2376"/>
            <w:tcMar>
              <w:top w:w="90" w:type="dxa"/>
              <w:start w:w="90" w:type="dxa"/>
              <w:bottom w:w="90" w:type="dxa"/>
              <w:end w:w="90" w:type="dxa"/>
            </w:tcMar>
            <w:vAlign w:val="center"/>
            <w:shd w:fill="F2F6FA"/>
          </w:tcPr>
          <w:p>
            <w:pPr>
              <w:pStyle w:val="TableText"/>
            </w:pPr>
            <w:r>
              <w:t>Drought depth</w:t>
            </w:r>
          </w:p>
        </w:tc>
        <w:tc>
          <w:tcPr>
            <w:tcW w:type="dxa" w:w="6624"/>
            <w:tcMar>
              <w:top w:w="90" w:type="dxa"/>
              <w:start w:w="90" w:type="dxa"/>
              <w:bottom w:w="90" w:type="dxa"/>
              <w:end w:w="90" w:type="dxa"/>
            </w:tcMar>
            <w:vAlign w:val="center"/>
            <w:shd w:fill="F2F6FA"/>
          </w:tcPr>
          <w:p>
            <w:pPr>
              <w:pStyle w:val="TableText"/>
            </w:pPr>
            <w:r>
              <w:t>The selected modelled groundwater-depth indicator, expressed in metres below ground and used as a drought-exposure proxy.</w:t>
            </w:r>
          </w:p>
        </w:tc>
      </w:tr>
      <w:tr>
        <w:trPr>
          <w:cantSplit/>
        </w:trPr>
        <w:tc>
          <w:tcPr>
            <w:tcW w:type="dxa" w:w="2376"/>
            <w:tcMar>
              <w:top w:w="90" w:type="dxa"/>
              <w:start w:w="90" w:type="dxa"/>
              <w:bottom w:w="90" w:type="dxa"/>
              <w:end w:w="90" w:type="dxa"/>
            </w:tcMar>
            <w:vAlign w:val="center"/>
          </w:tcPr>
          <w:p>
            <w:pPr>
              <w:pStyle w:val="TableText"/>
            </w:pPr>
            <w:r>
              <w:t>Heat exposure</w:t>
            </w:r>
          </w:p>
        </w:tc>
        <w:tc>
          <w:tcPr>
            <w:tcW w:type="dxa" w:w="6624"/>
            <w:tcMar>
              <w:top w:w="90" w:type="dxa"/>
              <w:start w:w="90" w:type="dxa"/>
              <w:bottom w:w="90" w:type="dxa"/>
              <w:end w:w="90" w:type="dxa"/>
            </w:tcMar>
            <w:vAlign w:val="center"/>
          </w:tcPr>
          <w:p>
            <w:pPr>
              <w:pStyle w:val="TableText"/>
            </w:pPr>
            <w:r>
              <w:t>The combined percentage associated with apparent-temperature categories of at least 41 degrees Celsius.</w:t>
            </w:r>
          </w:p>
        </w:tc>
      </w:tr>
      <w:tr>
        <w:trPr>
          <w:cantSplit/>
        </w:trPr>
        <w:tc>
          <w:tcPr>
            <w:tcW w:type="dxa" w:w="2376"/>
            <w:tcMar>
              <w:top w:w="90" w:type="dxa"/>
              <w:start w:w="90" w:type="dxa"/>
              <w:bottom w:w="90" w:type="dxa"/>
              <w:end w:w="90" w:type="dxa"/>
            </w:tcMar>
            <w:vAlign w:val="center"/>
            <w:shd w:fill="F2F6FA"/>
          </w:tcPr>
          <w:p>
            <w:pPr>
              <w:pStyle w:val="TableText"/>
            </w:pPr>
            <w:r>
              <w:t>Flood exposure</w:t>
            </w:r>
          </w:p>
        </w:tc>
        <w:tc>
          <w:tcPr>
            <w:tcW w:type="dxa" w:w="6624"/>
            <w:tcMar>
              <w:top w:w="90" w:type="dxa"/>
              <w:start w:w="90" w:type="dxa"/>
              <w:bottom w:w="90" w:type="dxa"/>
              <w:end w:w="90" w:type="dxa"/>
            </w:tcMar>
            <w:vAlign w:val="center"/>
            <w:shd w:fill="F2F6FA"/>
          </w:tcPr>
          <w:p>
            <w:pPr>
              <w:pStyle w:val="TableText"/>
            </w:pPr>
            <w:r>
              <w:t>The combined percentage exposed to maximum flood depth above 50 centimetres.</w:t>
            </w:r>
          </w:p>
        </w:tc>
      </w:tr>
      <w:tr>
        <w:trPr>
          <w:cantSplit/>
        </w:trPr>
        <w:tc>
          <w:tcPr>
            <w:tcW w:type="dxa" w:w="2376"/>
            <w:tcMar>
              <w:top w:w="90" w:type="dxa"/>
              <w:start w:w="90" w:type="dxa"/>
              <w:bottom w:w="90" w:type="dxa"/>
              <w:end w:w="90" w:type="dxa"/>
            </w:tcMar>
            <w:vAlign w:val="center"/>
          </w:tcPr>
          <w:p>
            <w:pPr>
              <w:pStyle w:val="TableText"/>
            </w:pPr>
            <w:r>
              <w:t>Heavy-rain exposure</w:t>
            </w:r>
          </w:p>
        </w:tc>
        <w:tc>
          <w:tcPr>
            <w:tcW w:type="dxa" w:w="6624"/>
            <w:tcMar>
              <w:top w:w="90" w:type="dxa"/>
              <w:start w:w="90" w:type="dxa"/>
              <w:bottom w:w="90" w:type="dxa"/>
              <w:end w:w="90" w:type="dxa"/>
            </w:tcMar>
            <w:vAlign w:val="center"/>
          </w:tcPr>
          <w:p>
            <w:pPr>
              <w:pStyle w:val="TableText"/>
            </w:pPr>
            <w:r>
              <w:t>The combined percentage associated with pluvial water depth of at least 20 centimetres, following workbook metadata.</w:t>
            </w:r>
          </w:p>
        </w:tc>
      </w:tr>
      <w:tr>
        <w:trPr>
          <w:cantSplit/>
        </w:trPr>
        <w:tc>
          <w:tcPr>
            <w:tcW w:type="dxa" w:w="2376"/>
            <w:tcMar>
              <w:top w:w="90" w:type="dxa"/>
              <w:start w:w="90" w:type="dxa"/>
              <w:bottom w:w="90" w:type="dxa"/>
              <w:end w:w="90" w:type="dxa"/>
            </w:tcMar>
            <w:vAlign w:val="center"/>
            <w:shd w:fill="F2F6FA"/>
          </w:tcPr>
          <w:p>
            <w:pPr>
              <w:pStyle w:val="TableText"/>
            </w:pPr>
            <w:r>
              <w:t>Principal component</w:t>
            </w:r>
          </w:p>
        </w:tc>
        <w:tc>
          <w:tcPr>
            <w:tcW w:type="dxa" w:w="6624"/>
            <w:tcMar>
              <w:top w:w="90" w:type="dxa"/>
              <w:start w:w="90" w:type="dxa"/>
              <w:bottom w:w="90" w:type="dxa"/>
              <w:end w:w="90" w:type="dxa"/>
            </w:tcMar>
            <w:vAlign w:val="center"/>
            <w:shd w:fill="F2F6FA"/>
          </w:tcPr>
          <w:p>
            <w:pPr>
              <w:pStyle w:val="TableText"/>
            </w:pPr>
            <w:r>
              <w:t>An orthogonal linear combination of standardised indicators that captures a descending share of total variance.</w:t>
            </w:r>
          </w:p>
        </w:tc>
      </w:tr>
      <w:tr>
        <w:trPr>
          <w:cantSplit/>
        </w:trPr>
        <w:tc>
          <w:tcPr>
            <w:tcW w:type="dxa" w:w="2376"/>
            <w:tcMar>
              <w:top w:w="90" w:type="dxa"/>
              <w:start w:w="90" w:type="dxa"/>
              <w:bottom w:w="90" w:type="dxa"/>
              <w:end w:w="90" w:type="dxa"/>
            </w:tcMar>
            <w:vAlign w:val="center"/>
          </w:tcPr>
          <w:p>
            <w:pPr>
              <w:pStyle w:val="TableText"/>
            </w:pPr>
            <w:r>
              <w:t>Environmental profile</w:t>
            </w:r>
          </w:p>
        </w:tc>
        <w:tc>
          <w:tcPr>
            <w:tcW w:type="dxa" w:w="6624"/>
            <w:tcMar>
              <w:top w:w="90" w:type="dxa"/>
              <w:start w:w="90" w:type="dxa"/>
              <w:bottom w:w="90" w:type="dxa"/>
              <w:end w:w="90" w:type="dxa"/>
            </w:tcMar>
            <w:vAlign w:val="center"/>
          </w:tcPr>
          <w:p>
            <w:pPr>
              <w:pStyle w:val="TableText"/>
            </w:pPr>
            <w:r>
              <w:t>A descriptive cluster of municipalities with similar standardised indicator patterns; it is not a fixed natural category.</w:t>
            </w:r>
          </w:p>
        </w:tc>
      </w:tr>
      <w:tr>
        <w:trPr>
          <w:cantSplit/>
        </w:trPr>
        <w:tc>
          <w:tcPr>
            <w:tcW w:type="dxa" w:w="2376"/>
            <w:tcMar>
              <w:top w:w="90" w:type="dxa"/>
              <w:start w:w="90" w:type="dxa"/>
              <w:bottom w:w="90" w:type="dxa"/>
              <w:end w:w="90" w:type="dxa"/>
            </w:tcMar>
            <w:vAlign w:val="center"/>
            <w:shd w:fill="F2F6FA"/>
          </w:tcPr>
          <w:p>
            <w:pPr>
              <w:pStyle w:val="TableText"/>
            </w:pPr>
            <w:r>
              <w:t>Spatial dependence</w:t>
            </w:r>
          </w:p>
        </w:tc>
        <w:tc>
          <w:tcPr>
            <w:tcW w:type="dxa" w:w="6624"/>
            <w:tcMar>
              <w:top w:w="90" w:type="dxa"/>
              <w:start w:w="90" w:type="dxa"/>
              <w:bottom w:w="90" w:type="dxa"/>
              <w:end w:w="90" w:type="dxa"/>
            </w:tcMar>
            <w:vAlign w:val="center"/>
            <w:shd w:fill="F2F6FA"/>
          </w:tcPr>
          <w:p>
            <w:pPr>
              <w:pStyle w:val="TableText"/>
            </w:pPr>
            <w:r>
              <w:t>Statistical similarity or interaction among geographically connected municipalities under a specified spatial-weights matrix.</w:t>
            </w:r>
          </w:p>
        </w:tc>
      </w:tr>
    </w:tbl>
    <w:p>
      <w:pPr>
        <w:spacing w:after="20"/>
      </w:pPr>
    </w:p>
    <w:p>
      <w:pPr>
        <w:pStyle w:val="Heading2"/>
        <w:keepNext/>
      </w:pPr>
      <w:r>
        <w:t>1.11 Organisation of the Thesis</w:t>
      </w:r>
    </w:p>
    <w:p>
      <w:pPr>
        <w:widowControl/>
      </w:pPr>
      <w:r>
        <w:t>Chapter One introduces the study, defines the problem and research gap, and presents the aim, objectives, questions, significance, and scope. Chapter Two reviews the theoretical, empirical, and policy literature on environmental vulnerability, climate hazards, urban greening, multivariate assessment, and spatial dependence. Chapter Three documents the research design, data preparation, indicator construction, statistical equations, diagnostics, spatial models, and reproducibility procedures. Chapter Four presents the empirical results through tables, figures, maps, and model comparisons. Chapter Five interprets the findings, answers the research questions, discusses limitations and implications, and provides conclusions and recommendations.</w:t>
      </w:r>
    </w:p>
    <w:p>
      <w:pPr>
        <w:pStyle w:val="Heading2"/>
        <w:keepNext/>
      </w:pPr>
      <w:r>
        <w:t>1.12 Chapter Summary</w:t>
      </w:r>
    </w:p>
    <w:p>
      <w:pPr>
        <w:widowControl/>
      </w:pPr>
      <w:r>
        <w:t>This chapter has established the need for an integrated municipality-level analysis of Dutch environmental vulnerability. The central problem is that separate hazard indicators do not reveal multivariate structure, recurring profiles, adjusted relationships, or spatial dependence. The identified research gap concerns the absence, within the reviewed evidence, of one reproducible workflow integrating five environmental indicators at national municipal scale through PCA, validated clustering, regression, and spatial econometrics. The study responds with five aligned research questions and a clearly bounded ecological design. Chapter Two now develops the conceptual and empirical foundation required to interpret these indicators and methods.</w:t>
      </w:r>
    </w:p>
    <w:p>
      <w:r>
        <w:br w:type="page"/>
      </w:r>
    </w:p>
    <w:p>
      <w:pPr>
        <w:pStyle w:val="Heading1"/>
        <w:keepNext/>
        <w:pageBreakBefore/>
      </w:pPr>
      <w:r>
        <w:t>2 Literature Review and Conceptual Framework</w:t>
      </w:r>
    </w:p>
    <w:p>
      <w:pPr>
        <w:widowControl/>
      </w:pPr>
      <w:r>
        <w:t>This chapter reviews the concepts and evidence needed to analyse environmental vulnerability across Dutch municipalities. It begins by distinguishing hazard, exposure, vulnerability, and risk, because these terms determine what can legitimately be inferred from the five selected indicators. It then examines the Dutch climate-adaptation context and the mechanisms associated with heat, canopy cover, drought depth, flood exposure, and heavy-rain exposure. The review subsequently evaluates multivariate and spatial methods used to identify structure, construct typologies, estimate adjusted associations, and test geographic dependence. The final sections synthesise the empirical evidence, state the research gap in bounded terms, and present the conceptual framework that connects the literature to the five research questions.</w:t>
      </w:r>
    </w:p>
    <w:p>
      <w:pPr>
        <w:widowControl/>
      </w:pPr>
      <w:r>
        <w:t>The review is deliberately interdisciplinary. Physical climate science explains the hazards; urban-climate and land-cover research clarifies local heat mechanisms; vulnerability scholarship establishes conceptual limits; and statistical literature supports the analytical sequence. This breadth is necessary because a municipality-level indicator can be technically reliable yet conceptually incomplete. The chapter therefore treats the study as an analysis of environmental vulnerability patterns rather than a comprehensive index of social or individual vulnerability.</w:t>
      </w:r>
    </w:p>
    <w:p>
      <w:pPr>
        <w:pStyle w:val="Heading2"/>
        <w:keepNext/>
      </w:pPr>
      <w:r>
        <w:t>2.1 Purpose and Scope of the Review</w:t>
      </w:r>
    </w:p>
    <w:p>
      <w:pPr>
        <w:widowControl/>
      </w:pPr>
      <w:r>
        <w:t>The review has four purposes. First, it defines the conceptual domain represented by the indicators. Second, it assesses what Dutch and related north-west European evidence establishes about the selected environmental processes. Third, it identifies methodological principles relevant to indicator construction, principal component analysis, clustering, regression, and spatial econometrics. Fourth, it locates the study's contribution without claiming that multihazard or spatial research is absent. The emphasis is on evidence that informs the municipality-level, cross-sectional design described in Chapter Three.</w:t>
      </w:r>
    </w:p>
    <w:p>
      <w:pPr>
        <w:widowControl/>
      </w:pPr>
      <w:r>
        <w:t>Three boundaries guide the review. The unit of analysis is the municipality, although several source indicators originate at neighbourhood level. The empirical domain is environmental exposure and land cover; demographic sensitivity and institutional adaptive capacity are discussed conceptually but are not measured directly. Finally, the review distinguishes association from causation. Cross-sectional relationships can reveal conditional patterns and spatial structure, but they cannot establish that changing one municipal indicator would produce a specified change in another.</w:t>
      </w:r>
    </w:p>
    <w:p>
      <w:pPr>
        <w:pStyle w:val="Heading2"/>
        <w:keepNext/>
      </w:pPr>
      <w:r>
        <w:t>2.2 Conceptual Foundations</w:t>
      </w:r>
    </w:p>
    <w:p>
      <w:pPr>
        <w:pStyle w:val="Heading3"/>
        <w:keepNext/>
      </w:pPr>
      <w:r>
        <w:t>2.2.1 Hazard Exposure Vulnerability and Risk</w:t>
      </w:r>
    </w:p>
    <w:p>
      <w:pPr>
        <w:widowControl/>
      </w:pPr>
      <w:r>
        <w:t>The Intergovernmental Panel on Climate Change defines climate risk through interacting climatic hazards, exposure, and vulnerability. A hazard is a potentially damaging physical event or trend; exposure concerns people, ecosystems, infrastructure, or assets located where harm may occur; and vulnerability refers to the propensity or predisposition to be adversely affected. Vulnerability includes sensitivity or susceptibility to harm and limitations in the capacity to cope and adapt (IPCC, 2022). The distinction matters because a map of high flood depth or extreme heat does not, by itself, identify who is most likely to suffer harm or how effectively local systems can respond.</w:t>
      </w:r>
    </w:p>
    <w:p>
      <w:pPr>
        <w:widowControl/>
      </w:pPr>
      <w:r>
        <w:t>Indicator-based assessments often combine these concepts because policy decisions require concise comparative information. Yet aggregation can conceal which component drives a score and can imply substitutability among fundamentally different processes. The OECD and Joint Research Centre therefore recommend that composite indicators be built from an explicit theoretical framework, with transparent normalisation, weighting, aggregation, and sensitivity analysis (OECD &amp; European Union, 2008). For this study, the five variables are retained separately before multivariate analysis so that shared structure can be identified without imposing an a priori single vulnerability score.</w:t>
      </w:r>
    </w:p>
    <w:p>
      <w:pPr>
        <w:pStyle w:val="Heading3"/>
        <w:keepNext/>
      </w:pPr>
      <w:r>
        <w:t>2.2.2 Environmental and Social Vulnerability</w:t>
      </w:r>
    </w:p>
    <w:p>
      <w:pPr>
        <w:widowControl/>
      </w:pPr>
      <w:r>
        <w:t>Social-vulnerability research shows that losses are shaped by demographic composition, wealth, housing, health, mobility, and institutional capacity as well as by physical hazard. Cutter et al. (2003) demonstrated how place-based social indicators can be reduced to interpretable dimensions and used to compare geographic areas. Their approach also illustrates a persistent tension: indices improve comparability, but the meaning of vulnerability depends on the selected variables, scale, and social context.</w:t>
      </w:r>
    </w:p>
    <w:p>
      <w:pPr>
        <w:widowControl/>
      </w:pPr>
      <w:r>
        <w:t>The present study addresses a narrower construct. Canopy cover is a land-cover and potential adaptive feature, while heat, drought, flood, and heavy rain represent environmental conditions or exposures. The dataset does not directly measure age, income, disability, housing quality, public health, risk perception, governance, or household capacity. The term environmental vulnerability is therefore used to describe patterns in the selected physical and land-cover indicators. It should not be read as a claim that municipalities with the highest environmental exposure necessarily contain the most socially vulnerable residents.</w:t>
      </w:r>
    </w:p>
    <w:p>
      <w:pPr>
        <w:pStyle w:val="Heading3"/>
        <w:keepNext/>
      </w:pPr>
      <w:r>
        <w:t>2.2.3 Scale Aggregation and Ecological Interpretation</w:t>
      </w:r>
    </w:p>
    <w:p>
      <w:pPr>
        <w:widowControl/>
      </w:pPr>
      <w:r>
        <w:t>Spatial scale affects both measurement and inference. A municipality can contain dense urban neighbourhoods, agricultural land, water bodies, and small settlements, each with different exposures. Aggregating neighbourhood indicators creates a common policy-relevant unit but reduces within-municipality variation. Birkmann (2007) argues that vulnerability indicators must be matched to the scale and purpose of the assessment; otherwise, technically precise measures can produce misleading comparisons.</w:t>
      </w:r>
    </w:p>
    <w:p>
      <w:pPr>
        <w:widowControl/>
      </w:pPr>
      <w:r>
        <w:t>Population weighting addresses one aspect of aggregation by giving greater influence to conditions where more residents live. It does not transform area-level data into individual exposure, nor does it remove the ecological fallacy. Municipality-level associations may differ from relationships among neighbourhoods or individuals. This limitation is especially important for heat and canopy, which can vary sharply within cities, and for flood exposure, where small high-risk zones may be diluted by a municipal average. The study therefore uses municipal results for national comparison and screening, while reserving neighbourhood-level conclusions for future work.</w:t>
      </w:r>
    </w:p>
    <w:p>
      <w:pPr>
        <w:pageBreakBefore/>
        <w:spacing w:before="160" w:after="80"/>
        <w:keepNext/>
      </w:pPr>
      <w:r>
        <w:rPr>
          <w:b/>
          <w:sz w:val="20"/>
        </w:rPr>
        <w:t>Table 2.1 Core concepts and implications for this study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512"/>
            <w:tcMar>
              <w:top w:w="75" w:type="dxa"/>
              <w:start w:w="75" w:type="dxa"/>
              <w:bottom w:w="75" w:type="dxa"/>
              <w:end w:w="75" w:type="dxa"/>
            </w:tcMar>
            <w:shd w:fill="17365D"/>
            <w:vAlign w:val="center"/>
          </w:tcPr>
          <w:p>
            <w:pPr>
              <w:pStyle w:val="TableText"/>
              <w:jc w:val="center"/>
              <w:keepNext/>
            </w:pPr>
            <w:r>
              <w:rPr>
                <w:b/>
                <w:color w:val="FFFFFF"/>
                <w:sz w:val="16"/>
              </w:rPr>
              <w:t>Concept</w:t>
            </w:r>
          </w:p>
        </w:tc>
        <w:tc>
          <w:tcPr>
            <w:tcW w:type="dxa" w:w="3528"/>
            <w:tcMar>
              <w:top w:w="75" w:type="dxa"/>
              <w:start w:w="75" w:type="dxa"/>
              <w:bottom w:w="75" w:type="dxa"/>
              <w:end w:w="75" w:type="dxa"/>
            </w:tcMar>
            <w:shd w:fill="17365D"/>
            <w:vAlign w:val="center"/>
          </w:tcPr>
          <w:p>
            <w:pPr>
              <w:pStyle w:val="TableText"/>
              <w:jc w:val="center"/>
              <w:keepNext/>
            </w:pPr>
            <w:r>
              <w:rPr>
                <w:b/>
                <w:color w:val="FFFFFF"/>
                <w:sz w:val="16"/>
              </w:rPr>
              <w:t>Meaning in the literature</w:t>
            </w:r>
          </w:p>
        </w:tc>
        <w:tc>
          <w:tcPr>
            <w:tcW w:type="dxa" w:w="3960"/>
            <w:tcMar>
              <w:top w:w="75" w:type="dxa"/>
              <w:start w:w="75" w:type="dxa"/>
              <w:bottom w:w="75" w:type="dxa"/>
              <w:end w:w="75" w:type="dxa"/>
            </w:tcMar>
            <w:shd w:fill="17365D"/>
            <w:vAlign w:val="center"/>
          </w:tcPr>
          <w:p>
            <w:pPr>
              <w:pStyle w:val="TableText"/>
              <w:jc w:val="center"/>
              <w:keepNext/>
            </w:pPr>
            <w:r>
              <w:rPr>
                <w:b/>
                <w:color w:val="FFFFFF"/>
                <w:sz w:val="16"/>
              </w:rPr>
              <w:t>Operational implication</w:t>
            </w:r>
          </w:p>
        </w:tc>
      </w:tr>
      <w:tr>
        <w:trPr>
          <w:cantSplit/>
        </w:trPr>
        <w:tc>
          <w:tcPr>
            <w:tcW w:type="dxa" w:w="1512"/>
            <w:tcMar>
              <w:top w:w="75" w:type="dxa"/>
              <w:start w:w="75" w:type="dxa"/>
              <w:bottom w:w="75" w:type="dxa"/>
              <w:end w:w="75" w:type="dxa"/>
            </w:tcMar>
            <w:vAlign w:val="center"/>
          </w:tcPr>
          <w:p>
            <w:pPr>
              <w:pStyle w:val="TableText"/>
            </w:pPr>
            <w:r>
              <w:t>Hazard</w:t>
            </w:r>
          </w:p>
        </w:tc>
        <w:tc>
          <w:tcPr>
            <w:tcW w:type="dxa" w:w="3528"/>
            <w:tcMar>
              <w:top w:w="75" w:type="dxa"/>
              <w:start w:w="75" w:type="dxa"/>
              <w:bottom w:w="75" w:type="dxa"/>
              <w:end w:w="75" w:type="dxa"/>
            </w:tcMar>
            <w:vAlign w:val="center"/>
          </w:tcPr>
          <w:p>
            <w:pPr>
              <w:pStyle w:val="TableText"/>
            </w:pPr>
            <w:r>
              <w:t>A potentially damaging physical event, trend, or climate condition.</w:t>
            </w:r>
          </w:p>
        </w:tc>
        <w:tc>
          <w:tcPr>
            <w:tcW w:type="dxa" w:w="3960"/>
            <w:tcMar>
              <w:top w:w="75" w:type="dxa"/>
              <w:start w:w="75" w:type="dxa"/>
              <w:bottom w:w="75" w:type="dxa"/>
              <w:end w:w="75" w:type="dxa"/>
            </w:tcMar>
            <w:vAlign w:val="center"/>
          </w:tcPr>
          <w:p>
            <w:pPr>
              <w:pStyle w:val="TableText"/>
            </w:pPr>
            <w:r>
              <w:t>Heat, drought, flood, and heavy-rain indicators describe different environmental processes and are not interchangeable.</w:t>
            </w:r>
          </w:p>
        </w:tc>
      </w:tr>
      <w:tr>
        <w:trPr>
          <w:cantSplit/>
        </w:trPr>
        <w:tc>
          <w:tcPr>
            <w:tcW w:type="dxa" w:w="1512"/>
            <w:tcMar>
              <w:top w:w="75" w:type="dxa"/>
              <w:start w:w="75" w:type="dxa"/>
              <w:bottom w:w="75" w:type="dxa"/>
              <w:end w:w="75" w:type="dxa"/>
            </w:tcMar>
            <w:vAlign w:val="center"/>
            <w:shd w:fill="F2F6FA"/>
          </w:tcPr>
          <w:p>
            <w:pPr>
              <w:pStyle w:val="TableText"/>
            </w:pPr>
            <w:r>
              <w:t>Exposure</w:t>
            </w:r>
          </w:p>
        </w:tc>
        <w:tc>
          <w:tcPr>
            <w:tcW w:type="dxa" w:w="3528"/>
            <w:tcMar>
              <w:top w:w="75" w:type="dxa"/>
              <w:start w:w="75" w:type="dxa"/>
              <w:bottom w:w="75" w:type="dxa"/>
              <w:end w:w="75" w:type="dxa"/>
            </w:tcMar>
            <w:vAlign w:val="center"/>
            <w:shd w:fill="F2F6FA"/>
          </w:tcPr>
          <w:p>
            <w:pPr>
              <w:pStyle w:val="TableText"/>
            </w:pPr>
            <w:r>
              <w:t>The presence of people, ecosystems, infrastructure, or assets in places that could be affected.</w:t>
            </w:r>
          </w:p>
        </w:tc>
        <w:tc>
          <w:tcPr>
            <w:tcW w:type="dxa" w:w="3960"/>
            <w:tcMar>
              <w:top w:w="75" w:type="dxa"/>
              <w:start w:w="75" w:type="dxa"/>
              <w:bottom w:w="75" w:type="dxa"/>
              <w:end w:w="75" w:type="dxa"/>
            </w:tcMar>
            <w:vAlign w:val="center"/>
            <w:shd w:fill="F2F6FA"/>
          </w:tcPr>
          <w:p>
            <w:pPr>
              <w:pStyle w:val="TableText"/>
            </w:pPr>
            <w:r>
              <w:t>Percentage-based fields provide area-level proxies, not direct measures of individual exposure.</w:t>
            </w:r>
          </w:p>
        </w:tc>
      </w:tr>
      <w:tr>
        <w:trPr>
          <w:cantSplit/>
        </w:trPr>
        <w:tc>
          <w:tcPr>
            <w:tcW w:type="dxa" w:w="1512"/>
            <w:tcMar>
              <w:top w:w="75" w:type="dxa"/>
              <w:start w:w="75" w:type="dxa"/>
              <w:bottom w:w="75" w:type="dxa"/>
              <w:end w:w="75" w:type="dxa"/>
            </w:tcMar>
            <w:vAlign w:val="center"/>
          </w:tcPr>
          <w:p>
            <w:pPr>
              <w:pStyle w:val="TableText"/>
            </w:pPr>
            <w:r>
              <w:t>Vulnerability</w:t>
            </w:r>
          </w:p>
        </w:tc>
        <w:tc>
          <w:tcPr>
            <w:tcW w:type="dxa" w:w="3528"/>
            <w:tcMar>
              <w:top w:w="75" w:type="dxa"/>
              <w:start w:w="75" w:type="dxa"/>
              <w:bottom w:w="75" w:type="dxa"/>
              <w:end w:w="75" w:type="dxa"/>
            </w:tcMar>
            <w:vAlign w:val="center"/>
          </w:tcPr>
          <w:p>
            <w:pPr>
              <w:pStyle w:val="TableText"/>
            </w:pPr>
            <w:r>
              <w:t>A propensity to harm shaped by sensitivity and capacity to cope or adapt.</w:t>
            </w:r>
          </w:p>
        </w:tc>
        <w:tc>
          <w:tcPr>
            <w:tcW w:type="dxa" w:w="3960"/>
            <w:tcMar>
              <w:top w:w="75" w:type="dxa"/>
              <w:start w:w="75" w:type="dxa"/>
              <w:bottom w:w="75" w:type="dxa"/>
              <w:end w:w="75" w:type="dxa"/>
            </w:tcMar>
            <w:vAlign w:val="center"/>
          </w:tcPr>
          <w:p>
            <w:pPr>
              <w:pStyle w:val="TableText"/>
            </w:pPr>
            <w:r>
              <w:t>The five indicators do not form a complete social-vulnerability index.</w:t>
            </w:r>
          </w:p>
        </w:tc>
      </w:tr>
      <w:tr>
        <w:trPr>
          <w:cantSplit/>
        </w:trPr>
        <w:tc>
          <w:tcPr>
            <w:tcW w:type="dxa" w:w="1512"/>
            <w:tcMar>
              <w:top w:w="75" w:type="dxa"/>
              <w:start w:w="75" w:type="dxa"/>
              <w:bottom w:w="75" w:type="dxa"/>
              <w:end w:w="75" w:type="dxa"/>
            </w:tcMar>
            <w:vAlign w:val="center"/>
            <w:shd w:fill="F2F6FA"/>
          </w:tcPr>
          <w:p>
            <w:pPr>
              <w:pStyle w:val="TableText"/>
            </w:pPr>
            <w:r>
              <w:t>Adaptive feature</w:t>
            </w:r>
          </w:p>
        </w:tc>
        <w:tc>
          <w:tcPr>
            <w:tcW w:type="dxa" w:w="3528"/>
            <w:tcMar>
              <w:top w:w="75" w:type="dxa"/>
              <w:start w:w="75" w:type="dxa"/>
              <w:bottom w:w="75" w:type="dxa"/>
              <w:end w:w="75" w:type="dxa"/>
            </w:tcMar>
            <w:vAlign w:val="center"/>
            <w:shd w:fill="F2F6FA"/>
          </w:tcPr>
          <w:p>
            <w:pPr>
              <w:pStyle w:val="TableText"/>
            </w:pPr>
            <w:r>
              <w:t>A physical or institutional attribute that can reduce exposure or sensitivity.</w:t>
            </w:r>
          </w:p>
        </w:tc>
        <w:tc>
          <w:tcPr>
            <w:tcW w:type="dxa" w:w="3960"/>
            <w:tcMar>
              <w:top w:w="75" w:type="dxa"/>
              <w:start w:w="75" w:type="dxa"/>
              <w:bottom w:w="75" w:type="dxa"/>
              <w:end w:w="75" w:type="dxa"/>
            </w:tcMar>
            <w:vAlign w:val="center"/>
            <w:shd w:fill="F2F6FA"/>
          </w:tcPr>
          <w:p>
            <w:pPr>
              <w:pStyle w:val="TableText"/>
            </w:pPr>
            <w:r>
              <w:t>Canopy is interpreted as a land-cover feature with potential cooling and water-management functions.</w:t>
            </w:r>
          </w:p>
        </w:tc>
      </w:tr>
      <w:tr>
        <w:trPr>
          <w:cantSplit/>
        </w:trPr>
        <w:tc>
          <w:tcPr>
            <w:tcW w:type="dxa" w:w="1512"/>
            <w:tcMar>
              <w:top w:w="75" w:type="dxa"/>
              <w:start w:w="75" w:type="dxa"/>
              <w:bottom w:w="75" w:type="dxa"/>
              <w:end w:w="75" w:type="dxa"/>
            </w:tcMar>
            <w:vAlign w:val="center"/>
          </w:tcPr>
          <w:p>
            <w:pPr>
              <w:pStyle w:val="TableText"/>
            </w:pPr>
            <w:r>
              <w:t>Spatial scale</w:t>
            </w:r>
          </w:p>
        </w:tc>
        <w:tc>
          <w:tcPr>
            <w:tcW w:type="dxa" w:w="3528"/>
            <w:tcMar>
              <w:top w:w="75" w:type="dxa"/>
              <w:start w:w="75" w:type="dxa"/>
              <w:bottom w:w="75" w:type="dxa"/>
              <w:end w:w="75" w:type="dxa"/>
            </w:tcMar>
            <w:vAlign w:val="center"/>
          </w:tcPr>
          <w:p>
            <w:pPr>
              <w:pStyle w:val="TableText"/>
            </w:pPr>
            <w:r>
              <w:t>The geographic level at which a process is measured and interpreted.</w:t>
            </w:r>
          </w:p>
        </w:tc>
        <w:tc>
          <w:tcPr>
            <w:tcW w:type="dxa" w:w="3960"/>
            <w:tcMar>
              <w:top w:w="75" w:type="dxa"/>
              <w:start w:w="75" w:type="dxa"/>
              <w:bottom w:w="75" w:type="dxa"/>
              <w:end w:w="75" w:type="dxa"/>
            </w:tcMar>
            <w:vAlign w:val="center"/>
          </w:tcPr>
          <w:p>
            <w:pPr>
              <w:pStyle w:val="TableText"/>
            </w:pPr>
            <w:r>
              <w:t>Municipal aggregation supports comparison but conceals neighbourhood heterogeneity.</w:t>
            </w:r>
          </w:p>
        </w:tc>
      </w:tr>
      <w:tr>
        <w:trPr>
          <w:cantSplit/>
        </w:trPr>
        <w:tc>
          <w:tcPr>
            <w:tcW w:type="dxa" w:w="1512"/>
            <w:tcMar>
              <w:top w:w="75" w:type="dxa"/>
              <w:start w:w="75" w:type="dxa"/>
              <w:bottom w:w="75" w:type="dxa"/>
              <w:end w:w="75" w:type="dxa"/>
            </w:tcMar>
            <w:vAlign w:val="center"/>
            <w:shd w:fill="F2F6FA"/>
          </w:tcPr>
          <w:p>
            <w:pPr>
              <w:pStyle w:val="TableText"/>
            </w:pPr>
            <w:r>
              <w:t>Climate risk</w:t>
            </w:r>
          </w:p>
        </w:tc>
        <w:tc>
          <w:tcPr>
            <w:tcW w:type="dxa" w:w="3528"/>
            <w:tcMar>
              <w:top w:w="75" w:type="dxa"/>
              <w:start w:w="75" w:type="dxa"/>
              <w:bottom w:w="75" w:type="dxa"/>
              <w:end w:w="75" w:type="dxa"/>
            </w:tcMar>
            <w:vAlign w:val="center"/>
            <w:shd w:fill="F2F6FA"/>
          </w:tcPr>
          <w:p>
            <w:pPr>
              <w:pStyle w:val="TableText"/>
            </w:pPr>
            <w:r>
              <w:t>The potential for adverse consequences arising from interacting hazard, exposure, and vulnerability.</w:t>
            </w:r>
          </w:p>
        </w:tc>
        <w:tc>
          <w:tcPr>
            <w:tcW w:type="dxa" w:w="3960"/>
            <w:tcMar>
              <w:top w:w="75" w:type="dxa"/>
              <w:start w:w="75" w:type="dxa"/>
              <w:bottom w:w="75" w:type="dxa"/>
              <w:end w:w="75" w:type="dxa"/>
            </w:tcMar>
            <w:vAlign w:val="center"/>
            <w:shd w:fill="F2F6FA"/>
          </w:tcPr>
          <w:p>
            <w:pPr>
              <w:pStyle w:val="TableText"/>
            </w:pPr>
            <w:r>
              <w:t>Results support risk screening but do not estimate expected loss or causal effects.</w:t>
            </w:r>
          </w:p>
        </w:tc>
      </w:tr>
    </w:tbl>
    <w:p>
      <w:pPr>
        <w:spacing w:after="20"/>
      </w:pPr>
    </w:p>
    <w:p>
      <w:pPr>
        <w:pStyle w:val="Heading2"/>
        <w:keepNext/>
      </w:pPr>
      <w:r>
        <w:t>2.3 Dutch Climate and Adaptation Context</w:t>
      </w:r>
    </w:p>
    <w:p>
      <w:pPr>
        <w:pStyle w:val="Heading3"/>
        <w:keepNext/>
      </w:pPr>
      <w:r>
        <w:t>2.3.1 National Climate Risks</w:t>
      </w:r>
    </w:p>
    <w:p>
      <w:pPr>
        <w:widowControl/>
      </w:pPr>
      <w:r>
        <w:t>The Netherlands combines high economic and population density with a low-lying deltaic geography and a highly engineered water system. National climate scenarios project continued warming, sea-level rise, changing seasonal precipitation, and more intense rainfall extremes. The direction and magnitude of some changes depend on future emissions and atmospheric circulation, but all scenarios require attention to heat, water excess, and water shortage (van Dorland et al., 2023). The European Climate Risk Assessment similarly identifies heat, flooding, drought, ecosystem degradation, and infrastructure disruption as interconnected European risks requiring coordinated adaptation (European Environment Agency, 2024).</w:t>
      </w:r>
    </w:p>
    <w:p>
      <w:pPr>
        <w:widowControl/>
      </w:pPr>
      <w:r>
        <w:t>Dutch exposure cannot be represented by one water variable. Coastal and river flooding, pluvial flooding after intense rainfall, groundwater conditions, and seasonal freshwater shortages involve different mechanisms and governance arrangements. Heat adds a land-atmosphere process shaped by urban form and vegetation. A multihazard comparison must therefore preserve differences among indicators while examining their co-occurrence.</w:t>
      </w:r>
    </w:p>
    <w:p>
      <w:pPr>
        <w:pStyle w:val="Heading3"/>
        <w:keepNext/>
      </w:pPr>
      <w:r>
        <w:t>2.3.2 Multi-level Adaptation Governance</w:t>
      </w:r>
    </w:p>
    <w:p>
      <w:pPr>
        <w:widowControl/>
      </w:pPr>
      <w:r>
        <w:t>Dutch climate adaptation is organised across national government, provinces, municipalities, water authorities, infrastructure managers, and private actors. The National Climate Adaptation Strategy provides an overarching framework, while the Delta Programme addresses flood-risk management, freshwater availability, and spatial adaptation (Climate Adaptation Platform Netherlands, 2026; Delta Programme, 2026). Municipalities are particularly relevant because land-use planning, public space, drainage, greening, housing renewal, and emergency preparation are implemented locally, often in partnership with water boards and regional bodies.</w:t>
      </w:r>
    </w:p>
    <w:p>
      <w:pPr>
        <w:widowControl/>
      </w:pPr>
      <w:r>
        <w:t>This institutional structure creates a demand for evidence that is comparable across municipalities without prescribing identical responses. A flood-oriented municipality may need measures different from a municipality dominated by heat and limited canopy. National typologies can help organise such differences, but they should complement local diagnostics rather than replace them. The appropriate use of municipal profiles is therefore strategic screening, peer comparison, and prioritisation of further investigation.</w:t>
      </w:r>
    </w:p>
    <w:p>
      <w:pPr>
        <w:pStyle w:val="Heading3"/>
        <w:keepNext/>
      </w:pPr>
      <w:r>
        <w:t>2.3.3 Climate Impact Atlas and Buurtdashboard</w:t>
      </w:r>
    </w:p>
    <w:p>
      <w:pPr>
        <w:widowControl/>
      </w:pPr>
      <w:r>
        <w:t>The Dutch Climate Impact Atlas translates climate data into maps and indicators intended to support climate-resilient planning. Its Buurtdashboard provides neighbourhood-level information that can be compared and aggregated, including fields related to heat, drought, flooding, intense rainfall, and land cover (Klimaateffectatlas, 2026). This accessibility is a major strength because it supports transparent national analyses using a common source.</w:t>
      </w:r>
    </w:p>
    <w:p>
      <w:pPr>
        <w:widowControl/>
      </w:pPr>
      <w:r>
        <w:t>Dashboard data nevertheless require analytical interpretation. Percentage categories must be combined consistently, units and thresholds must be documented, municipalities must be aligned with the correct boundary vintage, and missing values must be distinguished from genuine zeros. A dashboard category is also not equivalent to a measured health outcome or monetary loss. These issues justify the explicit data-audit and indicator-construction procedures reported in Chapter Three.</w:t>
      </w:r>
    </w:p>
    <w:p>
      <w:pPr>
        <w:pStyle w:val="Heading2"/>
        <w:keepNext/>
      </w:pPr>
      <w:r>
        <w:t>2.4 Environmental Indicator Domains</w:t>
      </w:r>
    </w:p>
    <w:p>
      <w:pPr>
        <w:pStyle w:val="Heading3"/>
        <w:keepNext/>
      </w:pPr>
      <w:r>
        <w:t>2.4.1 Heat Exposure</w:t>
      </w:r>
    </w:p>
    <w:p>
      <w:pPr>
        <w:widowControl/>
      </w:pPr>
      <w:r>
        <w:t>Heat exposure results from regional weather interacting with local land cover, surface materials, building form, anthropogenic heat, ventilation, and moisture. Urban areas store solar energy during the day and release it after sunset, which can sustain elevated night-time temperatures. Measurements in the Rotterdam agglomeration show substantial spatial and temporal variation in the urban heat island and thermal comfort, confirming that local urban characteristics modify regional weather conditions (van Hove et al., 2015). A diagnostic model developed for north-west European cities further links maximum urban heat-island intensity to background meteorology and urban characteristics, illustrating why the same warm episode can have different local expressions (Theeuwes et al., 2017).</w:t>
      </w:r>
    </w:p>
    <w:p>
      <w:pPr>
        <w:widowControl/>
      </w:pPr>
      <w:r>
        <w:t>Heat vulnerability is also scale-dependent. A systematic assessment of Dutch built-environment research found that the variables used to identify heat vulnerability and their effects vary with spatial resolution (Ahmed et al., 2023). High-resolution Dutch datasets can reveal intra-urban hotspots that municipal averages cannot reproduce (Habib et al., 2025). In this thesis, heat exposure is suitable for national comparison and multivariate modelling, but its municipal value should be interpreted as a broad environmental condition rather than a substitute for neighbourhood thermal measurements or health risk.</w:t>
      </w:r>
    </w:p>
    <w:p>
      <w:pPr>
        <w:pStyle w:val="Heading3"/>
        <w:keepNext/>
      </w:pPr>
      <w:r>
        <w:t>2.4.2 Tree Canopy Cover</w:t>
      </w:r>
    </w:p>
    <w:p>
      <w:pPr>
        <w:widowControl/>
      </w:pPr>
      <w:r>
        <w:t>Vegetation can moderate urban heat through shading and evapotranspiration, although the effect depends on tree size, species, soil moisture, spatial configuration, background climate, and time of day. In Amsterdam, Rafiee et al. (2016) found that local tree volume was associated with lower nocturnal urban heat-island intensity. This supports an expected inverse relationship between canopy and heat at municipal scale, but it does not imply a uniform cooling effect across all settings.</w:t>
      </w:r>
    </w:p>
    <w:p>
      <w:pPr>
        <w:widowControl/>
      </w:pPr>
      <w:r>
        <w:t>Canopy also intersects with stormwater interception, habitat, air quality, amenity, and distributional justice. These co-benefits make it a plausible adaptive feature rather than merely another exposure indicator. At the same time, canopy percentages do not measure access, tree health, species suitability, maintenance, or who benefits. Moreover, evapotranspirative cooling may weaken during drought if water availability is constrained. The study therefore tests canopy jointly with water-related indicators and avoids interpreting its coefficient as the causal effect of a specific greening intervention.</w:t>
      </w:r>
    </w:p>
    <w:p>
      <w:pPr>
        <w:pStyle w:val="Heading3"/>
        <w:keepNext/>
      </w:pPr>
      <w:r>
        <w:t>2.4.3 Drought and Groundwater Conditions</w:t>
      </w:r>
    </w:p>
    <w:p>
      <w:pPr>
        <w:widowControl/>
      </w:pPr>
      <w:r>
        <w:t>Drought is a compound condition involving precipitation deficits, evapotranspiration, soil moisture, groundwater, water demand, and management. In the Netherlands, drought affects agriculture, nature, drinking-water supply, navigation, building foundations, and the availability of water for cooling and greening. Freshwater planning consequently addresses both water shortage and the allocation of limited supplies across sectors (Delta Programme, 2026).</w:t>
      </w:r>
    </w:p>
    <w:p>
      <w:pPr>
        <w:widowControl/>
      </w:pPr>
      <w:r>
        <w:t>The selected drought-depth field represents a modelled groundwater-related condition rather than a direct record of drought damage. Its sign and magnitude must be interpreted according to the source metadata and unit definition. Areas with greater depth to groundwater may experience different vegetation stress or subsidence concerns from areas with shallow groundwater, but the municipal indicator cannot capture every mechanism. Treating drought depth as a separate variable preserves this physical meaning and avoids folding it uncritically into a general risk score.</w:t>
      </w:r>
    </w:p>
    <w:p>
      <w:pPr>
        <w:pStyle w:val="Heading3"/>
        <w:keepNext/>
      </w:pPr>
      <w:r>
        <w:t>2.4.4 Flood Exposure</w:t>
      </w:r>
    </w:p>
    <w:p>
      <w:pPr>
        <w:widowControl/>
      </w:pPr>
      <w:r>
        <w:t>Flood exposure covers several processes, including coastal surge, river overflow, defence failure, and inundation in low-lying areas. Depth is important because potential damage and danger usually increase with water depth, but exposure also depends on duration, flow velocity, warning time, building characteristics, and the presence of people and assets. A municipal percentage above a selected depth threshold therefore provides a screening measure rather than a complete flood-risk estimate.</w:t>
      </w:r>
    </w:p>
    <w:p>
      <w:pPr>
        <w:widowControl/>
      </w:pPr>
      <w:r>
        <w:t>The Dutch context is shaped by extensive structural protection and risk governance. Defences can reduce probability while leaving severe residual consequences if they fail. Municipal comparisons must consequently avoid reading a high exposure area as a prediction that flooding will occur within a particular period. The indicator is better understood as the spatial extent associated with a scenario and threshold, to be interpreted alongside local protection standards and detailed flood maps (Delta Programme, 2026; Klimaateffectatlas, 2026).</w:t>
      </w:r>
    </w:p>
    <w:p>
      <w:pPr>
        <w:pStyle w:val="Heading3"/>
        <w:keepNext/>
      </w:pPr>
      <w:r>
        <w:t>2.4.5 Heavy-rain Exposure</w:t>
      </w:r>
    </w:p>
    <w:p>
      <w:pPr>
        <w:widowControl/>
      </w:pPr>
      <w:r>
        <w:t>Heavy-rain exposure concerns pluvial water accumulation when rainfall intensity exceeds infiltration, storage, or drainage capacity. It is influenced by imperviousness, topography, sewer design, soil, open-water connections, and the distribution of buildings and roads. Pluvial flooding can therefore affect municipalities that have limited river or coastal flood exposure. Keeping heavy rain separate from general flood exposure allows the analysis to detect this distinction.</w:t>
      </w:r>
    </w:p>
    <w:p>
      <w:pPr>
        <w:widowControl/>
      </w:pPr>
      <w:r>
        <w:t>Climate scenarios indicate that intense precipitation events are expected to strengthen, increasing the relevance of local water storage and climate-resilient public space (van Dorland et al., 2023). Nevertheless, a threshold-based percentage does not measure event frequency, direct damage, or drainage performance under all storm conditions. Its strongest use in this study is comparative: it identifies where modelled heavy-rain exposure is relatively extensive and whether that exposure aligns with other environmental indicators.</w:t>
      </w:r>
    </w:p>
    <w:p>
      <w:pPr>
        <w:pStyle w:val="Heading3"/>
        <w:keepNext/>
      </w:pPr>
      <w:r>
        <w:t>2.4.6 Interactions and Multihazard Interpretation</w:t>
      </w:r>
    </w:p>
    <w:p>
      <w:pPr>
        <w:widowControl/>
      </w:pPr>
      <w:r>
        <w:t>The five indicators can interact without moving in the same direction. Low canopy may reinforce heat, while drought can reduce vegetation performance and the feasibility of water-intensive cooling. Measures that retain water for drought resilience may also support heavy-rain management if they create flexible storage, although poorly designed storage can create other trade-offs. Flood and heavy-rain exposure may overlap in some municipalities but arise from different processes. These relationships make a multivariate approach more informative than five disconnected rankings.</w:t>
      </w:r>
    </w:p>
    <w:p>
      <w:pPr>
        <w:widowControl/>
      </w:pPr>
      <w:r>
        <w:t>Multihazard analysis must also avoid assuming that correlation proves physical interaction. Two indicators can be spatially correlated because they share urbanisation, soil, topography, regional climate, or measurement structure. Principal components and clusters reveal empirical patterns; they do not identify a causal chain. Regression adds conditional comparison, but the cross-sectional design still requires cautious language.</w:t>
      </w:r>
    </w:p>
    <w:p>
      <w:pPr>
        <w:pageBreakBefore w:val="0"/>
        <w:spacing w:before="160" w:after="80"/>
        <w:keepNext/>
      </w:pPr>
      <w:r>
        <w:rPr>
          <w:b/>
          <w:sz w:val="20"/>
        </w:rPr>
        <w:t>Table 2.2 Environmental domains and expected analytical relationships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1440"/>
            <w:tcMar>
              <w:top w:w="75" w:type="dxa"/>
              <w:start w:w="75" w:type="dxa"/>
              <w:bottom w:w="75" w:type="dxa"/>
              <w:end w:w="75" w:type="dxa"/>
            </w:tcMar>
            <w:shd w:fill="17365D"/>
            <w:vAlign w:val="center"/>
          </w:tcPr>
          <w:p>
            <w:pPr>
              <w:pStyle w:val="TableText"/>
              <w:jc w:val="center"/>
              <w:keepNext/>
            </w:pPr>
            <w:r>
              <w:rPr>
                <w:b/>
                <w:color w:val="FFFFFF"/>
                <w:sz w:val="16"/>
              </w:rPr>
              <w:t>Domain</w:t>
            </w:r>
          </w:p>
        </w:tc>
        <w:tc>
          <w:tcPr>
            <w:tcW w:type="dxa" w:w="2880"/>
            <w:tcMar>
              <w:top w:w="75" w:type="dxa"/>
              <w:start w:w="75" w:type="dxa"/>
              <w:bottom w:w="75" w:type="dxa"/>
              <w:end w:w="75" w:type="dxa"/>
            </w:tcMar>
            <w:shd w:fill="17365D"/>
            <w:vAlign w:val="center"/>
          </w:tcPr>
          <w:p>
            <w:pPr>
              <w:pStyle w:val="TableText"/>
              <w:jc w:val="center"/>
              <w:keepNext/>
            </w:pPr>
            <w:r>
              <w:rPr>
                <w:b/>
                <w:color w:val="FFFFFF"/>
                <w:sz w:val="16"/>
              </w:rPr>
              <w:t>Main mechanism</w:t>
            </w:r>
          </w:p>
        </w:tc>
        <w:tc>
          <w:tcPr>
            <w:tcW w:type="dxa" w:w="2880"/>
            <w:tcMar>
              <w:top w:w="75" w:type="dxa"/>
              <w:start w:w="75" w:type="dxa"/>
              <w:bottom w:w="75" w:type="dxa"/>
              <w:end w:w="75" w:type="dxa"/>
            </w:tcMar>
            <w:shd w:fill="17365D"/>
            <w:vAlign w:val="center"/>
          </w:tcPr>
          <w:p>
            <w:pPr>
              <w:pStyle w:val="TableText"/>
              <w:jc w:val="center"/>
              <w:keepNext/>
            </w:pPr>
            <w:r>
              <w:rPr>
                <w:b/>
                <w:color w:val="FFFFFF"/>
                <w:sz w:val="16"/>
              </w:rPr>
              <w:t>Interpretation in this study</w:t>
            </w:r>
          </w:p>
        </w:tc>
        <w:tc>
          <w:tcPr>
            <w:tcW w:type="dxa" w:w="1944"/>
            <w:tcMar>
              <w:top w:w="75" w:type="dxa"/>
              <w:start w:w="75" w:type="dxa"/>
              <w:bottom w:w="75" w:type="dxa"/>
              <w:end w:w="75" w:type="dxa"/>
            </w:tcMar>
            <w:shd w:fill="17365D"/>
            <w:vAlign w:val="center"/>
          </w:tcPr>
          <w:p>
            <w:pPr>
              <w:pStyle w:val="TableText"/>
              <w:jc w:val="center"/>
              <w:keepNext/>
            </w:pPr>
            <w:r>
              <w:rPr>
                <w:b/>
                <w:color w:val="FFFFFF"/>
                <w:sz w:val="16"/>
              </w:rPr>
              <w:t>Expected relationship</w:t>
            </w:r>
          </w:p>
        </w:tc>
      </w:tr>
      <w:tr>
        <w:trPr>
          <w:cantSplit/>
        </w:trPr>
        <w:tc>
          <w:tcPr>
            <w:tcW w:type="dxa" w:w="1440"/>
            <w:tcMar>
              <w:top w:w="75" w:type="dxa"/>
              <w:start w:w="75" w:type="dxa"/>
              <w:bottom w:w="75" w:type="dxa"/>
              <w:end w:w="75" w:type="dxa"/>
            </w:tcMar>
            <w:vAlign w:val="center"/>
          </w:tcPr>
          <w:p>
            <w:pPr>
              <w:pStyle w:val="TableText"/>
            </w:pPr>
            <w:r>
              <w:t>Heat</w:t>
            </w:r>
          </w:p>
        </w:tc>
        <w:tc>
          <w:tcPr>
            <w:tcW w:type="dxa" w:w="2880"/>
            <w:tcMar>
              <w:top w:w="75" w:type="dxa"/>
              <w:start w:w="75" w:type="dxa"/>
              <w:bottom w:w="75" w:type="dxa"/>
              <w:end w:w="75" w:type="dxa"/>
            </w:tcMar>
            <w:vAlign w:val="center"/>
          </w:tcPr>
          <w:p>
            <w:pPr>
              <w:pStyle w:val="TableText"/>
            </w:pPr>
            <w:r>
              <w:t>Regional heat modified by urban materials, form, ventilation, moisture, and vegetation.</w:t>
            </w:r>
          </w:p>
        </w:tc>
        <w:tc>
          <w:tcPr>
            <w:tcW w:type="dxa" w:w="2880"/>
            <w:tcMar>
              <w:top w:w="75" w:type="dxa"/>
              <w:start w:w="75" w:type="dxa"/>
              <w:bottom w:w="75" w:type="dxa"/>
              <w:end w:w="75" w:type="dxa"/>
            </w:tcMar>
            <w:vAlign w:val="center"/>
          </w:tcPr>
          <w:p>
            <w:pPr>
              <w:pStyle w:val="TableText"/>
            </w:pPr>
            <w:r>
              <w:t>Multivariate indicator and regression outcome.</w:t>
            </w:r>
          </w:p>
        </w:tc>
        <w:tc>
          <w:tcPr>
            <w:tcW w:type="dxa" w:w="1944"/>
            <w:tcMar>
              <w:top w:w="75" w:type="dxa"/>
              <w:start w:w="75" w:type="dxa"/>
              <w:bottom w:w="75" w:type="dxa"/>
              <w:end w:w="75" w:type="dxa"/>
            </w:tcMar>
            <w:vAlign w:val="center"/>
          </w:tcPr>
          <w:p>
            <w:pPr>
              <w:pStyle w:val="TableText"/>
            </w:pPr>
            <w:r>
              <w:t>Higher where heat-related land and built conditions are more extensive.</w:t>
            </w:r>
          </w:p>
        </w:tc>
      </w:tr>
      <w:tr>
        <w:trPr>
          <w:cantSplit/>
        </w:trPr>
        <w:tc>
          <w:tcPr>
            <w:tcW w:type="dxa" w:w="1440"/>
            <w:tcMar>
              <w:top w:w="75" w:type="dxa"/>
              <w:start w:w="75" w:type="dxa"/>
              <w:bottom w:w="75" w:type="dxa"/>
              <w:end w:w="75" w:type="dxa"/>
            </w:tcMar>
            <w:vAlign w:val="center"/>
            <w:shd w:fill="F2F6FA"/>
          </w:tcPr>
          <w:p>
            <w:pPr>
              <w:pStyle w:val="TableText"/>
            </w:pPr>
            <w:r>
              <w:t>Canopy</w:t>
            </w:r>
          </w:p>
        </w:tc>
        <w:tc>
          <w:tcPr>
            <w:tcW w:type="dxa" w:w="2880"/>
            <w:tcMar>
              <w:top w:w="75" w:type="dxa"/>
              <w:start w:w="75" w:type="dxa"/>
              <w:bottom w:w="75" w:type="dxa"/>
              <w:end w:w="75" w:type="dxa"/>
            </w:tcMar>
            <w:vAlign w:val="center"/>
            <w:shd w:fill="F2F6FA"/>
          </w:tcPr>
          <w:p>
            <w:pPr>
              <w:pStyle w:val="TableText"/>
            </w:pPr>
            <w:r>
              <w:t>Shade and evapotranspiration can reduce surface and air temperature.</w:t>
            </w:r>
          </w:p>
        </w:tc>
        <w:tc>
          <w:tcPr>
            <w:tcW w:type="dxa" w:w="2880"/>
            <w:tcMar>
              <w:top w:w="75" w:type="dxa"/>
              <w:start w:w="75" w:type="dxa"/>
              <w:bottom w:w="75" w:type="dxa"/>
              <w:end w:w="75" w:type="dxa"/>
            </w:tcMar>
            <w:vAlign w:val="center"/>
            <w:shd w:fill="F2F6FA"/>
          </w:tcPr>
          <w:p>
            <w:pPr>
              <w:pStyle w:val="TableText"/>
            </w:pPr>
            <w:r>
              <w:t>Land-cover and potential adaptive feature.</w:t>
            </w:r>
          </w:p>
        </w:tc>
        <w:tc>
          <w:tcPr>
            <w:tcW w:type="dxa" w:w="1944"/>
            <w:tcMar>
              <w:top w:w="75" w:type="dxa"/>
              <w:start w:w="75" w:type="dxa"/>
              <w:bottom w:w="75" w:type="dxa"/>
              <w:end w:w="75" w:type="dxa"/>
            </w:tcMar>
            <w:vAlign w:val="center"/>
            <w:shd w:fill="F2F6FA"/>
          </w:tcPr>
          <w:p>
            <w:pPr>
              <w:pStyle w:val="TableText"/>
            </w:pPr>
            <w:r>
              <w:t>Generally negative association with heat, conditional on other indicators.</w:t>
            </w:r>
          </w:p>
        </w:tc>
      </w:tr>
      <w:tr>
        <w:trPr>
          <w:cantSplit/>
        </w:trPr>
        <w:tc>
          <w:tcPr>
            <w:tcW w:type="dxa" w:w="1440"/>
            <w:tcMar>
              <w:top w:w="75" w:type="dxa"/>
              <w:start w:w="75" w:type="dxa"/>
              <w:bottom w:w="75" w:type="dxa"/>
              <w:end w:w="75" w:type="dxa"/>
            </w:tcMar>
            <w:vAlign w:val="center"/>
          </w:tcPr>
          <w:p>
            <w:pPr>
              <w:pStyle w:val="TableText"/>
            </w:pPr>
            <w:r>
              <w:t>Drought depth</w:t>
            </w:r>
          </w:p>
        </w:tc>
        <w:tc>
          <w:tcPr>
            <w:tcW w:type="dxa" w:w="2880"/>
            <w:tcMar>
              <w:top w:w="75" w:type="dxa"/>
              <w:start w:w="75" w:type="dxa"/>
              <w:bottom w:w="75" w:type="dxa"/>
              <w:end w:w="75" w:type="dxa"/>
            </w:tcMar>
            <w:vAlign w:val="center"/>
          </w:tcPr>
          <w:p>
            <w:pPr>
              <w:pStyle w:val="TableText"/>
            </w:pPr>
            <w:r>
              <w:t>Groundwater and soil-moisture conditions affect ecosystems, foundations, and water availability.</w:t>
            </w:r>
          </w:p>
        </w:tc>
        <w:tc>
          <w:tcPr>
            <w:tcW w:type="dxa" w:w="2880"/>
            <w:tcMar>
              <w:top w:w="75" w:type="dxa"/>
              <w:start w:w="75" w:type="dxa"/>
              <w:bottom w:w="75" w:type="dxa"/>
              <w:end w:w="75" w:type="dxa"/>
            </w:tcMar>
            <w:vAlign w:val="center"/>
          </w:tcPr>
          <w:p>
            <w:pPr>
              <w:pStyle w:val="TableText"/>
            </w:pPr>
            <w:r>
              <w:t>Groundwater-related drought proxy whose unit must be preserved.</w:t>
            </w:r>
          </w:p>
        </w:tc>
        <w:tc>
          <w:tcPr>
            <w:tcW w:type="dxa" w:w="1944"/>
            <w:tcMar>
              <w:top w:w="75" w:type="dxa"/>
              <w:start w:w="75" w:type="dxa"/>
              <w:bottom w:w="75" w:type="dxa"/>
              <w:end w:w="75" w:type="dxa"/>
            </w:tcMar>
            <w:vAlign w:val="center"/>
          </w:tcPr>
          <w:p>
            <w:pPr>
              <w:pStyle w:val="TableText"/>
            </w:pPr>
            <w:r>
              <w:t>Direction with heat is empirical because mechanisms and geography differ.</w:t>
            </w:r>
          </w:p>
        </w:tc>
      </w:tr>
      <w:tr>
        <w:trPr>
          <w:cantSplit/>
        </w:trPr>
        <w:tc>
          <w:tcPr>
            <w:tcW w:type="dxa" w:w="1440"/>
            <w:tcMar>
              <w:top w:w="75" w:type="dxa"/>
              <w:start w:w="75" w:type="dxa"/>
              <w:bottom w:w="75" w:type="dxa"/>
              <w:end w:w="75" w:type="dxa"/>
            </w:tcMar>
            <w:vAlign w:val="center"/>
            <w:shd w:fill="F2F6FA"/>
          </w:tcPr>
          <w:p>
            <w:pPr>
              <w:pStyle w:val="TableText"/>
            </w:pPr>
            <w:r>
              <w:t>Flood</w:t>
            </w:r>
          </w:p>
        </w:tc>
        <w:tc>
          <w:tcPr>
            <w:tcW w:type="dxa" w:w="2880"/>
            <w:tcMar>
              <w:top w:w="75" w:type="dxa"/>
              <w:start w:w="75" w:type="dxa"/>
              <w:bottom w:w="75" w:type="dxa"/>
              <w:end w:w="75" w:type="dxa"/>
            </w:tcMar>
            <w:vAlign w:val="center"/>
            <w:shd w:fill="F2F6FA"/>
          </w:tcPr>
          <w:p>
            <w:pPr>
              <w:pStyle w:val="TableText"/>
            </w:pPr>
            <w:r>
              <w:t>Coastal, river, or defence-related inundation produces depth-dependent exposure.</w:t>
            </w:r>
          </w:p>
        </w:tc>
        <w:tc>
          <w:tcPr>
            <w:tcW w:type="dxa" w:w="2880"/>
            <w:tcMar>
              <w:top w:w="75" w:type="dxa"/>
              <w:start w:w="75" w:type="dxa"/>
              <w:bottom w:w="75" w:type="dxa"/>
              <w:end w:w="75" w:type="dxa"/>
            </w:tcMar>
            <w:vAlign w:val="center"/>
            <w:shd w:fill="F2F6FA"/>
          </w:tcPr>
          <w:p>
            <w:pPr>
              <w:pStyle w:val="TableText"/>
            </w:pPr>
            <w:r>
              <w:t>Percentage above the selected flood-depth threshold.</w:t>
            </w:r>
          </w:p>
        </w:tc>
        <w:tc>
          <w:tcPr>
            <w:tcW w:type="dxa" w:w="1944"/>
            <w:tcMar>
              <w:top w:w="75" w:type="dxa"/>
              <w:start w:w="75" w:type="dxa"/>
              <w:bottom w:w="75" w:type="dxa"/>
              <w:end w:w="75" w:type="dxa"/>
            </w:tcMar>
            <w:vAlign w:val="center"/>
            <w:shd w:fill="F2F6FA"/>
          </w:tcPr>
          <w:p>
            <w:pPr>
              <w:pStyle w:val="TableText"/>
            </w:pPr>
            <w:r>
              <w:t>May form a water-exposure dimension distinct from heat.</w:t>
            </w:r>
          </w:p>
        </w:tc>
      </w:tr>
      <w:tr>
        <w:trPr>
          <w:cantSplit/>
        </w:trPr>
        <w:tc>
          <w:tcPr>
            <w:tcW w:type="dxa" w:w="1440"/>
            <w:tcMar>
              <w:top w:w="75" w:type="dxa"/>
              <w:start w:w="75" w:type="dxa"/>
              <w:bottom w:w="75" w:type="dxa"/>
              <w:end w:w="75" w:type="dxa"/>
            </w:tcMar>
            <w:vAlign w:val="center"/>
          </w:tcPr>
          <w:p>
            <w:pPr>
              <w:pStyle w:val="TableText"/>
            </w:pPr>
            <w:r>
              <w:t>Heavy rain</w:t>
            </w:r>
          </w:p>
        </w:tc>
        <w:tc>
          <w:tcPr>
            <w:tcW w:type="dxa" w:w="2880"/>
            <w:tcMar>
              <w:top w:w="75" w:type="dxa"/>
              <w:start w:w="75" w:type="dxa"/>
              <w:bottom w:w="75" w:type="dxa"/>
              <w:end w:w="75" w:type="dxa"/>
            </w:tcMar>
            <w:vAlign w:val="center"/>
          </w:tcPr>
          <w:p>
            <w:pPr>
              <w:pStyle w:val="TableText"/>
            </w:pPr>
            <w:r>
              <w:t>Rainfall exceeds infiltration, storage, or drainage capacity.</w:t>
            </w:r>
          </w:p>
        </w:tc>
        <w:tc>
          <w:tcPr>
            <w:tcW w:type="dxa" w:w="2880"/>
            <w:tcMar>
              <w:top w:w="75" w:type="dxa"/>
              <w:start w:w="75" w:type="dxa"/>
              <w:bottom w:w="75" w:type="dxa"/>
              <w:end w:w="75" w:type="dxa"/>
            </w:tcMar>
            <w:vAlign w:val="center"/>
          </w:tcPr>
          <w:p>
            <w:pPr>
              <w:pStyle w:val="TableText"/>
            </w:pPr>
            <w:r>
              <w:t>Percentage above the selected pluvial water-depth threshold.</w:t>
            </w:r>
          </w:p>
        </w:tc>
        <w:tc>
          <w:tcPr>
            <w:tcW w:type="dxa" w:w="1944"/>
            <w:tcMar>
              <w:top w:w="75" w:type="dxa"/>
              <w:start w:w="75" w:type="dxa"/>
              <w:bottom w:w="75" w:type="dxa"/>
              <w:end w:w="75" w:type="dxa"/>
            </w:tcMar>
            <w:vAlign w:val="center"/>
          </w:tcPr>
          <w:p>
            <w:pPr>
              <w:pStyle w:val="TableText"/>
            </w:pPr>
            <w:r>
              <w:t>May correlate with flood exposure but should remain conceptually separate.</w:t>
            </w:r>
          </w:p>
        </w:tc>
      </w:tr>
    </w:tbl>
    <w:p>
      <w:pPr>
        <w:spacing w:after="20"/>
      </w:pPr>
    </w:p>
    <w:p>
      <w:pPr>
        <w:pStyle w:val="Heading2"/>
        <w:keepNext/>
      </w:pPr>
      <w:r>
        <w:t>2.5 Multivariate Approaches to Vulnerability Assessment</w:t>
      </w:r>
    </w:p>
    <w:p>
      <w:pPr>
        <w:pStyle w:val="Heading3"/>
        <w:keepNext/>
      </w:pPr>
      <w:r>
        <w:t>2.5.1 Indicator Construction and Comparability</w:t>
      </w:r>
    </w:p>
    <w:p>
      <w:pPr>
        <w:widowControl/>
      </w:pPr>
      <w:r>
        <w:t>Environmental indicators commonly differ in unit, range, skewness, and spatial support. Direct comparison can therefore be dominated by scale rather than substantive variation. Standardisation places variables on a common variance scale for PCA and k-means, while leaving original units available for descriptive interpretation. The OECD and European Union (2008) caution that normalisation and aggregation choices can materially affect composite results; transparency and sensitivity analysis are consequently part of valid indicator practice.</w:t>
      </w:r>
    </w:p>
    <w:p>
      <w:pPr>
        <w:widowControl/>
      </w:pPr>
      <w:r>
        <w:t>A further issue is missing data. Complete-case analysis preserves one consistent sample across methods, which improves comparability, but may reduce coverage and introduce bias if missingness is systematic. For the present study, the common analytical sample of 337 municipalities is reported explicitly and the five omitted municipalities are linked to missing drought depth. This choice is defensible for an integrated cross-method analysis, although the missingness pattern remains a limitation.</w:t>
      </w:r>
    </w:p>
    <w:p>
      <w:pPr>
        <w:pStyle w:val="Heading3"/>
        <w:keepNext/>
      </w:pPr>
      <w:r>
        <w:t>2.5.2 Principal Component Analysis</w:t>
      </w:r>
    </w:p>
    <w:p>
      <w:pPr>
        <w:widowControl/>
      </w:pPr>
      <w:r>
        <w:t>Principal component analysis transforms correlated variables into orthogonal linear combinations ordered by explained variance. It is useful when several indicators share underlying structure and when the aim is parsimonious description rather than causal modelling. Jolliffe and Cadima (2016) emphasise that interpretation depends on preprocessing, the covariance or correlation matrix, retained components, and the pattern of loadings. Standardisation is appropriate here because the five indicators have different units.</w:t>
      </w:r>
    </w:p>
    <w:p>
      <w:pPr>
        <w:widowControl/>
      </w:pPr>
      <w:r>
        <w:t>Component retention should not rely on one visual rule. Scree plots and the eigenvalue-greater-than-one rule are common, but parallel analysis provides a stronger benchmark by comparing observed eigenvalues with those generated from random data. Retaining components that exceed the simulated reference reduces the risk of interpreting random variation as a latent dimension. Loadings then show which indicators define each component, while scores locate municipalities along those dimensions.</w:t>
      </w:r>
    </w:p>
    <w:p>
      <w:pPr>
        <w:widowControl/>
      </w:pPr>
      <w:r>
        <w:t>PCA has limitations. Orthogonality is a mathematical constraint and does not guarantee that environmental processes are independent. Loadings are sample-dependent, component signs are arbitrary, and linear components may obscure nonlinear relationships. The method therefore serves as an interpretable summary of covariance, supplemented by original-scale descriptive statistics and cluster profiles.</w:t>
      </w:r>
    </w:p>
    <w:p>
      <w:pPr>
        <w:pStyle w:val="Heading3"/>
        <w:keepNext/>
      </w:pPr>
      <w:r>
        <w:t>2.5.3 Cluster Analysis and Municipal Typologies</w:t>
      </w:r>
    </w:p>
    <w:p>
      <w:pPr>
        <w:widowControl/>
      </w:pPr>
      <w:r>
        <w:t>Cluster analysis groups municipalities with similar multivariate profiles. K-means minimises within-cluster squared Euclidean distances around centroids and is computationally suitable for standardised continuous variables. Its solution depends on the chosen number of clusters, starting values, variable scaling, and the geometry of the data. Multiple random starts reduce sensitivity to initialisation, but they do not prove that a unique natural classification exists.</w:t>
      </w:r>
    </w:p>
    <w:p>
      <w:pPr>
        <w:widowControl/>
      </w:pPr>
      <w:r>
        <w:t>A municipal typology is valuable when combinations matter more than a single rank. For example, two municipalities could have comparable average standardised exposure but differ because one is heat-heavy and low-canopy whereas the other is dominated by flood and heavy-rain exposure. Cluster labels should therefore describe relative profiles rather than imply fixed types or causal mechanisms.</w:t>
      </w:r>
    </w:p>
    <w:p>
      <w:pPr>
        <w:pStyle w:val="Heading3"/>
        <w:keepNext/>
      </w:pPr>
      <w:r>
        <w:t>2.5.4 Cluster Selection and Stability</w:t>
      </w:r>
    </w:p>
    <w:p>
      <w:pPr>
        <w:widowControl/>
      </w:pPr>
      <w:r>
        <w:t>Cluster validity requires more than choosing the most visually appealing map. The silhouette coefficient compares cohesion within a cluster with separation from the nearest alternative cluster; values closer to one indicate stronger allocation, values near zero indicate boundary cases, and negative values suggest possible misclassification (Rousseeuw, 1987). Elbow and silhouette diagnostics can narrow the range of plausible solutions, but substantive interpretability remains necessary.</w:t>
      </w:r>
    </w:p>
    <w:p>
      <w:pPr>
        <w:widowControl/>
      </w:pPr>
      <w:r>
        <w:t>Bootstrap stability asks whether similar groups reappear when the sample is perturbed. Hennig (2007) proposes cluster-wise assessment using similarity measures such as the Jaccard coefficient, which evaluates overlap between an original cluster and its best-matching bootstrap cluster. Stability does not establish external validity, but it guards against treating a sample-specific partition as durable. The four-cluster solution used in this thesis is therefore interpreted through centroid profiles, geography, cluster sizes, silhouette information, and bootstrap Jaccard similarity together.</w:t>
      </w:r>
    </w:p>
    <w:p>
      <w:pPr>
        <w:pageBreakBefore/>
        <w:spacing w:before="160" w:after="80"/>
        <w:keepNext/>
      </w:pPr>
      <w:r>
        <w:rPr>
          <w:b/>
          <w:sz w:val="20"/>
        </w:rPr>
        <w:t>Table 2.3 Methodological literature and application in this study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1440"/>
            <w:tcMar>
              <w:top w:w="75" w:type="dxa"/>
              <w:start w:w="75" w:type="dxa"/>
              <w:bottom w:w="75" w:type="dxa"/>
              <w:end w:w="75" w:type="dxa"/>
            </w:tcMar>
            <w:shd w:fill="17365D"/>
            <w:vAlign w:val="center"/>
          </w:tcPr>
          <w:p>
            <w:pPr>
              <w:pStyle w:val="TableText"/>
              <w:jc w:val="center"/>
              <w:keepNext/>
            </w:pPr>
            <w:r>
              <w:rPr>
                <w:b/>
                <w:color w:val="FFFFFF"/>
                <w:sz w:val="16"/>
              </w:rPr>
              <w:t>Method</w:t>
            </w:r>
          </w:p>
        </w:tc>
        <w:tc>
          <w:tcPr>
            <w:tcW w:type="dxa" w:w="2880"/>
            <w:tcMar>
              <w:top w:w="75" w:type="dxa"/>
              <w:start w:w="75" w:type="dxa"/>
              <w:bottom w:w="75" w:type="dxa"/>
              <w:end w:w="75" w:type="dxa"/>
            </w:tcMar>
            <w:shd w:fill="17365D"/>
            <w:vAlign w:val="center"/>
          </w:tcPr>
          <w:p>
            <w:pPr>
              <w:pStyle w:val="TableText"/>
              <w:jc w:val="center"/>
              <w:keepNext/>
            </w:pPr>
            <w:r>
              <w:rPr>
                <w:b/>
                <w:color w:val="FFFFFF"/>
                <w:sz w:val="16"/>
              </w:rPr>
              <w:t>Literature-based purpose</w:t>
            </w:r>
          </w:p>
        </w:tc>
        <w:tc>
          <w:tcPr>
            <w:tcW w:type="dxa" w:w="2520"/>
            <w:tcMar>
              <w:top w:w="75" w:type="dxa"/>
              <w:start w:w="75" w:type="dxa"/>
              <w:bottom w:w="75" w:type="dxa"/>
              <w:end w:w="75" w:type="dxa"/>
            </w:tcMar>
            <w:shd w:fill="17365D"/>
            <w:vAlign w:val="center"/>
          </w:tcPr>
          <w:p>
            <w:pPr>
              <w:pStyle w:val="TableText"/>
              <w:jc w:val="center"/>
              <w:keepNext/>
            </w:pPr>
            <w:r>
              <w:rPr>
                <w:b/>
                <w:color w:val="FFFFFF"/>
                <w:sz w:val="16"/>
              </w:rPr>
              <w:t>Safeguard used</w:t>
            </w:r>
          </w:p>
        </w:tc>
        <w:tc>
          <w:tcPr>
            <w:tcW w:type="dxa" w:w="2304"/>
            <w:tcMar>
              <w:top w:w="75" w:type="dxa"/>
              <w:start w:w="75" w:type="dxa"/>
              <w:bottom w:w="75" w:type="dxa"/>
              <w:end w:w="75" w:type="dxa"/>
            </w:tcMar>
            <w:shd w:fill="17365D"/>
            <w:vAlign w:val="center"/>
          </w:tcPr>
          <w:p>
            <w:pPr>
              <w:pStyle w:val="TableText"/>
              <w:jc w:val="center"/>
              <w:keepNext/>
            </w:pPr>
            <w:r>
              <w:rPr>
                <w:b/>
                <w:color w:val="FFFFFF"/>
                <w:sz w:val="16"/>
              </w:rPr>
              <w:t>Interpretive limit</w:t>
            </w:r>
          </w:p>
        </w:tc>
      </w:tr>
      <w:tr>
        <w:trPr>
          <w:cantSplit/>
        </w:trPr>
        <w:tc>
          <w:tcPr>
            <w:tcW w:type="dxa" w:w="1440"/>
            <w:tcMar>
              <w:top w:w="75" w:type="dxa"/>
              <w:start w:w="75" w:type="dxa"/>
              <w:bottom w:w="75" w:type="dxa"/>
              <w:end w:w="75" w:type="dxa"/>
            </w:tcMar>
            <w:vAlign w:val="center"/>
          </w:tcPr>
          <w:p>
            <w:pPr>
              <w:pStyle w:val="TableText"/>
            </w:pPr>
            <w:r>
              <w:t>Descriptive statistics</w:t>
            </w:r>
          </w:p>
        </w:tc>
        <w:tc>
          <w:tcPr>
            <w:tcW w:type="dxa" w:w="2880"/>
            <w:tcMar>
              <w:top w:w="75" w:type="dxa"/>
              <w:start w:w="75" w:type="dxa"/>
              <w:bottom w:w="75" w:type="dxa"/>
              <w:end w:w="75" w:type="dxa"/>
            </w:tcMar>
            <w:vAlign w:val="center"/>
          </w:tcPr>
          <w:p>
            <w:pPr>
              <w:pStyle w:val="TableText"/>
            </w:pPr>
            <w:r>
              <w:t>Establish distribution, range, and possible skewness.</w:t>
            </w:r>
          </w:p>
        </w:tc>
        <w:tc>
          <w:tcPr>
            <w:tcW w:type="dxa" w:w="2520"/>
            <w:tcMar>
              <w:top w:w="75" w:type="dxa"/>
              <w:start w:w="75" w:type="dxa"/>
              <w:bottom w:w="75" w:type="dxa"/>
              <w:end w:w="75" w:type="dxa"/>
            </w:tcMar>
            <w:vAlign w:val="center"/>
          </w:tcPr>
          <w:p>
            <w:pPr>
              <w:pStyle w:val="TableText"/>
            </w:pPr>
            <w:r>
              <w:t>Original units and a common analytical sample.</w:t>
            </w:r>
          </w:p>
        </w:tc>
        <w:tc>
          <w:tcPr>
            <w:tcW w:type="dxa" w:w="2304"/>
            <w:tcMar>
              <w:top w:w="75" w:type="dxa"/>
              <w:start w:w="75" w:type="dxa"/>
              <w:bottom w:w="75" w:type="dxa"/>
              <w:end w:w="75" w:type="dxa"/>
            </w:tcMar>
            <w:vAlign w:val="center"/>
          </w:tcPr>
          <w:p>
            <w:pPr>
              <w:pStyle w:val="TableText"/>
            </w:pPr>
            <w:r>
              <w:t>Do not explain causes or spatial dependence.</w:t>
            </w:r>
          </w:p>
        </w:tc>
      </w:tr>
      <w:tr>
        <w:trPr>
          <w:cantSplit/>
        </w:trPr>
        <w:tc>
          <w:tcPr>
            <w:tcW w:type="dxa" w:w="1440"/>
            <w:tcMar>
              <w:top w:w="75" w:type="dxa"/>
              <w:start w:w="75" w:type="dxa"/>
              <w:bottom w:w="75" w:type="dxa"/>
              <w:end w:w="75" w:type="dxa"/>
            </w:tcMar>
            <w:vAlign w:val="center"/>
            <w:shd w:fill="F2F6FA"/>
          </w:tcPr>
          <w:p>
            <w:pPr>
              <w:pStyle w:val="TableText"/>
            </w:pPr>
            <w:r>
              <w:t>Correlation</w:t>
            </w:r>
          </w:p>
        </w:tc>
        <w:tc>
          <w:tcPr>
            <w:tcW w:type="dxa" w:w="2880"/>
            <w:tcMar>
              <w:top w:w="75" w:type="dxa"/>
              <w:start w:w="75" w:type="dxa"/>
              <w:bottom w:w="75" w:type="dxa"/>
              <w:end w:w="75" w:type="dxa"/>
            </w:tcMar>
            <w:vAlign w:val="center"/>
            <w:shd w:fill="F2F6FA"/>
          </w:tcPr>
          <w:p>
            <w:pPr>
              <w:pStyle w:val="TableText"/>
            </w:pPr>
            <w:r>
              <w:t>Summarise pairwise linear association.</w:t>
            </w:r>
          </w:p>
        </w:tc>
        <w:tc>
          <w:tcPr>
            <w:tcW w:type="dxa" w:w="2520"/>
            <w:tcMar>
              <w:top w:w="75" w:type="dxa"/>
              <w:start w:w="75" w:type="dxa"/>
              <w:bottom w:w="75" w:type="dxa"/>
              <w:end w:w="75" w:type="dxa"/>
            </w:tcMar>
            <w:vAlign w:val="center"/>
            <w:shd w:fill="F2F6FA"/>
          </w:tcPr>
          <w:p>
            <w:pPr>
              <w:pStyle w:val="TableText"/>
            </w:pPr>
            <w:r>
              <w:t>Matrix inspection before multivariate modelling.</w:t>
            </w:r>
          </w:p>
        </w:tc>
        <w:tc>
          <w:tcPr>
            <w:tcW w:type="dxa" w:w="2304"/>
            <w:tcMar>
              <w:top w:w="75" w:type="dxa"/>
              <w:start w:w="75" w:type="dxa"/>
              <w:bottom w:w="75" w:type="dxa"/>
              <w:end w:w="75" w:type="dxa"/>
            </w:tcMar>
            <w:vAlign w:val="center"/>
            <w:shd w:fill="F2F6FA"/>
          </w:tcPr>
          <w:p>
            <w:pPr>
              <w:pStyle w:val="TableText"/>
            </w:pPr>
            <w:r>
              <w:t>Sensitive to outliers; does not imply causation.</w:t>
            </w:r>
          </w:p>
        </w:tc>
      </w:tr>
      <w:tr>
        <w:trPr>
          <w:cantSplit/>
        </w:trPr>
        <w:tc>
          <w:tcPr>
            <w:tcW w:type="dxa" w:w="1440"/>
            <w:tcMar>
              <w:top w:w="75" w:type="dxa"/>
              <w:start w:w="75" w:type="dxa"/>
              <w:bottom w:w="75" w:type="dxa"/>
              <w:end w:w="75" w:type="dxa"/>
            </w:tcMar>
            <w:vAlign w:val="center"/>
          </w:tcPr>
          <w:p>
            <w:pPr>
              <w:pStyle w:val="TableText"/>
            </w:pPr>
            <w:r>
              <w:t>PCA</w:t>
            </w:r>
          </w:p>
        </w:tc>
        <w:tc>
          <w:tcPr>
            <w:tcW w:type="dxa" w:w="2880"/>
            <w:tcMar>
              <w:top w:w="75" w:type="dxa"/>
              <w:start w:w="75" w:type="dxa"/>
              <w:bottom w:w="75" w:type="dxa"/>
              <w:end w:w="75" w:type="dxa"/>
            </w:tcMar>
            <w:vAlign w:val="center"/>
          </w:tcPr>
          <w:p>
            <w:pPr>
              <w:pStyle w:val="TableText"/>
            </w:pPr>
            <w:r>
              <w:t>Represent shared variance with fewer orthogonal dimensions.</w:t>
            </w:r>
          </w:p>
        </w:tc>
        <w:tc>
          <w:tcPr>
            <w:tcW w:type="dxa" w:w="2520"/>
            <w:tcMar>
              <w:top w:w="75" w:type="dxa"/>
              <w:start w:w="75" w:type="dxa"/>
              <w:bottom w:w="75" w:type="dxa"/>
              <w:end w:w="75" w:type="dxa"/>
            </w:tcMar>
            <w:vAlign w:val="center"/>
          </w:tcPr>
          <w:p>
            <w:pPr>
              <w:pStyle w:val="TableText"/>
            </w:pPr>
            <w:r>
              <w:t>Standardisation, scree plot, and parallel analysis.</w:t>
            </w:r>
          </w:p>
        </w:tc>
        <w:tc>
          <w:tcPr>
            <w:tcW w:type="dxa" w:w="2304"/>
            <w:tcMar>
              <w:top w:w="75" w:type="dxa"/>
              <w:start w:w="75" w:type="dxa"/>
              <w:bottom w:w="75" w:type="dxa"/>
              <w:end w:w="75" w:type="dxa"/>
            </w:tcMar>
            <w:vAlign w:val="center"/>
          </w:tcPr>
          <w:p>
            <w:pPr>
              <w:pStyle w:val="TableText"/>
            </w:pPr>
            <w:r>
              <w:t>Components are sample-dependent mathematical summaries.</w:t>
            </w:r>
          </w:p>
        </w:tc>
      </w:tr>
      <w:tr>
        <w:trPr>
          <w:cantSplit/>
        </w:trPr>
        <w:tc>
          <w:tcPr>
            <w:tcW w:type="dxa" w:w="1440"/>
            <w:tcMar>
              <w:top w:w="75" w:type="dxa"/>
              <w:start w:w="75" w:type="dxa"/>
              <w:bottom w:w="75" w:type="dxa"/>
              <w:end w:w="75" w:type="dxa"/>
            </w:tcMar>
            <w:vAlign w:val="center"/>
            <w:shd w:fill="F2F6FA"/>
          </w:tcPr>
          <w:p>
            <w:pPr>
              <w:pStyle w:val="TableText"/>
            </w:pPr>
            <w:r>
              <w:t>K-means</w:t>
            </w:r>
          </w:p>
        </w:tc>
        <w:tc>
          <w:tcPr>
            <w:tcW w:type="dxa" w:w="2880"/>
            <w:tcMar>
              <w:top w:w="75" w:type="dxa"/>
              <w:start w:w="75" w:type="dxa"/>
              <w:bottom w:w="75" w:type="dxa"/>
              <w:end w:w="75" w:type="dxa"/>
            </w:tcMar>
            <w:vAlign w:val="center"/>
            <w:shd w:fill="F2F6FA"/>
          </w:tcPr>
          <w:p>
            <w:pPr>
              <w:pStyle w:val="TableText"/>
            </w:pPr>
            <w:r>
              <w:t>Identify municipalities with similar standardised profiles.</w:t>
            </w:r>
          </w:p>
        </w:tc>
        <w:tc>
          <w:tcPr>
            <w:tcW w:type="dxa" w:w="2520"/>
            <w:tcMar>
              <w:top w:w="75" w:type="dxa"/>
              <w:start w:w="75" w:type="dxa"/>
              <w:bottom w:w="75" w:type="dxa"/>
              <w:end w:w="75" w:type="dxa"/>
            </w:tcMar>
            <w:vAlign w:val="center"/>
            <w:shd w:fill="F2F6FA"/>
          </w:tcPr>
          <w:p>
            <w:pPr>
              <w:pStyle w:val="TableText"/>
            </w:pPr>
            <w:r>
              <w:t>Multiple starts, size checks, centroids, and maps.</w:t>
            </w:r>
          </w:p>
        </w:tc>
        <w:tc>
          <w:tcPr>
            <w:tcW w:type="dxa" w:w="2304"/>
            <w:tcMar>
              <w:top w:w="75" w:type="dxa"/>
              <w:start w:w="75" w:type="dxa"/>
              <w:bottom w:w="75" w:type="dxa"/>
              <w:end w:w="75" w:type="dxa"/>
            </w:tcMar>
            <w:vAlign w:val="center"/>
            <w:shd w:fill="F2F6FA"/>
          </w:tcPr>
          <w:p>
            <w:pPr>
              <w:pStyle w:val="TableText"/>
            </w:pPr>
            <w:r>
              <w:t>Clusters are descriptive, not natural or immutable classes.</w:t>
            </w:r>
          </w:p>
        </w:tc>
      </w:tr>
      <w:tr>
        <w:trPr>
          <w:cantSplit/>
        </w:trPr>
        <w:tc>
          <w:tcPr>
            <w:tcW w:type="dxa" w:w="1440"/>
            <w:tcMar>
              <w:top w:w="75" w:type="dxa"/>
              <w:start w:w="75" w:type="dxa"/>
              <w:bottom w:w="75" w:type="dxa"/>
              <w:end w:w="75" w:type="dxa"/>
            </w:tcMar>
            <w:vAlign w:val="center"/>
          </w:tcPr>
          <w:p>
            <w:pPr>
              <w:pStyle w:val="TableText"/>
            </w:pPr>
            <w:r>
              <w:t>Silhouette</w:t>
            </w:r>
          </w:p>
        </w:tc>
        <w:tc>
          <w:tcPr>
            <w:tcW w:type="dxa" w:w="2880"/>
            <w:tcMar>
              <w:top w:w="75" w:type="dxa"/>
              <w:start w:w="75" w:type="dxa"/>
              <w:bottom w:w="75" w:type="dxa"/>
              <w:end w:w="75" w:type="dxa"/>
            </w:tcMar>
            <w:vAlign w:val="center"/>
          </w:tcPr>
          <w:p>
            <w:pPr>
              <w:pStyle w:val="TableText"/>
            </w:pPr>
            <w:r>
              <w:t>Compare within-cluster cohesion and between-cluster separation.</w:t>
            </w:r>
          </w:p>
        </w:tc>
        <w:tc>
          <w:tcPr>
            <w:tcW w:type="dxa" w:w="2520"/>
            <w:tcMar>
              <w:top w:w="75" w:type="dxa"/>
              <w:start w:w="75" w:type="dxa"/>
              <w:bottom w:w="75" w:type="dxa"/>
              <w:end w:w="75" w:type="dxa"/>
            </w:tcMar>
            <w:vAlign w:val="center"/>
          </w:tcPr>
          <w:p>
            <w:pPr>
              <w:pStyle w:val="TableText"/>
            </w:pPr>
            <w:r>
              <w:t>Used with elbow and substantive interpretation.</w:t>
            </w:r>
          </w:p>
        </w:tc>
        <w:tc>
          <w:tcPr>
            <w:tcW w:type="dxa" w:w="2304"/>
            <w:tcMar>
              <w:top w:w="75" w:type="dxa"/>
              <w:start w:w="75" w:type="dxa"/>
              <w:bottom w:w="75" w:type="dxa"/>
              <w:end w:w="75" w:type="dxa"/>
            </w:tcMar>
            <w:vAlign w:val="center"/>
          </w:tcPr>
          <w:p>
            <w:pPr>
              <w:pStyle w:val="TableText"/>
            </w:pPr>
            <w:r>
              <w:t>One diagnostic cannot determine the final solution alone.</w:t>
            </w:r>
          </w:p>
        </w:tc>
      </w:tr>
      <w:tr>
        <w:trPr>
          <w:cantSplit/>
        </w:trPr>
        <w:tc>
          <w:tcPr>
            <w:tcW w:type="dxa" w:w="1440"/>
            <w:tcMar>
              <w:top w:w="75" w:type="dxa"/>
              <w:start w:w="75" w:type="dxa"/>
              <w:bottom w:w="75" w:type="dxa"/>
              <w:end w:w="75" w:type="dxa"/>
            </w:tcMar>
            <w:vAlign w:val="center"/>
            <w:shd w:fill="F2F6FA"/>
          </w:tcPr>
          <w:p>
            <w:pPr>
              <w:pStyle w:val="TableText"/>
            </w:pPr>
            <w:r>
              <w:t>Bootstrap Jaccard</w:t>
            </w:r>
          </w:p>
        </w:tc>
        <w:tc>
          <w:tcPr>
            <w:tcW w:type="dxa" w:w="2880"/>
            <w:tcMar>
              <w:top w:w="75" w:type="dxa"/>
              <w:start w:w="75" w:type="dxa"/>
              <w:bottom w:w="75" w:type="dxa"/>
              <w:end w:w="75" w:type="dxa"/>
            </w:tcMar>
            <w:vAlign w:val="center"/>
            <w:shd w:fill="F2F6FA"/>
          </w:tcPr>
          <w:p>
            <w:pPr>
              <w:pStyle w:val="TableText"/>
            </w:pPr>
            <w:r>
              <w:t>Assess whether each cluster reappears under resampling.</w:t>
            </w:r>
          </w:p>
        </w:tc>
        <w:tc>
          <w:tcPr>
            <w:tcW w:type="dxa" w:w="2520"/>
            <w:tcMar>
              <w:top w:w="75" w:type="dxa"/>
              <w:start w:w="75" w:type="dxa"/>
              <w:bottom w:w="75" w:type="dxa"/>
              <w:end w:w="75" w:type="dxa"/>
            </w:tcMar>
            <w:vAlign w:val="center"/>
            <w:shd w:fill="F2F6FA"/>
          </w:tcPr>
          <w:p>
            <w:pPr>
              <w:pStyle w:val="TableText"/>
            </w:pPr>
            <w:r>
              <w:t>Cluster-wise stability labels and dissolution rates.</w:t>
            </w:r>
          </w:p>
        </w:tc>
        <w:tc>
          <w:tcPr>
            <w:tcW w:type="dxa" w:w="2304"/>
            <w:tcMar>
              <w:top w:w="75" w:type="dxa"/>
              <w:start w:w="75" w:type="dxa"/>
              <w:bottom w:w="75" w:type="dxa"/>
              <w:end w:w="75" w:type="dxa"/>
            </w:tcMar>
            <w:vAlign w:val="center"/>
            <w:shd w:fill="F2F6FA"/>
          </w:tcPr>
          <w:p>
            <w:pPr>
              <w:pStyle w:val="TableText"/>
            </w:pPr>
            <w:r>
              <w:t>Stability does not prove policy relevance or external validity.</w:t>
            </w:r>
          </w:p>
        </w:tc>
      </w:tr>
    </w:tbl>
    <w:p>
      <w:pPr>
        <w:spacing w:after="20"/>
      </w:pPr>
    </w:p>
    <w:p>
      <w:pPr>
        <w:pStyle w:val="Heading2"/>
        <w:keepNext/>
      </w:pPr>
      <w:r>
        <w:t>2.6 Regression and Spatial Dependence</w:t>
      </w:r>
    </w:p>
    <w:p>
      <w:pPr>
        <w:pStyle w:val="Heading3"/>
        <w:keepNext/>
      </w:pPr>
      <w:r>
        <w:t>2.6.1 Adjusted Municipal Associations</w:t>
      </w:r>
    </w:p>
    <w:p>
      <w:pPr>
        <w:widowControl/>
      </w:pPr>
      <w:r>
        <w:t>Multiple regression estimates the association between heat exposure and each predictor while holding the other included predictors constant. This is more informative than separate correlations when canopy, drought, flood, and heavy rain are themselves related. The coefficient for canopy, for example, represents the expected difference in municipal heat exposure associated with a one-unit canopy difference among municipalities with equal included water-related predictors. It remains an ecological, conditional association rather than the effect of planting trees.</w:t>
      </w:r>
    </w:p>
    <w:p>
      <w:pPr>
        <w:widowControl/>
      </w:pPr>
      <w:r>
        <w:t>Model diagnostics are central to interpretation. Nonlinearity, heteroskedasticity, collinearity, influential municipalities, and non-normal residuals can affect estimates or uncertainty. Heteroskedasticity-consistent covariance estimators improve standard-error estimation when the error variance is not constant; HC3 is often preferred in finite samples because it adjusts residual contributions for leverage (MacKinnon &amp; White, 1985). Influence analysis should complement robust inference because a stable standard error cannot correct a coefficient dominated by a few observations.</w:t>
      </w:r>
    </w:p>
    <w:p>
      <w:pPr>
        <w:pStyle w:val="Heading3"/>
        <w:keepNext/>
      </w:pPr>
      <w:r>
        <w:t>2.6.2 Spatial Autocorrelation</w:t>
      </w:r>
    </w:p>
    <w:p>
      <w:pPr>
        <w:widowControl/>
      </w:pPr>
      <w:r>
        <w:t>Municipal observations are geographically connected. Similar climate, soils, urban regions, hydrological systems, infrastructure, and planning histories can create spatial clustering in both variables and model residuals. Moran's I compares cross-products among neighbouring observations with the overall variance and is widely used to test whether values are more spatially similar than expected under the reference distribution (Moran, 1950). A significant positive Moran's I in OLS residuals indicates that the non-spatial model has left geographic structure unexplained.</w:t>
      </w:r>
    </w:p>
    <w:p>
      <w:pPr>
        <w:widowControl/>
      </w:pPr>
      <w:r>
        <w:t>The result depends on the spatial-weights matrix. Queen contiguity treats municipalities sharing a boundary point or edge as neighbours, while k-nearest-neighbour weights ensure a specified number of connections even for islands or disconnected geometries. Row standardisation makes each municipality's outgoing weights sum to one. Because no neighbour definition is uniquely correct for all environmental processes, sensitivity to an alternative specification strengthens the analysis.</w:t>
      </w:r>
    </w:p>
    <w:p>
      <w:pPr>
        <w:pStyle w:val="Heading3"/>
        <w:keepNext/>
      </w:pPr>
      <w:r>
        <w:t>2.6.3 Spatial Lag and Spatial Error Models</w:t>
      </w:r>
    </w:p>
    <w:p>
      <w:pPr>
        <w:widowControl/>
      </w:pPr>
      <w:r>
        <w:t>Spatial econometrics distinguishes dependence in the outcome from dependence in the disturbance process. A spatial lag model includes a weighted average of neighbouring outcomes and estimates a spatial autoregressive parameter. It is appropriate when the outcome may diffuse, interact, or reflect substantive dependence across municipalities. A spatial error model places the dependence in the error term and is appropriate when omitted or imperfectly measured influences are spatially clustered (Anselin, 1988).</w:t>
      </w:r>
    </w:p>
    <w:p>
      <w:pPr>
        <w:widowControl/>
      </w:pPr>
      <w:r>
        <w:t>The distinction is substantive, not merely computational. A significant lag parameter may indicate connected outcomes or a proxy for omitted spatial processes, whereas a significant error parameter points more directly to spatially structured unobserved influences. Model comparison should use information criteria, likelihood-based tests where appropriate, coefficient stability, and residual Moran's I. A lower AIC is evidence of relative fit among models estimated on the same response data; it does not by itself validate causal interpretation.</w:t>
      </w:r>
    </w:p>
    <w:p>
      <w:pPr>
        <w:widowControl/>
      </w:pPr>
      <w:r>
        <w:t>Spatial models also introduce limitations. Coefficients depend on the neighbour matrix, indirect impacts in lag models require appropriate interpretation, and a spatial error model cannot identify the omitted variables responsible for the dependence. These models improve specification and inference when residual structure is present, but they remain conditional on the cross-sectional design.</w:t>
      </w:r>
    </w:p>
    <w:p>
      <w:pPr>
        <w:pStyle w:val="Heading2"/>
        <w:keepNext/>
      </w:pPr>
      <w:r>
        <w:t>2.7 Synthesis of Empirical Evidence</w:t>
      </w:r>
    </w:p>
    <w:p>
      <w:pPr>
        <w:widowControl/>
      </w:pPr>
      <w:r>
        <w:t>The reviewed evidence establishes several points relevant to this thesis. First, Dutch heat exposure varies within and among urban areas and is influenced by land cover and built form. Second, tree volume can contribute to local cooling, supporting canopy as an analytically meaningful predictor. Third, flood, heavy rain, and drought require separate representation because their mechanisms and adaptation measures differ. Fourth, municipality-level dashboards make national comparison feasible, but scale, thresholds, aggregation, and missingness remain analytical choices. Finally, geographic dependence is plausible enough that non-spatial regression should be tested rather than assumed sufficient.</w:t>
      </w:r>
    </w:p>
    <w:p>
      <w:pPr>
        <w:widowControl/>
      </w:pPr>
      <w:r>
        <w:t>The evidence is less complete when these elements are considered jointly. Heat studies often provide detailed local or intra-urban evidence, while national adaptation platforms provide broad hazard information. Indicator methodology offers tools for dimension reduction and classification, and spatial econometrics offers tools for residual dependence. The opportunity is to combine these strands in one reproducible municipal analysis while respecting the limits of each.</w:t>
      </w:r>
    </w:p>
    <w:p>
      <w:pPr>
        <w:pageBreakBefore w:val="0"/>
        <w:spacing w:before="160" w:after="80"/>
        <w:keepNext/>
      </w:pPr>
      <w:r>
        <w:rPr>
          <w:b/>
          <w:sz w:val="20"/>
        </w:rPr>
        <w:t>Table 2.4 Selected evidence and relevance to the thesis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1800"/>
            <w:tcMar>
              <w:top w:w="75" w:type="dxa"/>
              <w:start w:w="75" w:type="dxa"/>
              <w:bottom w:w="75" w:type="dxa"/>
              <w:end w:w="75" w:type="dxa"/>
            </w:tcMar>
            <w:shd w:fill="17365D"/>
            <w:vAlign w:val="center"/>
          </w:tcPr>
          <w:p>
            <w:pPr>
              <w:pStyle w:val="TableText"/>
              <w:jc w:val="center"/>
              <w:keepNext/>
            </w:pPr>
            <w:r>
              <w:rPr>
                <w:b/>
                <w:color w:val="FFFFFF"/>
                <w:sz w:val="16"/>
              </w:rPr>
              <w:t>Source</w:t>
            </w:r>
          </w:p>
        </w:tc>
        <w:tc>
          <w:tcPr>
            <w:tcW w:type="dxa" w:w="2448"/>
            <w:tcMar>
              <w:top w:w="75" w:type="dxa"/>
              <w:start w:w="75" w:type="dxa"/>
              <w:bottom w:w="75" w:type="dxa"/>
              <w:end w:w="75" w:type="dxa"/>
            </w:tcMar>
            <w:shd w:fill="17365D"/>
            <w:vAlign w:val="center"/>
          </w:tcPr>
          <w:p>
            <w:pPr>
              <w:pStyle w:val="TableText"/>
              <w:jc w:val="center"/>
              <w:keepNext/>
            </w:pPr>
            <w:r>
              <w:rPr>
                <w:b/>
                <w:color w:val="FFFFFF"/>
                <w:sz w:val="16"/>
              </w:rPr>
              <w:t>Setting and focus</w:t>
            </w:r>
          </w:p>
        </w:tc>
        <w:tc>
          <w:tcPr>
            <w:tcW w:type="dxa" w:w="2592"/>
            <w:tcMar>
              <w:top w:w="75" w:type="dxa"/>
              <w:start w:w="75" w:type="dxa"/>
              <w:bottom w:w="75" w:type="dxa"/>
              <w:end w:w="75" w:type="dxa"/>
            </w:tcMar>
            <w:shd w:fill="17365D"/>
            <w:vAlign w:val="center"/>
          </w:tcPr>
          <w:p>
            <w:pPr>
              <w:pStyle w:val="TableText"/>
              <w:jc w:val="center"/>
              <w:keepNext/>
            </w:pPr>
            <w:r>
              <w:rPr>
                <w:b/>
                <w:color w:val="FFFFFF"/>
                <w:sz w:val="16"/>
              </w:rPr>
              <w:t>Contribution</w:t>
            </w:r>
          </w:p>
        </w:tc>
        <w:tc>
          <w:tcPr>
            <w:tcW w:type="dxa" w:w="2304"/>
            <w:tcMar>
              <w:top w:w="75" w:type="dxa"/>
              <w:start w:w="75" w:type="dxa"/>
              <w:bottom w:w="75" w:type="dxa"/>
              <w:end w:w="75" w:type="dxa"/>
            </w:tcMar>
            <w:shd w:fill="17365D"/>
            <w:vAlign w:val="center"/>
          </w:tcPr>
          <w:p>
            <w:pPr>
              <w:pStyle w:val="TableText"/>
              <w:jc w:val="center"/>
              <w:keepNext/>
            </w:pPr>
            <w:r>
              <w:rPr>
                <w:b/>
                <w:color w:val="FFFFFF"/>
                <w:sz w:val="16"/>
              </w:rPr>
              <w:t>Remaining need addressed here</w:t>
            </w:r>
          </w:p>
        </w:tc>
      </w:tr>
      <w:tr>
        <w:trPr>
          <w:cantSplit/>
        </w:trPr>
        <w:tc>
          <w:tcPr>
            <w:tcW w:type="dxa" w:w="1800"/>
            <w:tcMar>
              <w:top w:w="75" w:type="dxa"/>
              <w:start w:w="75" w:type="dxa"/>
              <w:bottom w:w="75" w:type="dxa"/>
              <w:end w:w="75" w:type="dxa"/>
            </w:tcMar>
            <w:vAlign w:val="center"/>
          </w:tcPr>
          <w:p>
            <w:pPr>
              <w:pStyle w:val="TableText"/>
            </w:pPr>
            <w:r>
              <w:t>van Hove et al. (2015)</w:t>
            </w:r>
          </w:p>
        </w:tc>
        <w:tc>
          <w:tcPr>
            <w:tcW w:type="dxa" w:w="2448"/>
            <w:tcMar>
              <w:top w:w="75" w:type="dxa"/>
              <w:start w:w="75" w:type="dxa"/>
              <w:bottom w:w="75" w:type="dxa"/>
              <w:end w:w="75" w:type="dxa"/>
            </w:tcMar>
            <w:vAlign w:val="center"/>
          </w:tcPr>
          <w:p>
            <w:pPr>
              <w:pStyle w:val="TableText"/>
            </w:pPr>
            <w:r>
              <w:t>Rotterdam urban heat island and thermal comfort.</w:t>
            </w:r>
          </w:p>
        </w:tc>
        <w:tc>
          <w:tcPr>
            <w:tcW w:type="dxa" w:w="2592"/>
            <w:tcMar>
              <w:top w:w="75" w:type="dxa"/>
              <w:start w:w="75" w:type="dxa"/>
              <w:bottom w:w="75" w:type="dxa"/>
              <w:end w:w="75" w:type="dxa"/>
            </w:tcMar>
            <w:vAlign w:val="center"/>
          </w:tcPr>
          <w:p>
            <w:pPr>
              <w:pStyle w:val="TableText"/>
            </w:pPr>
            <w:r>
              <w:t>Shows local spatial and temporal heat variation.</w:t>
            </w:r>
          </w:p>
        </w:tc>
        <w:tc>
          <w:tcPr>
            <w:tcW w:type="dxa" w:w="2304"/>
            <w:tcMar>
              <w:top w:w="75" w:type="dxa"/>
              <w:start w:w="75" w:type="dxa"/>
              <w:bottom w:w="75" w:type="dxa"/>
              <w:end w:w="75" w:type="dxa"/>
            </w:tcMar>
            <w:vAlign w:val="center"/>
          </w:tcPr>
          <w:p>
            <w:pPr>
              <w:pStyle w:val="TableText"/>
            </w:pPr>
            <w:r>
              <w:t>National municipality-level comparison across multiple indicators.</w:t>
            </w:r>
          </w:p>
        </w:tc>
      </w:tr>
      <w:tr>
        <w:trPr>
          <w:cantSplit/>
        </w:trPr>
        <w:tc>
          <w:tcPr>
            <w:tcW w:type="dxa" w:w="1800"/>
            <w:tcMar>
              <w:top w:w="75" w:type="dxa"/>
              <w:start w:w="75" w:type="dxa"/>
              <w:bottom w:w="75" w:type="dxa"/>
              <w:end w:w="75" w:type="dxa"/>
            </w:tcMar>
            <w:vAlign w:val="center"/>
            <w:shd w:fill="F2F6FA"/>
          </w:tcPr>
          <w:p>
            <w:pPr>
              <w:pStyle w:val="TableText"/>
            </w:pPr>
            <w:r>
              <w:t>Rafiee et al. (2016)</w:t>
            </w:r>
          </w:p>
        </w:tc>
        <w:tc>
          <w:tcPr>
            <w:tcW w:type="dxa" w:w="2448"/>
            <w:tcMar>
              <w:top w:w="75" w:type="dxa"/>
              <w:start w:w="75" w:type="dxa"/>
              <w:bottom w:w="75" w:type="dxa"/>
              <w:end w:w="75" w:type="dxa"/>
            </w:tcMar>
            <w:vAlign w:val="center"/>
            <w:shd w:fill="F2F6FA"/>
          </w:tcPr>
          <w:p>
            <w:pPr>
              <w:pStyle w:val="TableText"/>
            </w:pPr>
            <w:r>
              <w:t>Tree volume and nocturnal heat in Amsterdam.</w:t>
            </w:r>
          </w:p>
        </w:tc>
        <w:tc>
          <w:tcPr>
            <w:tcW w:type="dxa" w:w="2592"/>
            <w:tcMar>
              <w:top w:w="75" w:type="dxa"/>
              <w:start w:w="75" w:type="dxa"/>
              <w:bottom w:w="75" w:type="dxa"/>
              <w:end w:w="75" w:type="dxa"/>
            </w:tcMar>
            <w:vAlign w:val="center"/>
            <w:shd w:fill="F2F6FA"/>
          </w:tcPr>
          <w:p>
            <w:pPr>
              <w:pStyle w:val="TableText"/>
            </w:pPr>
            <w:r>
              <w:t>Supports a cooling relationship between urban trees and heat.</w:t>
            </w:r>
          </w:p>
        </w:tc>
        <w:tc>
          <w:tcPr>
            <w:tcW w:type="dxa" w:w="2304"/>
            <w:tcMar>
              <w:top w:w="75" w:type="dxa"/>
              <w:start w:w="75" w:type="dxa"/>
              <w:bottom w:w="75" w:type="dxa"/>
              <w:end w:w="75" w:type="dxa"/>
            </w:tcMar>
            <w:vAlign w:val="center"/>
            <w:shd w:fill="F2F6FA"/>
          </w:tcPr>
          <w:p>
            <w:pPr>
              <w:pStyle w:val="TableText"/>
            </w:pPr>
            <w:r>
              <w:t>Joint adjustment for several environmental conditions.</w:t>
            </w:r>
          </w:p>
        </w:tc>
      </w:tr>
      <w:tr>
        <w:trPr>
          <w:cantSplit/>
        </w:trPr>
        <w:tc>
          <w:tcPr>
            <w:tcW w:type="dxa" w:w="1800"/>
            <w:tcMar>
              <w:top w:w="75" w:type="dxa"/>
              <w:start w:w="75" w:type="dxa"/>
              <w:bottom w:w="75" w:type="dxa"/>
              <w:end w:w="75" w:type="dxa"/>
            </w:tcMar>
            <w:vAlign w:val="center"/>
          </w:tcPr>
          <w:p>
            <w:pPr>
              <w:pStyle w:val="TableText"/>
            </w:pPr>
            <w:r>
              <w:t>Theeuwes et al. (2017)</w:t>
            </w:r>
          </w:p>
        </w:tc>
        <w:tc>
          <w:tcPr>
            <w:tcW w:type="dxa" w:w="2448"/>
            <w:tcMar>
              <w:top w:w="75" w:type="dxa"/>
              <w:start w:w="75" w:type="dxa"/>
              <w:bottom w:w="75" w:type="dxa"/>
              <w:end w:w="75" w:type="dxa"/>
            </w:tcMar>
            <w:vAlign w:val="center"/>
          </w:tcPr>
          <w:p>
            <w:pPr>
              <w:pStyle w:val="TableText"/>
            </w:pPr>
            <w:r>
              <w:t>North-west European urban heat-island model.</w:t>
            </w:r>
          </w:p>
        </w:tc>
        <w:tc>
          <w:tcPr>
            <w:tcW w:type="dxa" w:w="2592"/>
            <w:tcMar>
              <w:top w:w="75" w:type="dxa"/>
              <w:start w:w="75" w:type="dxa"/>
              <w:bottom w:w="75" w:type="dxa"/>
              <w:end w:w="75" w:type="dxa"/>
            </w:tcMar>
            <w:vAlign w:val="center"/>
          </w:tcPr>
          <w:p>
            <w:pPr>
              <w:pStyle w:val="TableText"/>
            </w:pPr>
            <w:r>
              <w:t>Links heat-island intensity to meteorology and urban form.</w:t>
            </w:r>
          </w:p>
        </w:tc>
        <w:tc>
          <w:tcPr>
            <w:tcW w:type="dxa" w:w="2304"/>
            <w:tcMar>
              <w:top w:w="75" w:type="dxa"/>
              <w:start w:w="75" w:type="dxa"/>
              <w:bottom w:w="75" w:type="dxa"/>
              <w:end w:w="75" w:type="dxa"/>
            </w:tcMar>
            <w:vAlign w:val="center"/>
          </w:tcPr>
          <w:p>
            <w:pPr>
              <w:pStyle w:val="TableText"/>
            </w:pPr>
            <w:r>
              <w:t>Integration with Dutch drought and flood-related indicators.</w:t>
            </w:r>
          </w:p>
        </w:tc>
      </w:tr>
      <w:tr>
        <w:trPr>
          <w:cantSplit/>
        </w:trPr>
        <w:tc>
          <w:tcPr>
            <w:tcW w:type="dxa" w:w="1800"/>
            <w:tcMar>
              <w:top w:w="75" w:type="dxa"/>
              <w:start w:w="75" w:type="dxa"/>
              <w:bottom w:w="75" w:type="dxa"/>
              <w:end w:w="75" w:type="dxa"/>
            </w:tcMar>
            <w:vAlign w:val="center"/>
            <w:shd w:fill="F2F6FA"/>
          </w:tcPr>
          <w:p>
            <w:pPr>
              <w:pStyle w:val="TableText"/>
            </w:pPr>
            <w:r>
              <w:t>Ahmed et al. (2023)</w:t>
            </w:r>
          </w:p>
        </w:tc>
        <w:tc>
          <w:tcPr>
            <w:tcW w:type="dxa" w:w="2448"/>
            <w:tcMar>
              <w:top w:w="75" w:type="dxa"/>
              <w:start w:w="75" w:type="dxa"/>
              <w:bottom w:w="75" w:type="dxa"/>
              <w:end w:w="75" w:type="dxa"/>
            </w:tcMar>
            <w:vAlign w:val="center"/>
            <w:shd w:fill="F2F6FA"/>
          </w:tcPr>
          <w:p>
            <w:pPr>
              <w:pStyle w:val="TableText"/>
            </w:pPr>
            <w:r>
              <w:t>Dutch heatwave vulnerability across spatial scales.</w:t>
            </w:r>
          </w:p>
        </w:tc>
        <w:tc>
          <w:tcPr>
            <w:tcW w:type="dxa" w:w="2592"/>
            <w:tcMar>
              <w:top w:w="75" w:type="dxa"/>
              <w:start w:w="75" w:type="dxa"/>
              <w:bottom w:w="75" w:type="dxa"/>
              <w:end w:w="75" w:type="dxa"/>
            </w:tcMar>
            <w:vAlign w:val="center"/>
            <w:shd w:fill="F2F6FA"/>
          </w:tcPr>
          <w:p>
            <w:pPr>
              <w:pStyle w:val="TableText"/>
            </w:pPr>
            <w:r>
              <w:t>Demonstrates the importance of built environment and scale.</w:t>
            </w:r>
          </w:p>
        </w:tc>
        <w:tc>
          <w:tcPr>
            <w:tcW w:type="dxa" w:w="2304"/>
            <w:tcMar>
              <w:top w:w="75" w:type="dxa"/>
              <w:start w:w="75" w:type="dxa"/>
              <w:bottom w:w="75" w:type="dxa"/>
              <w:end w:w="75" w:type="dxa"/>
            </w:tcMar>
            <w:vAlign w:val="center"/>
            <w:shd w:fill="F2F6FA"/>
          </w:tcPr>
          <w:p>
            <w:pPr>
              <w:pStyle w:val="TableText"/>
            </w:pPr>
            <w:r>
              <w:t>A common national sample and explicit spatial econometrics.</w:t>
            </w:r>
          </w:p>
        </w:tc>
      </w:tr>
      <w:tr>
        <w:trPr>
          <w:cantSplit/>
        </w:trPr>
        <w:tc>
          <w:tcPr>
            <w:tcW w:type="dxa" w:w="1800"/>
            <w:tcMar>
              <w:top w:w="75" w:type="dxa"/>
              <w:start w:w="75" w:type="dxa"/>
              <w:bottom w:w="75" w:type="dxa"/>
              <w:end w:w="75" w:type="dxa"/>
            </w:tcMar>
            <w:vAlign w:val="center"/>
          </w:tcPr>
          <w:p>
            <w:pPr>
              <w:pStyle w:val="TableText"/>
            </w:pPr>
            <w:r>
              <w:t>Habib et al. (2025)</w:t>
            </w:r>
          </w:p>
        </w:tc>
        <w:tc>
          <w:tcPr>
            <w:tcW w:type="dxa" w:w="2448"/>
            <w:tcMar>
              <w:top w:w="75" w:type="dxa"/>
              <w:start w:w="75" w:type="dxa"/>
              <w:bottom w:w="75" w:type="dxa"/>
              <w:end w:w="75" w:type="dxa"/>
            </w:tcMar>
            <w:vAlign w:val="center"/>
          </w:tcPr>
          <w:p>
            <w:pPr>
              <w:pStyle w:val="TableText"/>
            </w:pPr>
            <w:r>
              <w:t>High-resolution heat-vulnerability datasets for Dutch urbanised areas.</w:t>
            </w:r>
          </w:p>
        </w:tc>
        <w:tc>
          <w:tcPr>
            <w:tcW w:type="dxa" w:w="2592"/>
            <w:tcMar>
              <w:top w:w="75" w:type="dxa"/>
              <w:start w:w="75" w:type="dxa"/>
              <w:bottom w:w="75" w:type="dxa"/>
              <w:end w:w="75" w:type="dxa"/>
            </w:tcMar>
            <w:vAlign w:val="center"/>
          </w:tcPr>
          <w:p>
            <w:pPr>
              <w:pStyle w:val="TableText"/>
            </w:pPr>
            <w:r>
              <w:t>Extends fine-scale data availability.</w:t>
            </w:r>
          </w:p>
        </w:tc>
        <w:tc>
          <w:tcPr>
            <w:tcW w:type="dxa" w:w="2304"/>
            <w:tcMar>
              <w:top w:w="75" w:type="dxa"/>
              <w:start w:w="75" w:type="dxa"/>
              <w:bottom w:w="75" w:type="dxa"/>
              <w:end w:w="75" w:type="dxa"/>
            </w:tcMar>
            <w:vAlign w:val="center"/>
          </w:tcPr>
          <w:p>
            <w:pPr>
              <w:pStyle w:val="TableText"/>
            </w:pPr>
            <w:r>
              <w:t>A municipality typology that combines five environmental domains.</w:t>
            </w:r>
          </w:p>
        </w:tc>
      </w:tr>
      <w:tr>
        <w:trPr>
          <w:cantSplit/>
        </w:trPr>
        <w:tc>
          <w:tcPr>
            <w:tcW w:type="dxa" w:w="1800"/>
            <w:tcMar>
              <w:top w:w="75" w:type="dxa"/>
              <w:start w:w="75" w:type="dxa"/>
              <w:bottom w:w="75" w:type="dxa"/>
              <w:end w:w="75" w:type="dxa"/>
            </w:tcMar>
            <w:vAlign w:val="center"/>
            <w:shd w:fill="F2F6FA"/>
          </w:tcPr>
          <w:p>
            <w:pPr>
              <w:pStyle w:val="TableText"/>
            </w:pPr>
            <w:r>
              <w:t>Klimaateffectatlas (2026)</w:t>
            </w:r>
          </w:p>
        </w:tc>
        <w:tc>
          <w:tcPr>
            <w:tcW w:type="dxa" w:w="2448"/>
            <w:tcMar>
              <w:top w:w="75" w:type="dxa"/>
              <w:start w:w="75" w:type="dxa"/>
              <w:bottom w:w="75" w:type="dxa"/>
              <w:end w:w="75" w:type="dxa"/>
            </w:tcMar>
            <w:vAlign w:val="center"/>
            <w:shd w:fill="F2F6FA"/>
          </w:tcPr>
          <w:p>
            <w:pPr>
              <w:pStyle w:val="TableText"/>
            </w:pPr>
            <w:r>
              <w:t>National climate-effect maps and Buurtdashboard.</w:t>
            </w:r>
          </w:p>
        </w:tc>
        <w:tc>
          <w:tcPr>
            <w:tcW w:type="dxa" w:w="2592"/>
            <w:tcMar>
              <w:top w:w="75" w:type="dxa"/>
              <w:start w:w="75" w:type="dxa"/>
              <w:bottom w:w="75" w:type="dxa"/>
              <w:end w:w="75" w:type="dxa"/>
            </w:tcMar>
            <w:vAlign w:val="center"/>
            <w:shd w:fill="F2F6FA"/>
          </w:tcPr>
          <w:p>
            <w:pPr>
              <w:pStyle w:val="TableText"/>
            </w:pPr>
            <w:r>
              <w:t>Provides accessible, standardised local indicators.</w:t>
            </w:r>
          </w:p>
        </w:tc>
        <w:tc>
          <w:tcPr>
            <w:tcW w:type="dxa" w:w="2304"/>
            <w:tcMar>
              <w:top w:w="75" w:type="dxa"/>
              <w:start w:w="75" w:type="dxa"/>
              <w:bottom w:w="75" w:type="dxa"/>
              <w:end w:w="75" w:type="dxa"/>
            </w:tcMar>
            <w:vAlign w:val="center"/>
            <w:shd w:fill="F2F6FA"/>
          </w:tcPr>
          <w:p>
            <w:pPr>
              <w:pStyle w:val="TableText"/>
            </w:pPr>
            <w:r>
              <w:t>Documented aggregation, validation, and model comparison.</w:t>
            </w:r>
          </w:p>
        </w:tc>
      </w:tr>
    </w:tbl>
    <w:p>
      <w:pPr>
        <w:spacing w:after="20"/>
      </w:pPr>
    </w:p>
    <w:p>
      <w:pPr>
        <w:pStyle w:val="Heading2"/>
        <w:keepNext/>
      </w:pPr>
      <w:r>
        <w:t>2.8 Research Gap and Contribution</w:t>
      </w:r>
    </w:p>
    <w:p>
      <w:pPr>
        <w:widowControl/>
      </w:pPr>
      <w:r>
        <w:t>The literature provides strong foundations for each part of the problem, but the reviewed sources do not provide one reproducible municipality-level workflow that jointly analyses the selected canopy, drought-depth, heat, flood, and heavy-rain indicators across the Netherlands. Existing Dutch heat research is detailed but predominantly heat-specific or focused on particular urban areas and spatial resolutions (Ahmed et al., 2023; Habib et al., 2025; Rafiee et al., 2016; van Hove et al., 2015). The Climate Impact Atlas supplies broad comparable information, but a dashboard is not designed to answer latent-structure, cluster-stability, adjusted-association, and spatial-model questions in one inferential sequence (Klimaateffectatlas, 2026).</w:t>
      </w:r>
    </w:p>
    <w:p>
      <w:pPr>
        <w:widowControl/>
      </w:pPr>
      <w:r>
        <w:t>A second gap concerns integration across analytical stages. Composite-indicator and PCA literature address reduction, clustering literature addresses typologies, and spatial econometrics addresses dependence. Applying any one method alone leaves important questions unresolved. PCA does not show whether municipalities form stable profiles; clustering does not estimate adjusted relationships with heat; and OLS does not determine whether residual geographic structure affects inference. The methodological contribution of the thesis is therefore the auditable connection of these stages using one harmonised sample.</w:t>
      </w:r>
    </w:p>
    <w:p>
      <w:pPr>
        <w:widowControl/>
      </w:pPr>
      <w:r>
        <w:t>A third gap concerns interpretive discipline. Environmental dashboards can encourage broad vulnerability language even when social sensitivity and adaptive capacity are absent. This study explicitly limits its claim to environmental vulnerability patterns and treats municipal profiles as screening tools. That boundary is a contribution because it aligns the strength of the conclusions with the information actually observed.</w:t>
      </w:r>
    </w:p>
    <w:p>
      <w:pPr>
        <w:pageBreakBefore/>
        <w:spacing w:before="160" w:after="80"/>
        <w:keepNext/>
      </w:pPr>
      <w:r>
        <w:rPr>
          <w:b/>
          <w:sz w:val="20"/>
        </w:rPr>
        <w:t>Table 2.5 Research gaps and study response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2448"/>
            <w:tcMar>
              <w:top w:w="75" w:type="dxa"/>
              <w:start w:w="75" w:type="dxa"/>
              <w:bottom w:w="75" w:type="dxa"/>
              <w:end w:w="75" w:type="dxa"/>
            </w:tcMar>
            <w:shd w:fill="17365D"/>
            <w:vAlign w:val="center"/>
          </w:tcPr>
          <w:p>
            <w:pPr>
              <w:pStyle w:val="TableText"/>
              <w:jc w:val="center"/>
              <w:keepNext/>
            </w:pPr>
            <w:r>
              <w:rPr>
                <w:b/>
                <w:color w:val="FFFFFF"/>
                <w:sz w:val="16"/>
              </w:rPr>
              <w:t>Identified gap</w:t>
            </w:r>
          </w:p>
        </w:tc>
        <w:tc>
          <w:tcPr>
            <w:tcW w:type="dxa" w:w="2520"/>
            <w:tcMar>
              <w:top w:w="75" w:type="dxa"/>
              <w:start w:w="75" w:type="dxa"/>
              <w:bottom w:w="75" w:type="dxa"/>
              <w:end w:w="75" w:type="dxa"/>
            </w:tcMar>
            <w:shd w:fill="17365D"/>
            <w:vAlign w:val="center"/>
          </w:tcPr>
          <w:p>
            <w:pPr>
              <w:pStyle w:val="TableText"/>
              <w:jc w:val="center"/>
              <w:keepNext/>
            </w:pPr>
            <w:r>
              <w:rPr>
                <w:b/>
                <w:color w:val="FFFFFF"/>
                <w:sz w:val="16"/>
              </w:rPr>
              <w:t>Why it matters</w:t>
            </w:r>
          </w:p>
        </w:tc>
        <w:tc>
          <w:tcPr>
            <w:tcW w:type="dxa" w:w="2592"/>
            <w:tcMar>
              <w:top w:w="75" w:type="dxa"/>
              <w:start w:w="75" w:type="dxa"/>
              <w:bottom w:w="75" w:type="dxa"/>
              <w:end w:w="75" w:type="dxa"/>
            </w:tcMar>
            <w:shd w:fill="17365D"/>
            <w:vAlign w:val="center"/>
          </w:tcPr>
          <w:p>
            <w:pPr>
              <w:pStyle w:val="TableText"/>
              <w:jc w:val="center"/>
              <w:keepNext/>
            </w:pPr>
            <w:r>
              <w:rPr>
                <w:b/>
                <w:color w:val="FFFFFF"/>
                <w:sz w:val="16"/>
              </w:rPr>
              <w:t>Study response</w:t>
            </w:r>
          </w:p>
        </w:tc>
        <w:tc>
          <w:tcPr>
            <w:tcW w:type="dxa" w:w="1080"/>
            <w:tcMar>
              <w:top w:w="75" w:type="dxa"/>
              <w:start w:w="75" w:type="dxa"/>
              <w:bottom w:w="75" w:type="dxa"/>
              <w:end w:w="75" w:type="dxa"/>
            </w:tcMar>
            <w:shd w:fill="17365D"/>
            <w:vAlign w:val="center"/>
          </w:tcPr>
          <w:p>
            <w:pPr>
              <w:pStyle w:val="TableText"/>
              <w:jc w:val="center"/>
              <w:keepNext/>
            </w:pPr>
            <w:r>
              <w:rPr>
                <w:b/>
                <w:color w:val="FFFFFF"/>
                <w:sz w:val="16"/>
              </w:rPr>
              <w:t>Research question</w:t>
            </w:r>
          </w:p>
        </w:tc>
      </w:tr>
      <w:tr>
        <w:trPr>
          <w:cantSplit/>
        </w:trPr>
        <w:tc>
          <w:tcPr>
            <w:tcW w:type="dxa" w:w="2448"/>
            <w:tcMar>
              <w:top w:w="75" w:type="dxa"/>
              <w:start w:w="75" w:type="dxa"/>
              <w:bottom w:w="75" w:type="dxa"/>
              <w:end w:w="75" w:type="dxa"/>
            </w:tcMar>
            <w:vAlign w:val="center"/>
          </w:tcPr>
          <w:p>
            <w:pPr>
              <w:pStyle w:val="TableText"/>
            </w:pPr>
            <w:r>
              <w:t>Five selected indicators are often viewed separately.</w:t>
            </w:r>
          </w:p>
        </w:tc>
        <w:tc>
          <w:tcPr>
            <w:tcW w:type="dxa" w:w="2520"/>
            <w:tcMar>
              <w:top w:w="75" w:type="dxa"/>
              <w:start w:w="75" w:type="dxa"/>
              <w:bottom w:w="75" w:type="dxa"/>
              <w:end w:w="75" w:type="dxa"/>
            </w:tcMar>
            <w:vAlign w:val="center"/>
          </w:tcPr>
          <w:p>
            <w:pPr>
              <w:pStyle w:val="TableText"/>
            </w:pPr>
            <w:r>
              <w:t>Separate rankings cannot reveal covariance or recurring combinations.</w:t>
            </w:r>
          </w:p>
        </w:tc>
        <w:tc>
          <w:tcPr>
            <w:tcW w:type="dxa" w:w="2592"/>
            <w:tcMar>
              <w:top w:w="75" w:type="dxa"/>
              <w:start w:w="75" w:type="dxa"/>
              <w:bottom w:w="75" w:type="dxa"/>
              <w:end w:w="75" w:type="dxa"/>
            </w:tcMar>
            <w:vAlign w:val="center"/>
          </w:tcPr>
          <w:p>
            <w:pPr>
              <w:pStyle w:val="TableText"/>
            </w:pPr>
            <w:r>
              <w:t>Common-sample description, correlations, PCA, and cluster profiles.</w:t>
            </w:r>
          </w:p>
        </w:tc>
        <w:tc>
          <w:tcPr>
            <w:tcW w:type="dxa" w:w="1080"/>
            <w:tcMar>
              <w:top w:w="75" w:type="dxa"/>
              <w:start w:w="75" w:type="dxa"/>
              <w:bottom w:w="75" w:type="dxa"/>
              <w:end w:w="75" w:type="dxa"/>
            </w:tcMar>
            <w:vAlign w:val="center"/>
          </w:tcPr>
          <w:p>
            <w:pPr>
              <w:pStyle w:val="TableText"/>
            </w:pPr>
            <w:r>
              <w:t>RQ1–RQ3</w:t>
            </w:r>
          </w:p>
        </w:tc>
      </w:tr>
      <w:tr>
        <w:trPr>
          <w:cantSplit/>
        </w:trPr>
        <w:tc>
          <w:tcPr>
            <w:tcW w:type="dxa" w:w="2448"/>
            <w:tcMar>
              <w:top w:w="75" w:type="dxa"/>
              <w:start w:w="75" w:type="dxa"/>
              <w:bottom w:w="75" w:type="dxa"/>
              <w:end w:w="75" w:type="dxa"/>
            </w:tcMar>
            <w:vAlign w:val="center"/>
            <w:shd w:fill="F2F6FA"/>
          </w:tcPr>
          <w:p>
            <w:pPr>
              <w:pStyle w:val="TableText"/>
            </w:pPr>
            <w:r>
              <w:t>Municipal typologies may be presented without stability evidence.</w:t>
            </w:r>
          </w:p>
        </w:tc>
        <w:tc>
          <w:tcPr>
            <w:tcW w:type="dxa" w:w="2520"/>
            <w:tcMar>
              <w:top w:w="75" w:type="dxa"/>
              <w:start w:w="75" w:type="dxa"/>
              <w:bottom w:w="75" w:type="dxa"/>
              <w:end w:w="75" w:type="dxa"/>
            </w:tcMar>
            <w:vAlign w:val="center"/>
            <w:shd w:fill="F2F6FA"/>
          </w:tcPr>
          <w:p>
            <w:pPr>
              <w:pStyle w:val="TableText"/>
            </w:pPr>
            <w:r>
              <w:t>A visually plausible partition can be sample-specific.</w:t>
            </w:r>
          </w:p>
        </w:tc>
        <w:tc>
          <w:tcPr>
            <w:tcW w:type="dxa" w:w="2592"/>
            <w:tcMar>
              <w:top w:w="75" w:type="dxa"/>
              <w:start w:w="75" w:type="dxa"/>
              <w:bottom w:w="75" w:type="dxa"/>
              <w:end w:w="75" w:type="dxa"/>
            </w:tcMar>
            <w:vAlign w:val="center"/>
            <w:shd w:fill="F2F6FA"/>
          </w:tcPr>
          <w:p>
            <w:pPr>
              <w:pStyle w:val="TableText"/>
            </w:pPr>
            <w:r>
              <w:t>Silhouette assessment and cluster-wise bootstrap Jaccard similarity.</w:t>
            </w:r>
          </w:p>
        </w:tc>
        <w:tc>
          <w:tcPr>
            <w:tcW w:type="dxa" w:w="1080"/>
            <w:tcMar>
              <w:top w:w="75" w:type="dxa"/>
              <w:start w:w="75" w:type="dxa"/>
              <w:bottom w:w="75" w:type="dxa"/>
              <w:end w:w="75" w:type="dxa"/>
            </w:tcMar>
            <w:vAlign w:val="center"/>
            <w:shd w:fill="F2F6FA"/>
          </w:tcPr>
          <w:p>
            <w:pPr>
              <w:pStyle w:val="TableText"/>
            </w:pPr>
            <w:r>
              <w:t>RQ3</w:t>
            </w:r>
          </w:p>
        </w:tc>
      </w:tr>
      <w:tr>
        <w:trPr>
          <w:cantSplit/>
        </w:trPr>
        <w:tc>
          <w:tcPr>
            <w:tcW w:type="dxa" w:w="2448"/>
            <w:tcMar>
              <w:top w:w="75" w:type="dxa"/>
              <w:start w:w="75" w:type="dxa"/>
              <w:bottom w:w="75" w:type="dxa"/>
              <w:end w:w="75" w:type="dxa"/>
            </w:tcMar>
            <w:vAlign w:val="center"/>
          </w:tcPr>
          <w:p>
            <w:pPr>
              <w:pStyle w:val="TableText"/>
            </w:pPr>
            <w:r>
              <w:t>Heat relationships may be assessed without joint adjustment.</w:t>
            </w:r>
          </w:p>
        </w:tc>
        <w:tc>
          <w:tcPr>
            <w:tcW w:type="dxa" w:w="2520"/>
            <w:tcMar>
              <w:top w:w="75" w:type="dxa"/>
              <w:start w:w="75" w:type="dxa"/>
              <w:bottom w:w="75" w:type="dxa"/>
              <w:end w:w="75" w:type="dxa"/>
            </w:tcMar>
            <w:vAlign w:val="center"/>
          </w:tcPr>
          <w:p>
            <w:pPr>
              <w:pStyle w:val="TableText"/>
            </w:pPr>
            <w:r>
              <w:t>Bivariate patterns can reflect correlations among environmental predictors.</w:t>
            </w:r>
          </w:p>
        </w:tc>
        <w:tc>
          <w:tcPr>
            <w:tcW w:type="dxa" w:w="2592"/>
            <w:tcMar>
              <w:top w:w="75" w:type="dxa"/>
              <w:start w:w="75" w:type="dxa"/>
              <w:bottom w:w="75" w:type="dxa"/>
              <w:end w:w="75" w:type="dxa"/>
            </w:tcMar>
            <w:vAlign w:val="center"/>
          </w:tcPr>
          <w:p>
            <w:pPr>
              <w:pStyle w:val="TableText"/>
            </w:pPr>
            <w:r>
              <w:t>Multiple regression with HC3 inference, diagnostics, and sensitivity checks.</w:t>
            </w:r>
          </w:p>
        </w:tc>
        <w:tc>
          <w:tcPr>
            <w:tcW w:type="dxa" w:w="1080"/>
            <w:tcMar>
              <w:top w:w="75" w:type="dxa"/>
              <w:start w:w="75" w:type="dxa"/>
              <w:bottom w:w="75" w:type="dxa"/>
              <w:end w:w="75" w:type="dxa"/>
            </w:tcMar>
            <w:vAlign w:val="center"/>
          </w:tcPr>
          <w:p>
            <w:pPr>
              <w:pStyle w:val="TableText"/>
            </w:pPr>
            <w:r>
              <w:t>RQ4</w:t>
            </w:r>
          </w:p>
        </w:tc>
      </w:tr>
      <w:tr>
        <w:trPr>
          <w:cantSplit/>
        </w:trPr>
        <w:tc>
          <w:tcPr>
            <w:tcW w:type="dxa" w:w="2448"/>
            <w:tcMar>
              <w:top w:w="75" w:type="dxa"/>
              <w:start w:w="75" w:type="dxa"/>
              <w:bottom w:w="75" w:type="dxa"/>
              <w:end w:w="75" w:type="dxa"/>
            </w:tcMar>
            <w:vAlign w:val="center"/>
            <w:shd w:fill="F2F6FA"/>
          </w:tcPr>
          <w:p>
            <w:pPr>
              <w:pStyle w:val="TableText"/>
            </w:pPr>
            <w:r>
              <w:t>Geographic dependence may be ignored.</w:t>
            </w:r>
          </w:p>
        </w:tc>
        <w:tc>
          <w:tcPr>
            <w:tcW w:type="dxa" w:w="2520"/>
            <w:tcMar>
              <w:top w:w="75" w:type="dxa"/>
              <w:start w:w="75" w:type="dxa"/>
              <w:bottom w:w="75" w:type="dxa"/>
              <w:end w:w="75" w:type="dxa"/>
            </w:tcMar>
            <w:vAlign w:val="center"/>
            <w:shd w:fill="F2F6FA"/>
          </w:tcPr>
          <w:p>
            <w:pPr>
              <w:pStyle w:val="TableText"/>
            </w:pPr>
            <w:r>
              <w:t>Spatially patterned residuals can weaken non-spatial inference.</w:t>
            </w:r>
          </w:p>
        </w:tc>
        <w:tc>
          <w:tcPr>
            <w:tcW w:type="dxa" w:w="2592"/>
            <w:tcMar>
              <w:top w:w="75" w:type="dxa"/>
              <w:start w:w="75" w:type="dxa"/>
              <w:bottom w:w="75" w:type="dxa"/>
              <w:end w:w="75" w:type="dxa"/>
            </w:tcMar>
            <w:vAlign w:val="center"/>
            <w:shd w:fill="F2F6FA"/>
          </w:tcPr>
          <w:p>
            <w:pPr>
              <w:pStyle w:val="TableText"/>
            </w:pPr>
            <w:r>
              <w:t>Moran's I and comparison of spatial lag and spatial error models.</w:t>
            </w:r>
          </w:p>
        </w:tc>
        <w:tc>
          <w:tcPr>
            <w:tcW w:type="dxa" w:w="1080"/>
            <w:tcMar>
              <w:top w:w="75" w:type="dxa"/>
              <w:start w:w="75" w:type="dxa"/>
              <w:bottom w:w="75" w:type="dxa"/>
              <w:end w:w="75" w:type="dxa"/>
            </w:tcMar>
            <w:vAlign w:val="center"/>
            <w:shd w:fill="F2F6FA"/>
          </w:tcPr>
          <w:p>
            <w:pPr>
              <w:pStyle w:val="TableText"/>
            </w:pPr>
            <w:r>
              <w:t>RQ5</w:t>
            </w:r>
          </w:p>
        </w:tc>
      </w:tr>
      <w:tr>
        <w:trPr>
          <w:cantSplit/>
        </w:trPr>
        <w:tc>
          <w:tcPr>
            <w:tcW w:type="dxa" w:w="2448"/>
            <w:tcMar>
              <w:top w:w="75" w:type="dxa"/>
              <w:start w:w="75" w:type="dxa"/>
              <w:bottom w:w="75" w:type="dxa"/>
              <w:end w:w="75" w:type="dxa"/>
            </w:tcMar>
            <w:vAlign w:val="center"/>
          </w:tcPr>
          <w:p>
            <w:pPr>
              <w:pStyle w:val="TableText"/>
            </w:pPr>
            <w:r>
              <w:t>Physical exposure may be labelled complete vulnerability.</w:t>
            </w:r>
          </w:p>
        </w:tc>
        <w:tc>
          <w:tcPr>
            <w:tcW w:type="dxa" w:w="2520"/>
            <w:tcMar>
              <w:top w:w="75" w:type="dxa"/>
              <w:start w:w="75" w:type="dxa"/>
              <w:bottom w:w="75" w:type="dxa"/>
              <w:end w:w="75" w:type="dxa"/>
            </w:tcMar>
            <w:vAlign w:val="center"/>
          </w:tcPr>
          <w:p>
            <w:pPr>
              <w:pStyle w:val="TableText"/>
            </w:pPr>
            <w:r>
              <w:t>Social sensitivity and adaptive capacity are not observed.</w:t>
            </w:r>
          </w:p>
        </w:tc>
        <w:tc>
          <w:tcPr>
            <w:tcW w:type="dxa" w:w="2592"/>
            <w:tcMar>
              <w:top w:w="75" w:type="dxa"/>
              <w:start w:w="75" w:type="dxa"/>
              <w:bottom w:w="75" w:type="dxa"/>
              <w:end w:w="75" w:type="dxa"/>
            </w:tcMar>
            <w:vAlign w:val="center"/>
          </w:tcPr>
          <w:p>
            <w:pPr>
              <w:pStyle w:val="TableText"/>
            </w:pPr>
            <w:r>
              <w:t>Explicit environmental scope and ecological interpretation.</w:t>
            </w:r>
          </w:p>
        </w:tc>
        <w:tc>
          <w:tcPr>
            <w:tcW w:type="dxa" w:w="1080"/>
            <w:tcMar>
              <w:top w:w="75" w:type="dxa"/>
              <w:start w:w="75" w:type="dxa"/>
              <w:bottom w:w="75" w:type="dxa"/>
              <w:end w:w="75" w:type="dxa"/>
            </w:tcMar>
            <w:vAlign w:val="center"/>
          </w:tcPr>
          <w:p>
            <w:pPr>
              <w:pStyle w:val="TableText"/>
            </w:pPr>
            <w:r>
              <w:t>All RQs</w:t>
            </w:r>
          </w:p>
        </w:tc>
      </w:tr>
    </w:tbl>
    <w:p>
      <w:pPr>
        <w:spacing w:after="20"/>
      </w:pPr>
    </w:p>
    <w:p>
      <w:pPr>
        <w:pStyle w:val="Heading2"/>
        <w:keepNext/>
      </w:pPr>
      <w:r>
        <w:t>2.9 Conceptual and Analytical Framework</w:t>
      </w:r>
    </w:p>
    <w:p>
      <w:pPr>
        <w:widowControl/>
      </w:pPr>
      <w:r>
        <w:t>Figure 2.1 summarises the framework developed from the review. The five source domains enter the analysis as distinct municipality-level indicators. Descriptive statistics and correlations establish their empirical distributions and relationships. PCA examines shared dimensions, while clustering converts multivariate similarity into municipal profiles and bootstrap analysis evaluates their stability. Heat is then modelled as an outcome against canopy, drought, flood, and heavy rain. Residual spatial autocorrelation determines whether spatial lag or error specifications are required. Interpretation remains bounded by the municipality-level, cross-sectional design.</w:t>
      </w:r>
    </w:p>
    <w:p>
      <w:pPr>
        <w:keepNext/>
        <w:jc w:val="center"/>
      </w:pPr>
      <w:r>
        <w:rPr>
          <w:b/>
          <w:sz w:val="20"/>
        </w:rPr>
        <w:t>Figure 2.1 Conceptual and analytical framework</w:t>
      </w:r>
    </w:p>
    <w:p>
      <w:pPr>
        <w:jc w:val="center"/>
      </w:pPr>
      <w:r>
        <w:drawing>
          <wp:inline xmlns:a="http://schemas.openxmlformats.org/drawingml/2006/main" xmlns:pic="http://schemas.openxmlformats.org/drawingml/2006/picture">
            <wp:extent cx="5715000" cy="2991985"/>
            <wp:docPr id="1" name="Picture 1"/>
            <wp:cNvGraphicFramePr>
              <a:graphicFrameLocks noChangeAspect="1"/>
            </wp:cNvGraphicFramePr>
            <a:graphic>
              <a:graphicData uri="http://schemas.openxmlformats.org/drawingml/2006/picture">
                <pic:pic>
                  <pic:nvPicPr>
                    <pic:cNvPr id="0" name="chapter2_conceptual_framework.png"/>
                    <pic:cNvPicPr/>
                  </pic:nvPicPr>
                  <pic:blipFill>
                    <a:blip r:embed="rId13"/>
                    <a:stretch>
                      <a:fillRect/>
                    </a:stretch>
                  </pic:blipFill>
                  <pic:spPr>
                    <a:xfrm>
                      <a:off x="0" y="0"/>
                      <a:ext cx="5715000" cy="2991985"/>
                    </a:xfrm>
                    <a:prstGeom prst="rect"/>
                  </pic:spPr>
                </pic:pic>
              </a:graphicData>
            </a:graphic>
          </wp:inline>
        </w:drawing>
      </w:r>
    </w:p>
    <w:p>
      <w:pPr>
        <w:jc w:val="center"/>
      </w:pPr>
      <w:r>
        <w:rPr>
          <w:i/>
          <w:sz w:val="18"/>
        </w:rPr>
        <w:t>Source: Author's conceptualisation based on the reviewed literature.</w:t>
      </w:r>
    </w:p>
    <w:p>
      <w:pPr>
        <w:widowControl/>
      </w:pPr>
      <w:r>
        <w:t>The framework also clarifies the dual role of heat. It contributes to the multivariate environmental structure in RQ1 to RQ3, then becomes the dependent variable in RQ4 and RQ5. This is analytically coherent because the first stage is descriptive and unsupervised, whereas the second asks a directed association question. The transition does not establish temporal precedence or causality.</w:t>
      </w:r>
    </w:p>
    <w:p>
      <w:pPr>
        <w:pStyle w:val="Heading2"/>
        <w:keepNext/>
      </w:pPr>
      <w:r>
        <w:t>2.10 Analytical Expectations</w:t>
      </w:r>
    </w:p>
    <w:p>
      <w:pPr>
        <w:widowControl/>
      </w:pPr>
      <w:r>
        <w:t>The literature supports expectations rather than causal hypotheses. Heat exposure is expected to vary substantially across municipalities and to show an inverse conditional association with canopy because shading and evapotranspiration can moderate urban heat (Rafiee et al., 2016; Theeuwes et al., 2017). The direction of drought depth is left open because the indicator captures groundwater-related conditions whose relationship with heat may differ by geography and land use. Flood and heavy-rain exposure may share a water-related dimension, but their distinct mechanisms make complete alignment unlikely.</w:t>
      </w:r>
    </w:p>
    <w:p>
      <w:pPr>
        <w:widowControl/>
      </w:pPr>
      <w:r>
        <w:t>The five indicators are also expected to reduce to fewer than five interpretable dimensions and to form more than one municipal profile. Those expectations arise from correlated physical processes and contrasting geographic contexts, but component retention and cluster number are determined empirically. Finally, positive residual spatial autocorrelation is plausible because neighbouring municipalities share environmental and infrastructural conditions. If present, a spatial model should reduce residual dependence relative to OLS. These expectations guide analysis without predetermining the results.</w:t>
      </w:r>
    </w:p>
    <w:p>
      <w:pPr>
        <w:pStyle w:val="Heading2"/>
        <w:keepNext/>
      </w:pPr>
      <w:r>
        <w:t>2.11 Chapter Summary</w:t>
      </w:r>
    </w:p>
    <w:p>
      <w:pPr>
        <w:widowControl/>
      </w:pPr>
      <w:r>
        <w:t>This chapter has established a conceptual and empirical foundation for the study. Climate risk emerges from hazard, exposure, and vulnerability, but the five observed variables cover environmental conditions and land cover rather than the full social and institutional domain. Dutch evidence confirms local variation in heat, the relevance of canopy, and the distinct character of drought, flood, and heavy-rain processes. Methodological literature supports transparent indicator construction, standardised PCA, validated clustering, robust regression inference, and explicit testing of spatial dependence.</w:t>
      </w:r>
    </w:p>
    <w:p>
      <w:pPr>
        <w:widowControl/>
      </w:pPr>
      <w:r>
        <w:t>The central gap is the absence within the reviewed evidence of one auditable municipality-level workflow that connects these five indicators to latent dimensions, stable municipal profiles, adjusted heat associations, and spatial model comparison across a common national sample. The conceptual framework translates that gap into the five research questions. Chapter Three specifies the data, mathematical equations, diagnostics, spatial weights, software procedures, and reproducibility safeguards used to answer them.</w:t>
      </w:r>
    </w:p>
    <w:p>
      <w:r>
        <w:br w:type="page"/>
      </w:r>
    </w:p>
    <w:p>
      <w:pPr>
        <w:pStyle w:val="Heading1"/>
        <w:keepNext/>
        <w:pageBreakBefore/>
      </w:pPr>
      <w:r>
        <w:t>3 Research Methodology</w:t>
      </w:r>
    </w:p>
    <w:p>
      <w:r>
        <w:t>This chapter explains how neighbourhood-level environmental information from the Dutch Climate Impact Atlas Buurtdashboard was converted into municipality-level indicators and analysed. The study used a quantitative, cross-sectional, ecological design. Its central methodological principle was reproducibility: variable construction, aggregation, missing-data treatment, multivariate analysis, regression diagnostics, spatial modelling, sensitivity checks, and output creation were scripted in R. The unit of analysis was the municipality, not an individual resident; interpretations therefore concern municipal environmental patterns and must not be translated into individual-level effects.</w:t>
      </w:r>
    </w:p>
    <w:p>
      <w:r>
        <w:t>The analysis proceeded in five linked stages. First, five indicators were constructed and aggregated from neighbourhoods to municipalities using population weights. Second, the municipal dataset was audited and its distributions and correlations examined. Third, principal component analysis reduced the correlation structure and k-means clustering produced a four-profile typology, whose stability was assessed by bootstrap resampling. Fourth, multiple linear regression estimated adjusted associations with municipal heat exposure. Fifth, residual spatial autocorrelation was tested and spatial lag and spatial error models were compared. This sequence corresponds directly to the research questions and Chapter Four outputs.</w:t>
      </w:r>
    </w:p>
    <w:p>
      <w:pPr>
        <w:pStyle w:val="Heading2"/>
        <w:keepNext/>
      </w:pPr>
      <w:r>
        <w:t>3.1 Research Questions and Analytical Alignment</w:t>
      </w:r>
    </w:p>
    <w:p>
      <w:pPr>
        <w:spacing w:before="160" w:after="80"/>
        <w:keepNext/>
      </w:pPr>
      <w:r>
        <w:rPr>
          <w:b/>
          <w:sz w:val="20"/>
        </w:rPr>
        <w:t>Table 3.1 Research questions and corresponding methods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2592"/>
            <w:tcMar>
              <w:top w:w="90" w:type="dxa"/>
              <w:start w:w="90" w:type="dxa"/>
              <w:bottom w:w="90" w:type="dxa"/>
              <w:end w:w="90" w:type="dxa"/>
            </w:tcMar>
            <w:shd w:fill="17365D"/>
            <w:vAlign w:val="center"/>
          </w:tcPr>
          <w:p>
            <w:pPr>
              <w:pStyle w:val="TableText"/>
              <w:jc w:val="center"/>
              <w:keepNext/>
            </w:pPr>
            <w:r>
              <w:rPr>
                <w:b/>
                <w:color w:val="FFFFFF"/>
              </w:rPr>
              <w:t>Research question</w:t>
            </w:r>
          </w:p>
        </w:tc>
        <w:tc>
          <w:tcPr>
            <w:tcW w:type="dxa" w:w="3888"/>
            <w:tcMar>
              <w:top w:w="90" w:type="dxa"/>
              <w:start w:w="90" w:type="dxa"/>
              <w:bottom w:w="90" w:type="dxa"/>
              <w:end w:w="90" w:type="dxa"/>
            </w:tcMar>
            <w:shd w:fill="17365D"/>
            <w:vAlign w:val="center"/>
          </w:tcPr>
          <w:p>
            <w:pPr>
              <w:pStyle w:val="TableText"/>
              <w:jc w:val="center"/>
              <w:keepNext/>
            </w:pPr>
            <w:r>
              <w:rPr>
                <w:b/>
                <w:color w:val="FFFFFF"/>
              </w:rPr>
              <w:t>Method</w:t>
            </w:r>
          </w:p>
        </w:tc>
        <w:tc>
          <w:tcPr>
            <w:tcW w:type="dxa" w:w="2880"/>
            <w:tcMar>
              <w:top w:w="90" w:type="dxa"/>
              <w:start w:w="90" w:type="dxa"/>
              <w:bottom w:w="90" w:type="dxa"/>
              <w:end w:w="90" w:type="dxa"/>
            </w:tcMar>
            <w:shd w:fill="17365D"/>
            <w:vAlign w:val="center"/>
          </w:tcPr>
          <w:p>
            <w:pPr>
              <w:pStyle w:val="TableText"/>
              <w:jc w:val="center"/>
              <w:keepNext/>
            </w:pPr>
            <w:r>
              <w:rPr>
                <w:b/>
                <w:color w:val="FFFFFF"/>
              </w:rPr>
              <w:t>Output</w:t>
            </w:r>
          </w:p>
        </w:tc>
      </w:tr>
      <w:tr>
        <w:trPr>
          <w:cantSplit/>
        </w:trPr>
        <w:tc>
          <w:tcPr>
            <w:tcW w:type="dxa" w:w="2592"/>
            <w:tcMar>
              <w:top w:w="90" w:type="dxa"/>
              <w:start w:w="90" w:type="dxa"/>
              <w:bottom w:w="90" w:type="dxa"/>
              <w:end w:w="90" w:type="dxa"/>
            </w:tcMar>
            <w:vAlign w:val="center"/>
          </w:tcPr>
          <w:p>
            <w:pPr>
              <w:pStyle w:val="TableText"/>
            </w:pPr>
            <w:r>
              <w:t>RQ1 What are the distributions and relationships among the five indicators</w:t>
            </w:r>
          </w:p>
        </w:tc>
        <w:tc>
          <w:tcPr>
            <w:tcW w:type="dxa" w:w="3888"/>
            <w:tcMar>
              <w:top w:w="90" w:type="dxa"/>
              <w:start w:w="90" w:type="dxa"/>
              <w:bottom w:w="90" w:type="dxa"/>
              <w:end w:w="90" w:type="dxa"/>
            </w:tcMar>
            <w:vAlign w:val="center"/>
          </w:tcPr>
          <w:p>
            <w:pPr>
              <w:pStyle w:val="TableText"/>
            </w:pPr>
            <w:r>
              <w:t>Descriptive statistics and Pearson correlation</w:t>
            </w:r>
          </w:p>
        </w:tc>
        <w:tc>
          <w:tcPr>
            <w:tcW w:type="dxa" w:w="2880"/>
            <w:tcMar>
              <w:top w:w="90" w:type="dxa"/>
              <w:start w:w="90" w:type="dxa"/>
              <w:bottom w:w="90" w:type="dxa"/>
              <w:end w:w="90" w:type="dxa"/>
            </w:tcMar>
            <w:vAlign w:val="center"/>
          </w:tcPr>
          <w:p>
            <w:pPr>
              <w:pStyle w:val="TableText"/>
            </w:pPr>
            <w:r>
              <w:t>Audit, matrix, heatmap</w:t>
            </w:r>
          </w:p>
        </w:tc>
      </w:tr>
      <w:tr>
        <w:trPr>
          <w:cantSplit/>
        </w:trPr>
        <w:tc>
          <w:tcPr>
            <w:tcW w:type="dxa" w:w="2592"/>
            <w:tcMar>
              <w:top w:w="90" w:type="dxa"/>
              <w:start w:w="90" w:type="dxa"/>
              <w:bottom w:w="90" w:type="dxa"/>
              <w:end w:w="90" w:type="dxa"/>
            </w:tcMar>
            <w:vAlign w:val="center"/>
            <w:shd w:fill="F2F6FA"/>
          </w:tcPr>
          <w:p>
            <w:pPr>
              <w:pStyle w:val="TableText"/>
            </w:pPr>
            <w:r>
              <w:t>RQ2 What latent dimensions summarise the indicators</w:t>
            </w:r>
          </w:p>
        </w:tc>
        <w:tc>
          <w:tcPr>
            <w:tcW w:type="dxa" w:w="3888"/>
            <w:tcMar>
              <w:top w:w="90" w:type="dxa"/>
              <w:start w:w="90" w:type="dxa"/>
              <w:bottom w:w="90" w:type="dxa"/>
              <w:end w:w="90" w:type="dxa"/>
            </w:tcMar>
            <w:vAlign w:val="center"/>
            <w:shd w:fill="F2F6FA"/>
          </w:tcPr>
          <w:p>
            <w:pPr>
              <w:pStyle w:val="TableText"/>
            </w:pPr>
            <w:r>
              <w:t>Standardised PCA, scree, Kaiser rule, permutation parallel analysis</w:t>
            </w:r>
          </w:p>
        </w:tc>
        <w:tc>
          <w:tcPr>
            <w:tcW w:type="dxa" w:w="2880"/>
            <w:tcMar>
              <w:top w:w="90" w:type="dxa"/>
              <w:start w:w="90" w:type="dxa"/>
              <w:bottom w:w="90" w:type="dxa"/>
              <w:end w:w="90" w:type="dxa"/>
            </w:tcMar>
            <w:vAlign w:val="center"/>
            <w:shd w:fill="F2F6FA"/>
          </w:tcPr>
          <w:p>
            <w:pPr>
              <w:pStyle w:val="TableText"/>
            </w:pPr>
            <w:r>
              <w:t>Eigenvalues, variance, loadings, scores</w:t>
            </w:r>
          </w:p>
        </w:tc>
      </w:tr>
      <w:tr>
        <w:trPr>
          <w:cantSplit/>
        </w:trPr>
        <w:tc>
          <w:tcPr>
            <w:tcW w:type="dxa" w:w="2592"/>
            <w:tcMar>
              <w:top w:w="90" w:type="dxa"/>
              <w:start w:w="90" w:type="dxa"/>
              <w:bottom w:w="90" w:type="dxa"/>
              <w:end w:w="90" w:type="dxa"/>
            </w:tcMar>
            <w:vAlign w:val="center"/>
          </w:tcPr>
          <w:p>
            <w:pPr>
              <w:pStyle w:val="TableText"/>
            </w:pPr>
            <w:r>
              <w:t>RQ3 Which municipal profiles emerge and how stable and geographically distributed are they</w:t>
            </w:r>
          </w:p>
        </w:tc>
        <w:tc>
          <w:tcPr>
            <w:tcW w:type="dxa" w:w="3888"/>
            <w:tcMar>
              <w:top w:w="90" w:type="dxa"/>
              <w:start w:w="90" w:type="dxa"/>
              <w:bottom w:w="90" w:type="dxa"/>
              <w:end w:w="90" w:type="dxa"/>
            </w:tcMar>
            <w:vAlign w:val="center"/>
          </w:tcPr>
          <w:p>
            <w:pPr>
              <w:pStyle w:val="TableText"/>
            </w:pPr>
            <w:r>
              <w:t>K means, elbow, silhouette, two versus four cluster comparison, bootstrap Jaccard, mapping</w:t>
            </w:r>
          </w:p>
        </w:tc>
        <w:tc>
          <w:tcPr>
            <w:tcW w:type="dxa" w:w="2880"/>
            <w:tcMar>
              <w:top w:w="90" w:type="dxa"/>
              <w:start w:w="90" w:type="dxa"/>
              <w:bottom w:w="90" w:type="dxa"/>
              <w:end w:w="90" w:type="dxa"/>
            </w:tcMar>
            <w:vAlign w:val="center"/>
          </w:tcPr>
          <w:p>
            <w:pPr>
              <w:pStyle w:val="TableText"/>
            </w:pPr>
            <w:r>
              <w:t>Profiles, assignments, stability, map</w:t>
            </w:r>
          </w:p>
        </w:tc>
      </w:tr>
      <w:tr>
        <w:trPr>
          <w:cantSplit/>
        </w:trPr>
        <w:tc>
          <w:tcPr>
            <w:tcW w:type="dxa" w:w="2592"/>
            <w:tcMar>
              <w:top w:w="90" w:type="dxa"/>
              <w:start w:w="90" w:type="dxa"/>
              <w:bottom w:w="90" w:type="dxa"/>
              <w:end w:w="90" w:type="dxa"/>
            </w:tcMar>
            <w:vAlign w:val="center"/>
            <w:shd w:fill="F2F6FA"/>
          </w:tcPr>
          <w:p>
            <w:pPr>
              <w:pStyle w:val="TableText"/>
            </w:pPr>
            <w:r>
              <w:t>RQ4 How are canopy, drought, flood, and heavy rain jointly associated with heat</w:t>
            </w:r>
          </w:p>
        </w:tc>
        <w:tc>
          <w:tcPr>
            <w:tcW w:type="dxa" w:w="3888"/>
            <w:tcMar>
              <w:top w:w="90" w:type="dxa"/>
              <w:start w:w="90" w:type="dxa"/>
              <w:bottom w:w="90" w:type="dxa"/>
              <w:end w:w="90" w:type="dxa"/>
            </w:tcMar>
            <w:vAlign w:val="center"/>
            <w:shd w:fill="F2F6FA"/>
          </w:tcPr>
          <w:p>
            <w:pPr>
              <w:pStyle w:val="TableText"/>
            </w:pPr>
            <w:r>
              <w:t>OLS with HC3 inference, diagnostics, influence sensitivity</w:t>
            </w:r>
          </w:p>
        </w:tc>
        <w:tc>
          <w:tcPr>
            <w:tcW w:type="dxa" w:w="2880"/>
            <w:tcMar>
              <w:top w:w="90" w:type="dxa"/>
              <w:start w:w="90" w:type="dxa"/>
              <w:bottom w:w="90" w:type="dxa"/>
              <w:end w:w="90" w:type="dxa"/>
            </w:tcMar>
            <w:vAlign w:val="center"/>
            <w:shd w:fill="F2F6FA"/>
          </w:tcPr>
          <w:p>
            <w:pPr>
              <w:pStyle w:val="TableText"/>
            </w:pPr>
            <w:r>
              <w:t>Coefficients and model fit</w:t>
            </w:r>
          </w:p>
        </w:tc>
      </w:tr>
      <w:tr>
        <w:trPr>
          <w:cantSplit/>
        </w:trPr>
        <w:tc>
          <w:tcPr>
            <w:tcW w:type="dxa" w:w="2592"/>
            <w:tcMar>
              <w:top w:w="90" w:type="dxa"/>
              <w:start w:w="90" w:type="dxa"/>
              <w:bottom w:w="90" w:type="dxa"/>
              <w:end w:w="90" w:type="dxa"/>
            </w:tcMar>
            <w:vAlign w:val="center"/>
          </w:tcPr>
          <w:p>
            <w:pPr>
              <w:pStyle w:val="TableText"/>
            </w:pPr>
            <w:r>
              <w:t>RQ5 How does spatial dependence affect those associations</w:t>
            </w:r>
          </w:p>
        </w:tc>
        <w:tc>
          <w:tcPr>
            <w:tcW w:type="dxa" w:w="3888"/>
            <w:tcMar>
              <w:top w:w="90" w:type="dxa"/>
              <w:start w:w="90" w:type="dxa"/>
              <w:bottom w:w="90" w:type="dxa"/>
              <w:end w:w="90" w:type="dxa"/>
            </w:tcMar>
            <w:vAlign w:val="center"/>
          </w:tcPr>
          <w:p>
            <w:pPr>
              <w:pStyle w:val="TableText"/>
            </w:pPr>
            <w:r>
              <w:t>Queen weights, Moran I, spatial lag and error models, KNN sensitivity</w:t>
            </w:r>
          </w:p>
        </w:tc>
        <w:tc>
          <w:tcPr>
            <w:tcW w:type="dxa" w:w="2880"/>
            <w:tcMar>
              <w:top w:w="90" w:type="dxa"/>
              <w:start w:w="90" w:type="dxa"/>
              <w:bottom w:w="90" w:type="dxa"/>
              <w:end w:w="90" w:type="dxa"/>
            </w:tcMar>
            <w:vAlign w:val="center"/>
          </w:tcPr>
          <w:p>
            <w:pPr>
              <w:pStyle w:val="TableText"/>
            </w:pPr>
            <w:r>
              <w:t>Spatial parameter, AIC, residual Moran I</w:t>
            </w:r>
          </w:p>
        </w:tc>
      </w:tr>
    </w:tbl>
    <w:p>
      <w:pPr>
        <w:spacing w:after="20"/>
      </w:pPr>
    </w:p>
    <w:p>
      <w:pPr>
        <w:pStyle w:val="Heading2"/>
        <w:keepNext/>
      </w:pPr>
      <w:r>
        <w:t>3.2 Research Design</w:t>
      </w:r>
    </w:p>
    <w:p>
      <w:r>
        <w:t>The design combined exploratory multivariate analysis with explanatory association modelling. PCA and clustering described structure; they did not establish causal mechanisms. Regression and spatial models estimated conditional associations after accounting for the other included environmental measures. No temporal ordering, intervention, instrumental variable, or quasi-experimental identification strategy was available. Terms such as associated with and spatially structured are therefore used instead of caused by.</w:t>
      </w:r>
    </w:p>
    <w:p>
      <w:r>
        <w:t>The municipality was selected as a policy-relevant administrative unit with consistent 2024 boundary polygons. Population-weighted aggregation gives greater influence to neighbourhoods in which more residents live, but it does not create person-level exposure observations. The ecological scale can also conceal within-municipality inequality.</w:t>
      </w:r>
    </w:p>
    <w:p>
      <w:pPr>
        <w:pStyle w:val="Heading2"/>
        <w:keepNext/>
      </w:pPr>
      <w:r>
        <w:t>3.3 Data Sources and Study Population</w:t>
      </w:r>
    </w:p>
    <w:p>
      <w:r>
        <w:t>The environmental source was the Dutch Climate Impact Atlas Buurtdashboard workbook Downloadbuurtdashboard_maa26-2.xlsx (Klimaateffectatlas, 2026). The script verified its worksheets, cleaned field names, inspected metadata, and selected environmental attributes from the Data sheet. Generalised 2024 municipality polygons were retrieved from the Statistics Netherlands area-classification service distributed through PDOK and joined by official municipal code.</w:t>
      </w:r>
    </w:p>
    <w:p>
      <w:r>
        <w:t>The initial municipal file contained 342 rows, nine variables, and no duplicated rows. Five municipalities lacked drought depth. Complete-case analysis retained 337 municipalities, or 98.54 percent. The restriction applied to the five substantive indicators so the same sample was used in correlation, PCA, clustering, regression, and spatial analysis.</w:t>
      </w:r>
    </w:p>
    <w:p>
      <w:pPr>
        <w:pStyle w:val="Heading2"/>
        <w:keepNext/>
      </w:pPr>
      <w:r>
        <w:t>3.4 Indicator Construction and Operationalisation</w:t>
      </w:r>
    </w:p>
    <w:p>
      <w:pPr>
        <w:spacing w:before="160" w:after="80"/>
        <w:keepNext/>
      </w:pPr>
      <w:r>
        <w:rPr>
          <w:b/>
          <w:sz w:val="20"/>
        </w:rPr>
        <w:t>Table 3.2 Operational definitions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40"/>
        <w:gridCol w:w="2340"/>
        <w:gridCol w:w="2340"/>
        <w:gridCol w:w="2340"/>
      </w:tblGrid>
      <w:tr>
        <w:trPr>
          <w:tblHeader w:val="true"/>
          <w:cantSplit/>
        </w:trPr>
        <w:tc>
          <w:tcPr>
            <w:tcW w:type="dxa" w:w="1656"/>
            <w:tcMar>
              <w:top w:w="90" w:type="dxa"/>
              <w:start w:w="90" w:type="dxa"/>
              <w:bottom w:w="90" w:type="dxa"/>
              <w:end w:w="90" w:type="dxa"/>
            </w:tcMar>
            <w:shd w:fill="17365D"/>
            <w:vAlign w:val="center"/>
          </w:tcPr>
          <w:p>
            <w:pPr>
              <w:pStyle w:val="TableText"/>
              <w:jc w:val="center"/>
              <w:keepNext/>
            </w:pPr>
            <w:r>
              <w:rPr>
                <w:b/>
                <w:color w:val="FFFFFF"/>
              </w:rPr>
              <w:t>Construct</w:t>
            </w:r>
          </w:p>
        </w:tc>
        <w:tc>
          <w:tcPr>
            <w:tcW w:type="dxa" w:w="3816"/>
            <w:tcMar>
              <w:top w:w="90" w:type="dxa"/>
              <w:start w:w="90" w:type="dxa"/>
              <w:bottom w:w="90" w:type="dxa"/>
              <w:end w:w="90" w:type="dxa"/>
            </w:tcMar>
            <w:shd w:fill="17365D"/>
            <w:vAlign w:val="center"/>
          </w:tcPr>
          <w:p>
            <w:pPr>
              <w:pStyle w:val="TableText"/>
              <w:jc w:val="center"/>
              <w:keepNext/>
            </w:pPr>
            <w:r>
              <w:rPr>
                <w:b/>
                <w:color w:val="FFFFFF"/>
              </w:rPr>
              <w:t>Source field or construction</w:t>
            </w:r>
          </w:p>
        </w:tc>
        <w:tc>
          <w:tcPr>
            <w:tcW w:type="dxa" w:w="2448"/>
            <w:tcMar>
              <w:top w:w="90" w:type="dxa"/>
              <w:start w:w="90" w:type="dxa"/>
              <w:bottom w:w="90" w:type="dxa"/>
              <w:end w:w="90" w:type="dxa"/>
            </w:tcMar>
            <w:shd w:fill="17365D"/>
            <w:vAlign w:val="center"/>
          </w:tcPr>
          <w:p>
            <w:pPr>
              <w:pStyle w:val="TableText"/>
              <w:jc w:val="center"/>
              <w:keepNext/>
            </w:pPr>
            <w:r>
              <w:rPr>
                <w:b/>
                <w:color w:val="FFFFFF"/>
              </w:rPr>
              <w:t>Unit and direction</w:t>
            </w:r>
          </w:p>
        </w:tc>
        <w:tc>
          <w:tcPr>
            <w:tcW w:type="dxa" w:w="1440"/>
            <w:tcMar>
              <w:top w:w="90" w:type="dxa"/>
              <w:start w:w="90" w:type="dxa"/>
              <w:bottom w:w="90" w:type="dxa"/>
              <w:end w:w="90" w:type="dxa"/>
            </w:tcMar>
            <w:shd w:fill="17365D"/>
            <w:vAlign w:val="center"/>
          </w:tcPr>
          <w:p>
            <w:pPr>
              <w:pStyle w:val="TableText"/>
              <w:jc w:val="center"/>
              <w:keepNext/>
            </w:pPr>
            <w:r>
              <w:rPr>
                <w:b/>
                <w:color w:val="FFFFFF"/>
              </w:rPr>
              <w:t>Role</w:t>
            </w:r>
          </w:p>
        </w:tc>
      </w:tr>
      <w:tr>
        <w:trPr>
          <w:cantSplit/>
        </w:trPr>
        <w:tc>
          <w:tcPr>
            <w:tcW w:type="dxa" w:w="1656"/>
            <w:tcMar>
              <w:top w:w="90" w:type="dxa"/>
              <w:start w:w="90" w:type="dxa"/>
              <w:bottom w:w="90" w:type="dxa"/>
              <w:end w:w="90" w:type="dxa"/>
            </w:tcMar>
            <w:vAlign w:val="center"/>
          </w:tcPr>
          <w:p>
            <w:pPr>
              <w:pStyle w:val="TableText"/>
            </w:pPr>
            <w:r>
              <w:t>Tree canopy</w:t>
            </w:r>
          </w:p>
        </w:tc>
        <w:tc>
          <w:tcPr>
            <w:tcW w:type="dxa" w:w="3816"/>
            <w:tcMar>
              <w:top w:w="90" w:type="dxa"/>
              <w:start w:w="90" w:type="dxa"/>
              <w:bottom w:w="90" w:type="dxa"/>
              <w:end w:w="90" w:type="dxa"/>
            </w:tcMar>
            <w:vAlign w:val="center"/>
          </w:tcPr>
          <w:p>
            <w:pPr>
              <w:pStyle w:val="TableText"/>
            </w:pPr>
            <w:r>
              <w:t>bk_bgraad_tot_perc_land_ahn4</w:t>
            </w:r>
          </w:p>
        </w:tc>
        <w:tc>
          <w:tcPr>
            <w:tcW w:type="dxa" w:w="2448"/>
            <w:tcMar>
              <w:top w:w="90" w:type="dxa"/>
              <w:start w:w="90" w:type="dxa"/>
              <w:bottom w:w="90" w:type="dxa"/>
              <w:end w:w="90" w:type="dxa"/>
            </w:tcMar>
            <w:vAlign w:val="center"/>
          </w:tcPr>
          <w:p>
            <w:pPr>
              <w:pStyle w:val="TableText"/>
            </w:pPr>
            <w:r>
              <w:t>Percent of land; higher means more canopy</w:t>
            </w:r>
          </w:p>
        </w:tc>
        <w:tc>
          <w:tcPr>
            <w:tcW w:type="dxa" w:w="1440"/>
            <w:tcMar>
              <w:top w:w="90" w:type="dxa"/>
              <w:start w:w="90" w:type="dxa"/>
              <w:bottom w:w="90" w:type="dxa"/>
              <w:end w:w="90" w:type="dxa"/>
            </w:tcMar>
            <w:vAlign w:val="center"/>
          </w:tcPr>
          <w:p>
            <w:pPr>
              <w:pStyle w:val="TableText"/>
            </w:pPr>
            <w:r>
              <w:t>Predictor and cluster indicator</w:t>
            </w:r>
          </w:p>
        </w:tc>
      </w:tr>
      <w:tr>
        <w:trPr>
          <w:cantSplit/>
        </w:trPr>
        <w:tc>
          <w:tcPr>
            <w:tcW w:type="dxa" w:w="1656"/>
            <w:tcMar>
              <w:top w:w="90" w:type="dxa"/>
              <w:start w:w="90" w:type="dxa"/>
              <w:bottom w:w="90" w:type="dxa"/>
              <w:end w:w="90" w:type="dxa"/>
            </w:tcMar>
            <w:vAlign w:val="center"/>
            <w:shd w:fill="F2F6FA"/>
          </w:tcPr>
          <w:p>
            <w:pPr>
              <w:pStyle w:val="TableText"/>
            </w:pPr>
            <w:r>
              <w:t>Drought exposure</w:t>
            </w:r>
          </w:p>
        </w:tc>
        <w:tc>
          <w:tcPr>
            <w:tcW w:type="dxa" w:w="3816"/>
            <w:tcMar>
              <w:top w:w="90" w:type="dxa"/>
              <w:start w:w="90" w:type="dxa"/>
              <w:bottom w:w="90" w:type="dxa"/>
              <w:end w:w="90" w:type="dxa"/>
            </w:tcMar>
            <w:vAlign w:val="center"/>
            <w:shd w:fill="F2F6FA"/>
          </w:tcPr>
          <w:p>
            <w:pPr>
              <w:pStyle w:val="TableText"/>
            </w:pPr>
            <w:r>
              <w:t>lg3max_huidig</w:t>
            </w:r>
          </w:p>
        </w:tc>
        <w:tc>
          <w:tcPr>
            <w:tcW w:type="dxa" w:w="2448"/>
            <w:tcMar>
              <w:top w:w="90" w:type="dxa"/>
              <w:start w:w="90" w:type="dxa"/>
              <w:bottom w:w="90" w:type="dxa"/>
              <w:end w:w="90" w:type="dxa"/>
            </w:tcMar>
            <w:vAlign w:val="center"/>
            <w:shd w:fill="F2F6FA"/>
          </w:tcPr>
          <w:p>
            <w:pPr>
              <w:pStyle w:val="TableText"/>
            </w:pPr>
            <w:r>
              <w:t>Metres below ground; deeper may indicate greater exposure</w:t>
            </w:r>
          </w:p>
        </w:tc>
        <w:tc>
          <w:tcPr>
            <w:tcW w:type="dxa" w:w="1440"/>
            <w:tcMar>
              <w:top w:w="90" w:type="dxa"/>
              <w:start w:w="90" w:type="dxa"/>
              <w:bottom w:w="90" w:type="dxa"/>
              <w:end w:w="90" w:type="dxa"/>
            </w:tcMar>
            <w:vAlign w:val="center"/>
            <w:shd w:fill="F2F6FA"/>
          </w:tcPr>
          <w:p>
            <w:pPr>
              <w:pStyle w:val="TableText"/>
            </w:pPr>
            <w:r>
              <w:t>Predictor and cluster indicator</w:t>
            </w:r>
          </w:p>
        </w:tc>
      </w:tr>
      <w:tr>
        <w:trPr>
          <w:cantSplit/>
        </w:trPr>
        <w:tc>
          <w:tcPr>
            <w:tcW w:type="dxa" w:w="1656"/>
            <w:tcMar>
              <w:top w:w="90" w:type="dxa"/>
              <w:start w:w="90" w:type="dxa"/>
              <w:bottom w:w="90" w:type="dxa"/>
              <w:end w:w="90" w:type="dxa"/>
            </w:tcMar>
            <w:vAlign w:val="center"/>
          </w:tcPr>
          <w:p>
            <w:pPr>
              <w:pStyle w:val="TableText"/>
            </w:pPr>
            <w:r>
              <w:t>Heat exposure</w:t>
            </w:r>
          </w:p>
        </w:tc>
        <w:tc>
          <w:tcPr>
            <w:tcW w:type="dxa" w:w="3816"/>
            <w:tcMar>
              <w:top w:w="90" w:type="dxa"/>
              <w:start w:w="90" w:type="dxa"/>
              <w:bottom w:w="90" w:type="dxa"/>
              <w:end w:w="90" w:type="dxa"/>
            </w:tcMar>
            <w:vAlign w:val="center"/>
          </w:tcPr>
          <w:p>
            <w:pPr>
              <w:pStyle w:val="TableText"/>
            </w:pPr>
            <w:r>
              <w:t>pet41tm45p_ahn4 plus pet46tm50p_ahn4 plus pet51plusp_ahn4</w:t>
            </w:r>
          </w:p>
        </w:tc>
        <w:tc>
          <w:tcPr>
            <w:tcW w:type="dxa" w:w="2448"/>
            <w:tcMar>
              <w:top w:w="90" w:type="dxa"/>
              <w:start w:w="90" w:type="dxa"/>
              <w:bottom w:w="90" w:type="dxa"/>
              <w:end w:w="90" w:type="dxa"/>
            </w:tcMar>
            <w:vAlign w:val="center"/>
          </w:tcPr>
          <w:p>
            <w:pPr>
              <w:pStyle w:val="TableText"/>
            </w:pPr>
            <w:r>
              <w:t>Percent with apparent temperature at least 41 C</w:t>
            </w:r>
          </w:p>
        </w:tc>
        <w:tc>
          <w:tcPr>
            <w:tcW w:type="dxa" w:w="1440"/>
            <w:tcMar>
              <w:top w:w="90" w:type="dxa"/>
              <w:start w:w="90" w:type="dxa"/>
              <w:bottom w:w="90" w:type="dxa"/>
              <w:end w:w="90" w:type="dxa"/>
            </w:tcMar>
            <w:vAlign w:val="center"/>
          </w:tcPr>
          <w:p>
            <w:pPr>
              <w:pStyle w:val="TableText"/>
            </w:pPr>
            <w:r>
              <w:t>Outcome and cluster indicator</w:t>
            </w:r>
          </w:p>
        </w:tc>
      </w:tr>
      <w:tr>
        <w:trPr>
          <w:cantSplit/>
        </w:trPr>
        <w:tc>
          <w:tcPr>
            <w:tcW w:type="dxa" w:w="1656"/>
            <w:tcMar>
              <w:top w:w="90" w:type="dxa"/>
              <w:start w:w="90" w:type="dxa"/>
              <w:bottom w:w="90" w:type="dxa"/>
              <w:end w:w="90" w:type="dxa"/>
            </w:tcMar>
            <w:vAlign w:val="center"/>
            <w:shd w:fill="F2F6FA"/>
          </w:tcPr>
          <w:p>
            <w:pPr>
              <w:pStyle w:val="TableText"/>
            </w:pPr>
            <w:r>
              <w:t>Flood exposure</w:t>
            </w:r>
          </w:p>
        </w:tc>
        <w:tc>
          <w:tcPr>
            <w:tcW w:type="dxa" w:w="3816"/>
            <w:tcMar>
              <w:top w:w="90" w:type="dxa"/>
              <w:start w:w="90" w:type="dxa"/>
              <w:bottom w:w="90" w:type="dxa"/>
              <w:end w:w="90" w:type="dxa"/>
            </w:tcMar>
            <w:vAlign w:val="center"/>
            <w:shd w:fill="F2F6FA"/>
          </w:tcPr>
          <w:p>
            <w:pPr>
              <w:pStyle w:val="TableText"/>
            </w:pPr>
            <w:r>
              <w:t>p_50tot200cm plus p_200pluscm</w:t>
            </w:r>
          </w:p>
        </w:tc>
        <w:tc>
          <w:tcPr>
            <w:tcW w:type="dxa" w:w="2448"/>
            <w:tcMar>
              <w:top w:w="90" w:type="dxa"/>
              <w:start w:w="90" w:type="dxa"/>
              <w:bottom w:w="90" w:type="dxa"/>
              <w:end w:w="90" w:type="dxa"/>
            </w:tcMar>
            <w:vAlign w:val="center"/>
            <w:shd w:fill="F2F6FA"/>
          </w:tcPr>
          <w:p>
            <w:pPr>
              <w:pStyle w:val="TableText"/>
            </w:pPr>
            <w:r>
              <w:t>Percent with maximum flood depth above 50 cm</w:t>
            </w:r>
          </w:p>
        </w:tc>
        <w:tc>
          <w:tcPr>
            <w:tcW w:type="dxa" w:w="1440"/>
            <w:tcMar>
              <w:top w:w="90" w:type="dxa"/>
              <w:start w:w="90" w:type="dxa"/>
              <w:bottom w:w="90" w:type="dxa"/>
              <w:end w:w="90" w:type="dxa"/>
            </w:tcMar>
            <w:vAlign w:val="center"/>
            <w:shd w:fill="F2F6FA"/>
          </w:tcPr>
          <w:p>
            <w:pPr>
              <w:pStyle w:val="TableText"/>
            </w:pPr>
            <w:r>
              <w:t>Predictor and cluster indicator</w:t>
            </w:r>
          </w:p>
        </w:tc>
      </w:tr>
      <w:tr>
        <w:trPr>
          <w:cantSplit/>
        </w:trPr>
        <w:tc>
          <w:tcPr>
            <w:tcW w:type="dxa" w:w="1656"/>
            <w:tcMar>
              <w:top w:w="90" w:type="dxa"/>
              <w:start w:w="90" w:type="dxa"/>
              <w:bottom w:w="90" w:type="dxa"/>
              <w:end w:w="90" w:type="dxa"/>
            </w:tcMar>
            <w:vAlign w:val="center"/>
          </w:tcPr>
          <w:p>
            <w:pPr>
              <w:pStyle w:val="TableText"/>
            </w:pPr>
            <w:r>
              <w:t>Heavy rain exposure</w:t>
            </w:r>
          </w:p>
        </w:tc>
        <w:tc>
          <w:tcPr>
            <w:tcW w:type="dxa" w:w="3816"/>
            <w:tcMar>
              <w:top w:w="90" w:type="dxa"/>
              <w:start w:w="90" w:type="dxa"/>
              <w:bottom w:w="90" w:type="dxa"/>
              <w:end w:w="90" w:type="dxa"/>
            </w:tcMar>
            <w:vAlign w:val="center"/>
          </w:tcPr>
          <w:p>
            <w:pPr>
              <w:pStyle w:val="TableText"/>
            </w:pPr>
            <w:r>
              <w:t>perc20_30mm plus perc30mm_me</w:t>
            </w:r>
          </w:p>
        </w:tc>
        <w:tc>
          <w:tcPr>
            <w:tcW w:type="dxa" w:w="2448"/>
            <w:tcMar>
              <w:top w:w="90" w:type="dxa"/>
              <w:start w:w="90" w:type="dxa"/>
              <w:bottom w:w="90" w:type="dxa"/>
              <w:end w:w="90" w:type="dxa"/>
            </w:tcMar>
            <w:vAlign w:val="center"/>
          </w:tcPr>
          <w:p>
            <w:pPr>
              <w:pStyle w:val="TableText"/>
            </w:pPr>
            <w:r>
              <w:t>Percent with pluvial water depth at least 20 cm</w:t>
            </w:r>
          </w:p>
        </w:tc>
        <w:tc>
          <w:tcPr>
            <w:tcW w:type="dxa" w:w="1440"/>
            <w:tcMar>
              <w:top w:w="90" w:type="dxa"/>
              <w:start w:w="90" w:type="dxa"/>
              <w:bottom w:w="90" w:type="dxa"/>
              <w:end w:w="90" w:type="dxa"/>
            </w:tcMar>
            <w:vAlign w:val="center"/>
          </w:tcPr>
          <w:p>
            <w:pPr>
              <w:pStyle w:val="TableText"/>
            </w:pPr>
            <w:r>
              <w:t>Predictor and cluster indicator</w:t>
            </w:r>
          </w:p>
        </w:tc>
      </w:tr>
    </w:tbl>
    <w:p>
      <w:pPr>
        <w:spacing w:after="20"/>
      </w:pPr>
    </w:p>
    <w:p>
      <w:pPr>
        <w:pStyle w:val="Heading3"/>
        <w:keepNext/>
      </w:pPr>
      <w:r>
        <w:t>3.4.1 Composite Indicators</w:t>
      </w:r>
    </w:p>
    <w:p>
      <w:pPr>
        <w:keepNext/>
      </w:pPr>
      <w:r>
        <w:t>Heat, flood, and heavy-rain measures combined mutually exclusive severity categories. If every component field was missing for a neighbourhood, the composite remained missing; otherwise available components were summed. Heat and heavy-rain source fractions were multiplied by 100, while flood fields were already percentages.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H</m:t>
                    </m:r>
                  </m:e>
                  <m:sub>
                    <m:r>
                      <m:t>i</m:t>
                    </m:r>
                  </m:sub>
                </m:sSub>
                <m:r>
                  <m:rPr>
                    <m:sty m:val="p"/>
                  </m:rPr>
                  <m:t>=</m:t>
                </m:r>
                <m:r>
                  <m:t>100</m:t>
                </m:r>
                <m:nary>
                  <m:naryPr>
                    <m:chr m:val="∑"/>
                    <m:limLoc m:val="undOvr"/>
                    <m:subHide m:val="off"/>
                    <m:supHide m:val="off"/>
                  </m:naryPr>
                  <m:sub>
                    <m:r>
                      <m:t>c</m:t>
                    </m:r>
                    <m:r>
                      <m:rPr>
                        <m:sty m:val="p"/>
                      </m:rPr>
                      <m:t>=</m:t>
                    </m:r>
                    <m:r>
                      <m:t>1</m:t>
                    </m:r>
                  </m:sub>
                  <m:sup>
                    <m:r>
                      <m:t>3</m:t>
                    </m:r>
                  </m:sup>
                  <m:e>
                    <m:r>
                      <m:t>P</m:t>
                    </m:r>
                  </m:e>
                </m:nary>
                <m:r>
                  <m:t>E</m:t>
                </m:r>
                <m:sSub>
                  <m:e>
                    <m:r>
                      <m:t>T</m:t>
                    </m:r>
                  </m:e>
                  <m:sub>
                    <m:r>
                      <m:t>c</m:t>
                    </m:r>
                    <m:r>
                      <m:rPr>
                        <m:sty m:val="p"/>
                      </m:rPr>
                      <m:t>,</m:t>
                    </m:r>
                    <m:r>
                      <m:t>i</m:t>
                    </m:r>
                  </m:sub>
                </m:sSub>
              </m:oMath>
            </m:oMathPara>
          </w:p>
        </w:tc>
        <w:tc>
          <w:tcPr>
            <w:tcW w:type="dxa" w:w="504"/>
            <w:vAlign w:val="center"/>
          </w:tcPr>
          <w:p>
            <w:pPr>
              <w:spacing w:after="0"/>
              <w:jc w:val="right"/>
              <w:keepNext/>
            </w:pPr>
            <w:r>
              <w:rPr>
                <w:rFonts w:ascii="Times New Roman" w:hAnsi="Times New Roman"/>
                <w:sz w:val="20"/>
              </w:rPr>
              <w:t>(3.1)</w:t>
            </w:r>
          </w:p>
        </w:tc>
      </w:tr>
    </w:tbl>
    <w:p>
      <w:pPr>
        <w:spacing w:line="276" w:lineRule="auto"/>
        <w:ind w:left="504" w:right="504"/>
        <w:keepNext/>
      </w:pPr>
      <w:r>
        <w:rPr>
          <w:i/>
        </w:rPr>
        <w:t xml:space="preserve">where </w:t>
      </w:r>
      <w:r>
        <w:t>Hᵢ is neighbourhood i heat exposure; c indexes the three apparent-temperature categories 41–45, 46–50, and 51+ degrees Celsius.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F</m:t>
                    </m:r>
                  </m:e>
                  <m:sub>
                    <m:r>
                      <m:t>i</m:t>
                    </m:r>
                  </m:sub>
                </m:sSub>
                <m:r>
                  <m:rPr>
                    <m:sty m:val="p"/>
                  </m:rPr>
                  <m:t>=</m:t>
                </m:r>
                <m:sSub>
                  <m:e>
                    <m:r>
                      <m:t>P</m:t>
                    </m:r>
                  </m:e>
                  <m:sub>
                    <m:r>
                      <m:t>50</m:t>
                    </m:r>
                    <m:r>
                      <m:rPr>
                        <m:nor/>
                        <m:sty m:val="p"/>
                      </m:rPr>
                      <m:t>–</m:t>
                    </m:r>
                    <m:r>
                      <m:t>200</m:t>
                    </m:r>
                    <m:r>
                      <m:rPr>
                        <m:sty m:val="p"/>
                      </m:rPr>
                      <m:t>,</m:t>
                    </m:r>
                    <m:r>
                      <m:t>i</m:t>
                    </m:r>
                  </m:sub>
                </m:sSub>
                <m:r>
                  <m:rPr>
                    <m:sty m:val="p"/>
                  </m:rPr>
                  <m:t>+</m:t>
                </m:r>
                <m:sSub>
                  <m:e>
                    <m:r>
                      <m:t>P</m:t>
                    </m:r>
                  </m:e>
                  <m:sub>
                    <m:r>
                      <m:t>200</m:t>
                    </m:r>
                    <m:r>
                      <m:rPr>
                        <m:sty m:val="p"/>
                      </m:rPr>
                      <m:t>+</m:t>
                    </m:r>
                    <m:r>
                      <m:rPr>
                        <m:sty m:val="p"/>
                      </m:rPr>
                      <m:t>,</m:t>
                    </m:r>
                    <m:r>
                      <m:t>i</m:t>
                    </m:r>
                  </m:sub>
                </m:sSub>
              </m:oMath>
            </m:oMathPara>
          </w:p>
        </w:tc>
        <w:tc>
          <w:tcPr>
            <w:tcW w:type="dxa" w:w="504"/>
            <w:vAlign w:val="center"/>
          </w:tcPr>
          <w:p>
            <w:pPr>
              <w:spacing w:after="0"/>
              <w:jc w:val="right"/>
              <w:keepNext/>
            </w:pPr>
            <w:r>
              <w:rPr>
                <w:rFonts w:ascii="Times New Roman" w:hAnsi="Times New Roman"/>
                <w:sz w:val="20"/>
              </w:rPr>
              <w:t>(3.2)</w:t>
            </w:r>
          </w:p>
        </w:tc>
      </w:tr>
    </w:tbl>
    <w:p>
      <w:pPr>
        <w:spacing w:line="276" w:lineRule="auto"/>
        <w:ind w:left="504" w:right="504"/>
        <w:keepNext/>
      </w:pPr>
      <w:r>
        <w:rPr>
          <w:i/>
        </w:rPr>
        <w:t xml:space="preserve">where </w:t>
      </w:r>
      <w:r>
        <w:t>Fᵢ is the percentage of neighbourhood i exposed to maximum flood depth above 50 centimetres.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R</m:t>
                    </m:r>
                  </m:e>
                  <m:sub>
                    <m:r>
                      <m:t>i</m:t>
                    </m:r>
                  </m:sub>
                </m:sSub>
                <m:r>
                  <m:rPr>
                    <m:sty m:val="p"/>
                  </m:rPr>
                  <m:t>=</m:t>
                </m:r>
                <m:r>
                  <m:t>100</m:t>
                </m:r>
                <m:d>
                  <m:dPr>
                    <m:begChr m:val="("/>
                    <m:endChr m:val=")"/>
                    <m:sepChr m:val=""/>
                    <m:grow/>
                  </m:dPr>
                  <m:e>
                    <m:sSub>
                      <m:e>
                        <m:r>
                          <m:t>P</m:t>
                        </m:r>
                      </m:e>
                      <m:sub>
                        <m:r>
                          <m:t>20</m:t>
                        </m:r>
                        <m:r>
                          <m:rPr>
                            <m:nor/>
                            <m:sty m:val="p"/>
                          </m:rPr>
                          <m:t>–</m:t>
                        </m:r>
                        <m:r>
                          <m:t>30</m:t>
                        </m:r>
                        <m:r>
                          <m:rPr>
                            <m:sty m:val="p"/>
                          </m:rPr>
                          <m:t>,</m:t>
                        </m:r>
                        <m:r>
                          <m:t>i</m:t>
                        </m:r>
                      </m:sub>
                    </m:sSub>
                    <m:r>
                      <m:rPr>
                        <m:sty m:val="p"/>
                      </m:rPr>
                      <m:t>+</m:t>
                    </m:r>
                    <m:sSub>
                      <m:e>
                        <m:r>
                          <m:t>P</m:t>
                        </m:r>
                      </m:e>
                      <m:sub>
                        <m:r>
                          <m:t>30</m:t>
                        </m:r>
                        <m:r>
                          <m:rPr>
                            <m:sty m:val="p"/>
                          </m:rPr>
                          <m:t>+</m:t>
                        </m:r>
                        <m:r>
                          <m:rPr>
                            <m:sty m:val="p"/>
                          </m:rPr>
                          <m:t>,</m:t>
                        </m:r>
                        <m:r>
                          <m:t>i</m:t>
                        </m:r>
                      </m:sub>
                    </m:sSub>
                  </m:e>
                </m:d>
              </m:oMath>
            </m:oMathPara>
          </w:p>
        </w:tc>
        <w:tc>
          <w:tcPr>
            <w:tcW w:type="dxa" w:w="504"/>
            <w:vAlign w:val="center"/>
          </w:tcPr>
          <w:p>
            <w:pPr>
              <w:spacing w:after="0"/>
              <w:jc w:val="right"/>
              <w:keepNext/>
            </w:pPr>
            <w:r>
              <w:rPr>
                <w:rFonts w:ascii="Times New Roman" w:hAnsi="Times New Roman"/>
                <w:sz w:val="20"/>
              </w:rPr>
              <w:t>(3.3)</w:t>
            </w:r>
          </w:p>
        </w:tc>
      </w:tr>
    </w:tbl>
    <w:p>
      <w:pPr>
        <w:spacing w:line="276" w:lineRule="auto"/>
        <w:ind w:left="504" w:right="504"/>
      </w:pPr>
      <w:r>
        <w:rPr>
          <w:i/>
        </w:rPr>
        <w:t xml:space="preserve">where </w:t>
      </w:r>
      <w:r>
        <w:t>Rᵢ is heavy-rain exposure and P denotes the two selected water-depth shares.</w:t>
      </w:r>
    </w:p>
    <w:p>
      <w:r>
        <w:t>The heavy-rain field names contain mm, while workbook metadata describes centimetres. The operational threshold follows the metadata and is reported as at least 20 centimetres. This discrepancy is retained as a source-data limitation. The canopy field actually used is AHN4, despite an inaccurate script comment referring to AHN5.</w:t>
      </w:r>
    </w:p>
    <w:p>
      <w:pPr>
        <w:pStyle w:val="Heading3"/>
        <w:keepNext/>
      </w:pPr>
      <w:r>
        <w:t>3.4.2 Cleaning and Municipal Aggregation</w:t>
      </w:r>
    </w:p>
    <w:p>
      <w:pPr>
        <w:keepNext/>
      </w:pPr>
      <w:r>
        <w:t>Negative environmental values were treated as source missing-value codes and converted to NA. Population was converted to numeric. Weights were restricted to positive, non-missing neighbourhood populations. A municipality received a missing indicator only when none of its positively weighted neighbourhoods had an available value.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Sup>
                  <m:e>
                    <m:acc>
                      <m:accPr>
                        <m:chr m:val="‾"/>
                      </m:accPr>
                      <m:e>
                        <m:r>
                          <m:t>x</m:t>
                        </m:r>
                      </m:e>
                    </m:acc>
                  </m:e>
                  <m:sub>
                    <m:r>
                      <m:t>m</m:t>
                    </m:r>
                  </m:sub>
                  <m:sup>
                    <m:r>
                      <m:t> </m:t>
                    </m:r>
                    <m:r>
                      <m:t>w</m:t>
                    </m:r>
                  </m:sup>
                </m:sSubSup>
                <m:r>
                  <m:rPr>
                    <m:sty m:val="p"/>
                  </m:rPr>
                  <m:t>=</m:t>
                </m:r>
                <m:f>
                  <m:fPr>
                    <m:type m:val="bar"/>
                  </m:fPr>
                  <m:num>
                    <m:nary>
                      <m:naryPr>
                        <m:chr m:val="∑"/>
                        <m:limLoc m:val="undOvr"/>
                        <m:subHide m:val="off"/>
                        <m:supHide m:val="on"/>
                      </m:naryPr>
                      <m:sub>
                        <m:r>
                          <m:t>i</m:t>
                        </m:r>
                        <m:r>
                          <m:rPr>
                            <m:sty m:val="p"/>
                          </m:rPr>
                          <m:t>∈</m:t>
                        </m:r>
                        <m:r>
                          <m:t>m</m:t>
                        </m:r>
                      </m:sub>
                      <m:sup>
                        <m:r>
                          <m:t>​</m:t>
                        </m:r>
                      </m:sup>
                      <m:e>
                        <m:sSub>
                          <m:e>
                            <m:r>
                              <m:t>w</m:t>
                            </m:r>
                          </m:e>
                          <m:sub>
                            <m:r>
                              <m:t>i</m:t>
                            </m:r>
                          </m:sub>
                        </m:sSub>
                      </m:e>
                    </m:nary>
                    <m:sSub>
                      <m:e>
                        <m:r>
                          <m:t>x</m:t>
                        </m:r>
                      </m:e>
                      <m:sub>
                        <m:r>
                          <m:t>i</m:t>
                        </m:r>
                      </m:sub>
                    </m:sSub>
                  </m:num>
                  <m:den>
                    <m:nary>
                      <m:naryPr>
                        <m:chr m:val="∑"/>
                        <m:limLoc m:val="undOvr"/>
                        <m:subHide m:val="off"/>
                        <m:supHide m:val="on"/>
                      </m:naryPr>
                      <m:sub>
                        <m:r>
                          <m:t>i</m:t>
                        </m:r>
                        <m:r>
                          <m:rPr>
                            <m:sty m:val="p"/>
                          </m:rPr>
                          <m:t>∈</m:t>
                        </m:r>
                        <m:r>
                          <m:t>m</m:t>
                        </m:r>
                      </m:sub>
                      <m:sup>
                        <m:r>
                          <m:t>​</m:t>
                        </m:r>
                      </m:sup>
                      <m:e>
                        <m:sSub>
                          <m:e>
                            <m:r>
                              <m:t>w</m:t>
                            </m:r>
                          </m:e>
                          <m:sub>
                            <m:r>
                              <m:t>i</m:t>
                            </m:r>
                          </m:sub>
                        </m:sSub>
                      </m:e>
                    </m:nary>
                  </m:den>
                </m:f>
              </m:oMath>
            </m:oMathPara>
          </w:p>
        </w:tc>
        <w:tc>
          <w:tcPr>
            <w:tcW w:type="dxa" w:w="504"/>
            <w:vAlign w:val="center"/>
          </w:tcPr>
          <w:p>
            <w:pPr>
              <w:spacing w:after="0"/>
              <w:jc w:val="right"/>
              <w:keepNext/>
            </w:pPr>
            <w:r>
              <w:rPr>
                <w:rFonts w:ascii="Times New Roman" w:hAnsi="Times New Roman"/>
                <w:sz w:val="20"/>
              </w:rPr>
              <w:t>(3.4)</w:t>
            </w:r>
          </w:p>
        </w:tc>
      </w:tr>
    </w:tbl>
    <w:p>
      <w:pPr>
        <w:spacing w:line="276" w:lineRule="auto"/>
        <w:ind w:left="504" w:right="504"/>
        <w:keepNext/>
      </w:pPr>
      <w:r>
        <w:rPr>
          <w:i/>
        </w:rPr>
        <w:t xml:space="preserve">where </w:t>
      </w:r>
      <w:r>
        <w:t>x̄ₘʷ is the indicator for municipality m, xᵢ the neighbourhood value, and wᵢ its population; only valid pairs with wᵢ greater than zero enter the sums.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C</m:t>
                    </m:r>
                  </m:e>
                  <m:sub>
                    <m:r>
                      <m:t>m</m:t>
                    </m:r>
                  </m:sub>
                </m:sSub>
                <m:r>
                  <m:rPr>
                    <m:sty m:val="p"/>
                  </m:rPr>
                  <m:t>=</m:t>
                </m:r>
                <m:r>
                  <m:t>100</m:t>
                </m:r>
                <m:r>
                  <m:t> </m:t>
                </m:r>
                <m:f>
                  <m:fPr>
                    <m:type m:val="bar"/>
                  </m:fPr>
                  <m:num>
                    <m:nary>
                      <m:naryPr>
                        <m:chr m:val="∑"/>
                        <m:limLoc m:val="undOvr"/>
                        <m:subHide m:val="off"/>
                        <m:supHide m:val="on"/>
                      </m:naryPr>
                      <m:sub>
                        <m:r>
                          <m:t>i</m:t>
                        </m:r>
                        <m:r>
                          <m:rPr>
                            <m:sty m:val="p"/>
                          </m:rPr>
                          <m:t>∈</m:t>
                        </m:r>
                        <m:r>
                          <m:t>m</m:t>
                        </m:r>
                      </m:sub>
                      <m:sup>
                        <m:r>
                          <m:t>​</m:t>
                        </m:r>
                      </m:sup>
                      <m:e>
                        <m:sSub>
                          <m:e>
                            <m:r>
                              <m:t>w</m:t>
                            </m:r>
                          </m:e>
                          <m:sub>
                            <m:r>
                              <m:t>i</m:t>
                            </m:r>
                          </m:sub>
                        </m:sSub>
                      </m:e>
                    </m:nary>
                    <m:sSub>
                      <m:e>
                        <m:r>
                          <m:t>a</m:t>
                        </m:r>
                      </m:e>
                      <m:sub>
                        <m:r>
                          <m:t>i</m:t>
                        </m:r>
                      </m:sub>
                    </m:sSub>
                  </m:num>
                  <m:den>
                    <m:nary>
                      <m:naryPr>
                        <m:chr m:val="∑"/>
                        <m:limLoc m:val="undOvr"/>
                        <m:subHide m:val="off"/>
                        <m:supHide m:val="on"/>
                      </m:naryPr>
                      <m:sub>
                        <m:r>
                          <m:t>i</m:t>
                        </m:r>
                        <m:r>
                          <m:rPr>
                            <m:sty m:val="p"/>
                          </m:rPr>
                          <m:t>∈</m:t>
                        </m:r>
                        <m:r>
                          <m:t>m</m:t>
                        </m:r>
                      </m:sub>
                      <m:sup>
                        <m:r>
                          <m:t>​</m:t>
                        </m:r>
                      </m:sup>
                      <m:e>
                        <m:sSub>
                          <m:e>
                            <m:r>
                              <m:t>w</m:t>
                            </m:r>
                          </m:e>
                          <m:sub>
                            <m:r>
                              <m:t>i</m:t>
                            </m:r>
                          </m:sub>
                        </m:sSub>
                      </m:e>
                    </m:nary>
                  </m:den>
                </m:f>
              </m:oMath>
            </m:oMathPara>
          </w:p>
        </w:tc>
        <w:tc>
          <w:tcPr>
            <w:tcW w:type="dxa" w:w="504"/>
            <w:vAlign w:val="center"/>
          </w:tcPr>
          <w:p>
            <w:pPr>
              <w:spacing w:after="0"/>
              <w:jc w:val="right"/>
              <w:keepNext/>
            </w:pPr>
            <w:r>
              <w:rPr>
                <w:rFonts w:ascii="Times New Roman" w:hAnsi="Times New Roman"/>
                <w:sz w:val="20"/>
              </w:rPr>
              <w:t>(3.5)</w:t>
            </w:r>
          </w:p>
        </w:tc>
      </w:tr>
    </w:tbl>
    <w:p>
      <w:pPr>
        <w:spacing w:line="276" w:lineRule="auto"/>
        <w:ind w:left="504" w:right="504"/>
      </w:pPr>
      <w:r>
        <w:rPr>
          <w:i/>
        </w:rPr>
        <w:t xml:space="preserve">where </w:t>
      </w:r>
      <w:r>
        <w:t>Cₘ is municipal coverage and aᵢ equals one when neighbourhood i has an observed indicator value and zero otherwise.</w:t>
      </w:r>
    </w:p>
    <w:p>
      <w:r>
        <w:t>Flood-category missingness received an additional structural audit. After checking category totals, missing values in the two selected flood categories were set to zero before recomputing exposure above 50 centimetres. This represents absence from those categories, not generic imputation of unknown measurements.</w:t>
      </w:r>
    </w:p>
    <w:p>
      <w:pPr>
        <w:pStyle w:val="Heading2"/>
        <w:keepNext/>
      </w:pPr>
      <w:r>
        <w:t>3.5 Data Quality Audit and Missing Data</w:t>
      </w:r>
    </w:p>
    <w:p>
      <w:pPr>
        <w:keepNext/>
      </w:pPr>
      <w:r>
        <w:t>Checks covered dimensions, duplicate rows, missing values, distinct values, zero variance, range, mean, standard deviation, negative codes, population validity, and municipal population coverage. Variables with more than 20 percent missingness, no variation, or fewer than three distinct values were flagged. None of the five final indicators had zero variance or high missingness. Drought depth had five missing municipalities; the other indicators were complete in the final municipal file.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M</m:t>
                    </m:r>
                  </m:e>
                  <m:sub>
                    <m:r>
                      <m:t>j</m:t>
                    </m:r>
                  </m:sub>
                </m:sSub>
                <m:r>
                  <m:rPr>
                    <m:sty m:val="p"/>
                  </m:rPr>
                  <m:t>=</m:t>
                </m:r>
                <m:r>
                  <m:t>100</m:t>
                </m:r>
                <m:r>
                  <m:t> </m:t>
                </m:r>
                <m:f>
                  <m:fPr>
                    <m:type m:val="bar"/>
                  </m:fPr>
                  <m:num>
                    <m:sSub>
                      <m:e>
                        <m:r>
                          <m:t>m</m:t>
                        </m:r>
                      </m:e>
                      <m:sub>
                        <m:r>
                          <m:t>j</m:t>
                        </m:r>
                      </m:sub>
                    </m:sSub>
                  </m:num>
                  <m:den>
                    <m:r>
                      <m:t>n</m:t>
                    </m:r>
                  </m:den>
                </m:f>
              </m:oMath>
            </m:oMathPara>
          </w:p>
        </w:tc>
        <w:tc>
          <w:tcPr>
            <w:tcW w:type="dxa" w:w="504"/>
            <w:vAlign w:val="center"/>
          </w:tcPr>
          <w:p>
            <w:pPr>
              <w:spacing w:after="0"/>
              <w:jc w:val="right"/>
              <w:keepNext/>
            </w:pPr>
            <w:r>
              <w:rPr>
                <w:rFonts w:ascii="Times New Roman" w:hAnsi="Times New Roman"/>
                <w:sz w:val="20"/>
              </w:rPr>
              <w:t>(3.6)</w:t>
            </w:r>
          </w:p>
        </w:tc>
      </w:tr>
    </w:tbl>
    <w:p>
      <w:pPr>
        <w:spacing w:line="276" w:lineRule="auto"/>
        <w:ind w:left="504" w:right="504"/>
        <w:keepNext/>
      </w:pPr>
      <w:r>
        <w:rPr>
          <w:i/>
        </w:rPr>
        <w:t xml:space="preserve">where </w:t>
      </w:r>
      <w:r>
        <w:t>Mⱼ is the missing percentage, mⱼ is the count missing for indicator j, and n is the number of municipalities.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c</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oMath>
            </m:oMathPara>
          </w:p>
        </w:tc>
        <w:tc>
          <w:tcPr>
            <w:tcW w:type="dxa" w:w="504"/>
            <w:vAlign w:val="center"/>
          </w:tcPr>
          <w:p>
            <w:pPr>
              <w:spacing w:after="0"/>
              <w:jc w:val="right"/>
              <w:keepNext/>
            </w:pPr>
            <w:r>
              <w:rPr>
                <w:rFonts w:ascii="Times New Roman" w:hAnsi="Times New Roman"/>
                <w:sz w:val="20"/>
              </w:rPr>
              <w:t>(3.7)</w:t>
            </w:r>
          </w:p>
        </w:tc>
      </w:tr>
    </w:tbl>
    <w:p>
      <w:pPr>
        <w:spacing w:line="276" w:lineRule="auto"/>
        <w:ind w:left="504" w:right="504"/>
      </w:pPr>
      <w:r>
        <w:rPr>
          <w:i/>
        </w:rPr>
        <w:t xml:space="preserve">where </w:t>
      </w:r>
      <w:r>
        <w:t>cᵢ equals one only when every aᵢⱼ equals one, where aᵢⱼ indicates that municipality i has indicator j observed and p equals five.</w:t>
      </w:r>
    </w:p>
    <w:p>
      <w:r>
        <w:t>Because 98.54 percent of municipalities were retained and missingness was confined to one indicator, complete-case analysis was proportionate. It does not prove that missingness was completely at random, so the five exclusions remain a limitation.</w:t>
      </w:r>
    </w:p>
    <w:p>
      <w:pPr>
        <w:pStyle w:val="Heading2"/>
        <w:keepNext/>
      </w:pPr>
      <w:r>
        <w:t>3.6 Descriptive Statistics and Correlation</w:t>
      </w:r>
    </w:p>
    <w:p>
      <w:pPr>
        <w:keepNext/>
      </w:pPr>
      <w:r>
        <w:t>For each indicator, the number available, mean, sample standard deviation, minimum, median, and maximum were reported. Pearson correlations were calculated for the 337 complete municipalities and interpreted descriptively.</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tc>
        <w:tc>
          <w:tcPr>
            <w:tcW w:type="dxa" w:w="504"/>
            <w:vAlign w:val="center"/>
          </w:tcPr>
          <w:p>
            <w:pPr>
              <w:spacing w:after="0"/>
              <w:jc w:val="right"/>
              <w:keepNext/>
            </w:pPr>
            <w:r>
              <w:rPr>
                <w:rFonts w:ascii="Times New Roman" w:hAnsi="Times New Roman"/>
                <w:sz w:val="20"/>
              </w:rPr>
              <w:t>(3.8)</w:t>
            </w:r>
          </w:p>
        </w:tc>
      </w:tr>
    </w:tbl>
    <w:p>
      <w:pPr>
        <w:spacing w:line="276" w:lineRule="auto"/>
        <w:ind w:left="504" w:right="504"/>
        <w:keepNext/>
      </w:pPr>
      <w:r>
        <w:rPr>
          <w:i/>
        </w:rPr>
        <w:t xml:space="preserve">where </w:t>
      </w:r>
      <w:r>
        <w:t>x̄ is the sample mean.</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s</m:t>
                    </m:r>
                  </m:e>
                  <m:sub>
                    <m:r>
                      <m:t>x</m:t>
                    </m:r>
                  </m:sub>
                </m:sSub>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r>
                          <m:rPr>
                            <m:sty m:val="p"/>
                          </m:rPr>
                          <m:t>−</m:t>
                        </m:r>
                        <m:r>
                          <m:t>1</m:t>
                        </m:r>
                      </m:den>
                    </m:f>
                  </m:e>
                </m:rad>
              </m:oMath>
            </m:oMathPara>
          </w:p>
        </w:tc>
        <w:tc>
          <w:tcPr>
            <w:tcW w:type="dxa" w:w="504"/>
            <w:vAlign w:val="center"/>
          </w:tcPr>
          <w:p>
            <w:pPr>
              <w:spacing w:after="0"/>
              <w:jc w:val="right"/>
              <w:keepNext/>
            </w:pPr>
            <w:r>
              <w:rPr>
                <w:rFonts w:ascii="Times New Roman" w:hAnsi="Times New Roman"/>
                <w:sz w:val="20"/>
              </w:rPr>
              <w:t>(3.9)</w:t>
            </w:r>
          </w:p>
        </w:tc>
      </w:tr>
    </w:tbl>
    <w:p>
      <w:pPr>
        <w:spacing w:line="276" w:lineRule="auto"/>
        <w:ind w:left="504" w:right="504"/>
        <w:keepNext/>
      </w:pPr>
      <w:r>
        <w:rPr>
          <w:i/>
        </w:rPr>
        <w:t xml:space="preserve">where </w:t>
      </w:r>
      <w:r>
        <w:t>sₓ is the sample standard deviation.</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r</m:t>
                    </m:r>
                  </m:e>
                  <m:sub>
                    <m:r>
                      <m:t>x</m:t>
                    </m:r>
                    <m:r>
                      <m:t>y</m:t>
                    </m:r>
                  </m:sub>
                </m:sSub>
                <m:r>
                  <m:rPr>
                    <m:sty m:val="p"/>
                  </m:rPr>
                  <m:t>=</m:t>
                </m:r>
                <m:f>
                  <m:fPr>
                    <m:type m:val="bar"/>
                  </m:fPr>
                  <m:num>
                    <m:nary>
                      <m:naryPr>
                        <m:chr m:val="∑"/>
                        <m:limLoc m:val="undOvr"/>
                        <m:subHide m:val="off"/>
                        <m:supHide m:val="on"/>
                      </m:naryPr>
                      <m:sub>
                        <m:r>
                          <m:t>i</m:t>
                        </m:r>
                      </m:sub>
                      <m:sup>
                        <m:r>
                          <m:t>​</m:t>
                        </m:r>
                      </m:sup>
                      <m:e>
                        <m:d>
                          <m:dPr>
                            <m:begChr m:val="("/>
                            <m:endChr m:val=")"/>
                            <m:sepChr m:val=""/>
                            <m:grow/>
                          </m:dPr>
                          <m:e>
                            <m:sSub>
                              <m:e>
                                <m:r>
                                  <m:t>x</m:t>
                                </m:r>
                              </m:e>
                              <m:sub>
                                <m:r>
                                  <m:t>i</m:t>
                                </m:r>
                              </m:sub>
                            </m:sSub>
                            <m:r>
                              <m:rPr>
                                <m:sty m:val="p"/>
                              </m:rPr>
                              <m:t>−</m:t>
                            </m:r>
                            <m:acc>
                              <m:accPr>
                                <m:chr m:val="‾"/>
                              </m:accPr>
                              <m:e>
                                <m:r>
                                  <m:t>x</m:t>
                                </m:r>
                              </m:e>
                            </m:acc>
                          </m:e>
                        </m:d>
                      </m:e>
                    </m:nary>
                    <m:d>
                      <m:dPr>
                        <m:begChr m:val="("/>
                        <m:endChr m:val=")"/>
                        <m:sep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n"/>
                          </m:naryPr>
                          <m:sub>
                            <m:r>
                              <m:t>i</m:t>
                            </m:r>
                          </m:sub>
                          <m:sup>
                            <m:r>
                              <m:t>​</m:t>
                            </m:r>
                          </m:sup>
                          <m:e>
                            <m:sSup>
                              <m:e>
                                <m:d>
                                  <m:dPr>
                                    <m:begChr m:val="("/>
                                    <m:endChr m:val=")"/>
                                    <m:sepChr m:val=""/>
                                    <m:grow/>
                                  </m:dPr>
                                  <m:e>
                                    <m:sSub>
                                      <m:e>
                                        <m:r>
                                          <m:t>x</m:t>
                                        </m:r>
                                      </m:e>
                                      <m:sub>
                                        <m:r>
                                          <m:t>i</m:t>
                                        </m:r>
                                      </m:sub>
                                    </m:sSub>
                                    <m:r>
                                      <m:rPr>
                                        <m:sty m:val="p"/>
                                      </m:rPr>
                                      <m:t>−</m:t>
                                    </m:r>
                                    <m:acc>
                                      <m:accPr>
                                        <m:chr m:val="‾"/>
                                      </m:accPr>
                                      <m:e>
                                        <m:r>
                                          <m:t>x</m:t>
                                        </m:r>
                                      </m:e>
                                    </m:acc>
                                  </m:e>
                                </m:d>
                              </m:e>
                              <m:sup>
                                <m:r>
                                  <m:t>2</m:t>
                                </m:r>
                              </m:sup>
                            </m:sSup>
                          </m:e>
                        </m:nary>
                        <m:nary>
                          <m:naryPr>
                            <m:chr m:val="∑"/>
                            <m:limLoc m:val="undOvr"/>
                            <m:subHide m:val="off"/>
                            <m:supHide m:val="on"/>
                          </m:naryPr>
                          <m:sub>
                            <m:r>
                              <m:t>i</m:t>
                            </m:r>
                          </m:sub>
                          <m:sup>
                            <m:r>
                              <m:t>​</m:t>
                            </m:r>
                          </m:sup>
                          <m:e>
                            <m:sSup>
                              <m:e>
                                <m:d>
                                  <m:dPr>
                                    <m:begChr m:val="("/>
                                    <m:endChr m:val=")"/>
                                    <m:sepChr m:val=""/>
                                    <m:grow/>
                                  </m:dPr>
                                  <m:e>
                                    <m:sSub>
                                      <m:e>
                                        <m:r>
                                          <m:t>y</m:t>
                                        </m:r>
                                      </m:e>
                                      <m:sub>
                                        <m:r>
                                          <m:t>i</m:t>
                                        </m:r>
                                      </m:sub>
                                    </m:sSub>
                                    <m:r>
                                      <m:rPr>
                                        <m:sty m:val="p"/>
                                      </m:rPr>
                                      <m:t>−</m:t>
                                    </m:r>
                                    <m:acc>
                                      <m:accPr>
                                        <m:chr m:val="‾"/>
                                      </m:accPr>
                                      <m:e>
                                        <m:r>
                                          <m:t>y</m:t>
                                        </m:r>
                                      </m:e>
                                    </m:acc>
                                  </m:e>
                                </m:d>
                              </m:e>
                              <m:sup>
                                <m:r>
                                  <m:t>2</m:t>
                                </m:r>
                              </m:sup>
                            </m:sSup>
                          </m:e>
                        </m:nary>
                      </m:e>
                    </m:rad>
                  </m:den>
                </m:f>
              </m:oMath>
            </m:oMathPara>
          </w:p>
        </w:tc>
        <w:tc>
          <w:tcPr>
            <w:tcW w:type="dxa" w:w="504"/>
            <w:vAlign w:val="center"/>
          </w:tcPr>
          <w:p>
            <w:pPr>
              <w:spacing w:after="0"/>
              <w:jc w:val="right"/>
              <w:keepNext/>
            </w:pPr>
            <w:r>
              <w:rPr>
                <w:rFonts w:ascii="Times New Roman" w:hAnsi="Times New Roman"/>
                <w:sz w:val="20"/>
              </w:rPr>
              <w:t>(3.10)</w:t>
            </w:r>
          </w:p>
        </w:tc>
      </w:tr>
    </w:tbl>
    <w:p>
      <w:pPr>
        <w:spacing w:line="276" w:lineRule="auto"/>
        <w:ind w:left="504" w:right="504"/>
      </w:pPr>
      <w:r>
        <w:rPr>
          <w:i/>
        </w:rPr>
        <w:t xml:space="preserve">where </w:t>
      </w:r>
      <w:r>
        <w:t>rₓᵧ is Pearson correlation, bounded between minus one and one.</w:t>
      </w:r>
    </w:p>
    <w:p>
      <w:pPr>
        <w:pStyle w:val="Heading2"/>
        <w:keepNext/>
      </w:pPr>
      <w:r>
        <w:t>3.7 Principal Component Analysis</w:t>
      </w:r>
    </w:p>
    <w:p>
      <w:pPr>
        <w:keepNext/>
      </w:pPr>
      <w:r>
        <w:t>PCA was applied after centring and scaling because the indicators had different units and dispersions. R prcomp used center equals TRUE and scale dot equals TRUE. PCA transformed correlated variables into orthogonal linear combinations ordered by variance (Jolliffe &amp; Cadima, 2016). It supported structural interpretation and visualisation; regression retained the original-unit predictors.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z</m:t>
                    </m:r>
                  </m:e>
                  <m:sub>
                    <m:r>
                      <m:t>i</m:t>
                    </m:r>
                    <m:r>
                      <m:t>j</m:t>
                    </m:r>
                  </m:sub>
                </m:sSub>
                <m:r>
                  <m:rPr>
                    <m:sty m:val="p"/>
                  </m:rPr>
                  <m:t>=</m:t>
                </m:r>
                <m:f>
                  <m:fPr>
                    <m:type m:val="bar"/>
                  </m:fPr>
                  <m:num>
                    <m:sSub>
                      <m:e>
                        <m:r>
                          <m:t>x</m:t>
                        </m:r>
                      </m:e>
                      <m:sub>
                        <m:r>
                          <m:t>i</m:t>
                        </m:r>
                        <m:r>
                          <m:t>j</m:t>
                        </m:r>
                      </m:sub>
                    </m:sSub>
                    <m:r>
                      <m:rPr>
                        <m:sty m:val="p"/>
                      </m:rPr>
                      <m:t>−</m:t>
                    </m:r>
                    <m:sSub>
                      <m:e>
                        <m:acc>
                          <m:accPr>
                            <m:chr m:val="‾"/>
                          </m:accPr>
                          <m:e>
                            <m:r>
                              <m:t>x</m:t>
                            </m:r>
                          </m:e>
                        </m:acc>
                      </m:e>
                      <m:sub>
                        <m:r>
                          <m:t>j</m:t>
                        </m:r>
                      </m:sub>
                    </m:sSub>
                  </m:num>
                  <m:den>
                    <m:sSub>
                      <m:e>
                        <m:r>
                          <m:t>s</m:t>
                        </m:r>
                      </m:e>
                      <m:sub>
                        <m:r>
                          <m:t>j</m:t>
                        </m:r>
                      </m:sub>
                    </m:sSub>
                  </m:den>
                </m:f>
              </m:oMath>
            </m:oMathPara>
          </w:p>
        </w:tc>
        <w:tc>
          <w:tcPr>
            <w:tcW w:type="dxa" w:w="504"/>
            <w:vAlign w:val="center"/>
          </w:tcPr>
          <w:p>
            <w:pPr>
              <w:spacing w:after="0"/>
              <w:jc w:val="right"/>
              <w:keepNext/>
            </w:pPr>
            <w:r>
              <w:rPr>
                <w:rFonts w:ascii="Times New Roman" w:hAnsi="Times New Roman"/>
                <w:sz w:val="20"/>
              </w:rPr>
              <w:t>(3.11)</w:t>
            </w:r>
          </w:p>
        </w:tc>
      </w:tr>
    </w:tbl>
    <w:p>
      <w:pPr>
        <w:spacing w:line="276" w:lineRule="auto"/>
        <w:ind w:left="504" w:right="504"/>
        <w:keepNext/>
      </w:pPr>
      <w:r>
        <w:rPr>
          <w:i/>
        </w:rPr>
        <w:t xml:space="preserve">where </w:t>
      </w:r>
      <w:r>
        <w:t>zᵢⱼ is the standardised value for municipality i and indicator j.</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b"/>
                  </m:rPr>
                  <m:t>R</m:t>
                </m:r>
                <m:r>
                  <m:rPr>
                    <m:sty m:val="p"/>
                  </m:rPr>
                  <m:t>=</m:t>
                </m:r>
                <m:f>
                  <m:fPr>
                    <m:type m:val="bar"/>
                  </m:fPr>
                  <m:num>
                    <m:r>
                      <m:t>1</m:t>
                    </m:r>
                  </m:num>
                  <m:den>
                    <m:r>
                      <m:t>n</m:t>
                    </m:r>
                    <m:r>
                      <m:rPr>
                        <m:sty m:val="p"/>
                      </m:rPr>
                      <m:t>−</m:t>
                    </m:r>
                    <m:r>
                      <m:t>1</m:t>
                    </m:r>
                  </m:den>
                </m:f>
                <m:sSup>
                  <m:e>
                    <m:r>
                      <m:rPr>
                        <m:sty m:val="b"/>
                      </m:rPr>
                      <m:t>Z</m:t>
                    </m:r>
                  </m:e>
                  <m:sup>
                    <m:r>
                      <m:rPr>
                        <m:sty m:val="p"/>
                        <m:scr m:val="sans-serif"/>
                      </m:rPr>
                      <m:t>T</m:t>
                    </m:r>
                  </m:sup>
                </m:sSup>
                <m:r>
                  <m:rPr>
                    <m:sty m:val="b"/>
                  </m:rPr>
                  <m:t>Z</m:t>
                </m:r>
              </m:oMath>
            </m:oMathPara>
          </w:p>
        </w:tc>
        <w:tc>
          <w:tcPr>
            <w:tcW w:type="dxa" w:w="504"/>
            <w:vAlign w:val="center"/>
          </w:tcPr>
          <w:p>
            <w:pPr>
              <w:spacing w:after="0"/>
              <w:jc w:val="right"/>
              <w:keepNext/>
            </w:pPr>
            <w:r>
              <w:rPr>
                <w:rFonts w:ascii="Times New Roman" w:hAnsi="Times New Roman"/>
                <w:sz w:val="20"/>
              </w:rPr>
              <w:t>(3.12)</w:t>
            </w:r>
          </w:p>
        </w:tc>
      </w:tr>
    </w:tbl>
    <w:p>
      <w:pPr>
        <w:spacing w:line="276" w:lineRule="auto"/>
        <w:ind w:left="504" w:right="504"/>
        <w:keepNext/>
      </w:pPr>
      <w:r>
        <w:rPr>
          <w:i/>
        </w:rPr>
        <w:t xml:space="preserve">where </w:t>
      </w:r>
      <w:r>
        <w:t>Z is the standardised data matrix and R its correlation matrix.</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b"/>
                  </m:rPr>
                  <m:t>R</m:t>
                </m:r>
                <m:sSub>
                  <m:e>
                    <m:r>
                      <m:rPr>
                        <m:sty m:val="b"/>
                      </m:rPr>
                      <m:t>v</m:t>
                    </m:r>
                  </m:e>
                  <m:sub>
                    <m:r>
                      <m:t>k</m:t>
                    </m:r>
                  </m:sub>
                </m:sSub>
                <m:r>
                  <m:rPr>
                    <m:sty m:val="p"/>
                  </m:rPr>
                  <m:t>=</m:t>
                </m:r>
                <m:sSub>
                  <m:e>
                    <m:r>
                      <m:t>λ</m:t>
                    </m:r>
                  </m:e>
                  <m:sub>
                    <m:r>
                      <m:t>k</m:t>
                    </m:r>
                  </m:sub>
                </m:sSub>
                <m:sSub>
                  <m:e>
                    <m:r>
                      <m:rPr>
                        <m:sty m:val="b"/>
                      </m:rPr>
                      <m:t>v</m:t>
                    </m:r>
                  </m:e>
                  <m:sub>
                    <m:r>
                      <m:t>k</m:t>
                    </m:r>
                  </m:sub>
                </m:sSub>
              </m:oMath>
            </m:oMathPara>
          </w:p>
        </w:tc>
        <w:tc>
          <w:tcPr>
            <w:tcW w:type="dxa" w:w="504"/>
            <w:vAlign w:val="center"/>
          </w:tcPr>
          <w:p>
            <w:pPr>
              <w:spacing w:after="0"/>
              <w:jc w:val="right"/>
              <w:keepNext/>
            </w:pPr>
            <w:r>
              <w:rPr>
                <w:rFonts w:ascii="Times New Roman" w:hAnsi="Times New Roman"/>
                <w:sz w:val="20"/>
              </w:rPr>
              <w:t>(3.13)</w:t>
            </w:r>
          </w:p>
        </w:tc>
      </w:tr>
    </w:tbl>
    <w:p>
      <w:pPr>
        <w:spacing w:line="276" w:lineRule="auto"/>
        <w:ind w:left="504" w:right="504"/>
        <w:keepNext/>
      </w:pPr>
      <w:r>
        <w:rPr>
          <w:i/>
        </w:rPr>
        <w:t xml:space="preserve">where </w:t>
      </w:r>
      <w:r>
        <w:t>λₖ is component k's eigenvalue and vₖ its unit eigenvector.</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t</m:t>
                    </m:r>
                  </m:e>
                  <m:sub>
                    <m:r>
                      <m:t>i</m:t>
                    </m:r>
                    <m:r>
                      <m:t>k</m:t>
                    </m:r>
                  </m:sub>
                </m:sSub>
                <m:r>
                  <m:rPr>
                    <m:sty m:val="p"/>
                  </m:rPr>
                  <m:t>=</m:t>
                </m:r>
                <m:nary>
                  <m:naryPr>
                    <m:chr m:val="∑"/>
                    <m:limLoc m:val="undOvr"/>
                    <m:subHide m:val="off"/>
                    <m:supHide m:val="off"/>
                  </m:naryPr>
                  <m:sub>
                    <m:r>
                      <m:t>j</m:t>
                    </m:r>
                    <m:r>
                      <m:rPr>
                        <m:sty m:val="p"/>
                      </m:rPr>
                      <m:t>=</m:t>
                    </m:r>
                    <m:r>
                      <m:t>1</m:t>
                    </m:r>
                  </m:sub>
                  <m:sup>
                    <m:r>
                      <m:t>p</m:t>
                    </m:r>
                  </m:sup>
                  <m:e>
                    <m:sSub>
                      <m:e>
                        <m:r>
                          <m:t>z</m:t>
                        </m:r>
                      </m:e>
                      <m:sub>
                        <m:r>
                          <m:t>i</m:t>
                        </m:r>
                        <m:r>
                          <m:t>j</m:t>
                        </m:r>
                      </m:sub>
                    </m:sSub>
                  </m:e>
                </m:nary>
                <m:sSub>
                  <m:e>
                    <m:r>
                      <m:t>v</m:t>
                    </m:r>
                  </m:e>
                  <m:sub>
                    <m:r>
                      <m:t>j</m:t>
                    </m:r>
                    <m:r>
                      <m:t>k</m:t>
                    </m:r>
                  </m:sub>
                </m:sSub>
              </m:oMath>
            </m:oMathPara>
          </w:p>
        </w:tc>
        <w:tc>
          <w:tcPr>
            <w:tcW w:type="dxa" w:w="504"/>
            <w:vAlign w:val="center"/>
          </w:tcPr>
          <w:p>
            <w:pPr>
              <w:spacing w:after="0"/>
              <w:jc w:val="right"/>
              <w:keepNext/>
            </w:pPr>
            <w:r>
              <w:rPr>
                <w:rFonts w:ascii="Times New Roman" w:hAnsi="Times New Roman"/>
                <w:sz w:val="20"/>
              </w:rPr>
              <w:t>(3.14)</w:t>
            </w:r>
          </w:p>
        </w:tc>
      </w:tr>
    </w:tbl>
    <w:p>
      <w:pPr>
        <w:spacing w:line="276" w:lineRule="auto"/>
        <w:ind w:left="504" w:right="504"/>
        <w:keepNext/>
      </w:pPr>
      <w:r>
        <w:rPr>
          <w:i/>
        </w:rPr>
        <w:t xml:space="preserve">where </w:t>
      </w:r>
      <w:r>
        <w:t>tᵢₖ is municipality i's score on component k.</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rPr>
                        <m:sty m:val="p"/>
                      </m:rPr>
                      <m:t>VariancePercent</m:t>
                    </m:r>
                  </m:e>
                  <m:sub>
                    <m:r>
                      <m:t>k</m:t>
                    </m:r>
                  </m:sub>
                </m:sSub>
                <m:r>
                  <m:rPr>
                    <m:sty m:val="p"/>
                  </m:rPr>
                  <m:t>=</m:t>
                </m:r>
                <m:r>
                  <m:t>100</m:t>
                </m:r>
                <m:r>
                  <m:t> </m:t>
                </m:r>
                <m:f>
                  <m:fPr>
                    <m:type m:val="bar"/>
                  </m:fPr>
                  <m:num>
                    <m:sSub>
                      <m:e>
                        <m:r>
                          <m:t>λ</m:t>
                        </m:r>
                      </m:e>
                      <m:sub>
                        <m:r>
                          <m:t>k</m:t>
                        </m:r>
                      </m:sub>
                    </m:sSub>
                  </m:num>
                  <m:den>
                    <m:nary>
                      <m:naryPr>
                        <m:chr m:val="∑"/>
                        <m:limLoc m:val="undOvr"/>
                        <m:subHide m:val="off"/>
                        <m:supHide m:val="off"/>
                      </m:naryPr>
                      <m:sub>
                        <m:r>
                          <m:t>j</m:t>
                        </m:r>
                        <m:r>
                          <m:rPr>
                            <m:sty m:val="p"/>
                          </m:rPr>
                          <m:t>=</m:t>
                        </m:r>
                        <m:r>
                          <m:t>1</m:t>
                        </m:r>
                      </m:sub>
                      <m:sup>
                        <m:r>
                          <m:t>p</m:t>
                        </m:r>
                      </m:sup>
                      <m:e>
                        <m:sSub>
                          <m:e>
                            <m:r>
                              <m:t>λ</m:t>
                            </m:r>
                          </m:e>
                          <m:sub>
                            <m:r>
                              <m:t>j</m:t>
                            </m:r>
                          </m:sub>
                        </m:sSub>
                      </m:e>
                    </m:nary>
                  </m:den>
                </m:f>
              </m:oMath>
            </m:oMathPara>
          </w:p>
        </w:tc>
        <w:tc>
          <w:tcPr>
            <w:tcW w:type="dxa" w:w="504"/>
            <w:vAlign w:val="center"/>
          </w:tcPr>
          <w:p>
            <w:pPr>
              <w:spacing w:after="0"/>
              <w:jc w:val="right"/>
              <w:keepNext/>
            </w:pPr>
            <w:r>
              <w:rPr>
                <w:rFonts w:ascii="Times New Roman" w:hAnsi="Times New Roman"/>
                <w:sz w:val="20"/>
              </w:rPr>
              <w:t>(3.15)</w:t>
            </w:r>
          </w:p>
        </w:tc>
      </w:tr>
    </w:tbl>
    <w:p>
      <w:pPr>
        <w:spacing w:line="276" w:lineRule="auto"/>
        <w:ind w:left="504" w:right="504"/>
        <w:keepNext/>
      </w:pPr>
      <w:r>
        <w:rPr>
          <w:i/>
        </w:rPr>
        <w:t xml:space="preserve">where </w:t>
      </w:r>
      <w:r>
        <w:t>the denominator is total standardised variance.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rPr>
                        <m:sty m:val="p"/>
                      </m:rPr>
                      <m:t>Loading</m:t>
                    </m:r>
                  </m:e>
                  <m:sub>
                    <m:r>
                      <m:t>j</m:t>
                    </m:r>
                    <m:r>
                      <m:t>k</m:t>
                    </m:r>
                  </m:sub>
                </m:sSub>
                <m:r>
                  <m:rPr>
                    <m:sty m:val="p"/>
                  </m:rPr>
                  <m:t>=</m:t>
                </m:r>
                <m:sSub>
                  <m:e>
                    <m:r>
                      <m:t>v</m:t>
                    </m:r>
                  </m:e>
                  <m:sub>
                    <m:r>
                      <m:t>j</m:t>
                    </m:r>
                    <m:r>
                      <m:t>k</m:t>
                    </m:r>
                  </m:sub>
                </m:sSub>
                <m:rad>
                  <m:radPr>
                    <m:degHide m:val="on"/>
                  </m:radPr>
                  <m:deg/>
                  <m:e>
                    <m:sSub>
                      <m:e>
                        <m:r>
                          <m:t>λ</m:t>
                        </m:r>
                      </m:e>
                      <m:sub>
                        <m:r>
                          <m:t>k</m:t>
                        </m:r>
                      </m:sub>
                    </m:sSub>
                  </m:e>
                </m:rad>
              </m:oMath>
            </m:oMathPara>
          </w:p>
        </w:tc>
        <w:tc>
          <w:tcPr>
            <w:tcW w:type="dxa" w:w="504"/>
            <w:vAlign w:val="center"/>
          </w:tcPr>
          <w:p>
            <w:pPr>
              <w:spacing w:after="0"/>
              <w:jc w:val="right"/>
              <w:keepNext/>
            </w:pPr>
            <w:r>
              <w:rPr>
                <w:rFonts w:ascii="Times New Roman" w:hAnsi="Times New Roman"/>
                <w:sz w:val="20"/>
              </w:rPr>
              <w:t>(3.16)</w:t>
            </w:r>
          </w:p>
        </w:tc>
      </w:tr>
    </w:tbl>
    <w:p>
      <w:pPr>
        <w:spacing w:line="276" w:lineRule="auto"/>
        <w:ind w:left="504" w:right="504"/>
      </w:pPr>
      <w:r>
        <w:rPr>
          <w:i/>
        </w:rPr>
        <w:t xml:space="preserve">where </w:t>
      </w:r>
      <w:r>
        <w:t>the plotted loading is the indicator-component correlation, matching rotation multiplied by component standard deviation in the script.</w:t>
      </w:r>
    </w:p>
    <w:p>
      <w:pPr>
        <w:keepNext/>
      </w:pPr>
      <w:r>
        <w:t>Retention combined the scree pattern, the Kaiser eigenvalue-above-one rule, and parallel analysis (Horn, 1965). Each indicator was independently permuted 1,000 times, breaking cross-variable association while preserving marginal distributions. Seed 20260912 was fixed.</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Sup>
                  <m:e>
                    <m:r>
                      <m:t>λ</m:t>
                    </m:r>
                  </m:e>
                  <m:sub>
                    <m:r>
                      <m:t>k</m:t>
                    </m:r>
                  </m:sub>
                  <m:sup>
                    <m:r>
                      <m:rPr>
                        <m:sty m:val="p"/>
                      </m:rPr>
                      <m:t>o</m:t>
                    </m:r>
                    <m:r>
                      <m:rPr>
                        <m:sty m:val="p"/>
                      </m:rPr>
                      <m:t>b</m:t>
                    </m:r>
                    <m:r>
                      <m:rPr>
                        <m:sty m:val="p"/>
                      </m:rPr>
                      <m:t>s</m:t>
                    </m:r>
                  </m:sup>
                </m:sSubSup>
                <m:r>
                  <m:rPr>
                    <m:sty m:val="p"/>
                  </m:rPr>
                  <m:t>&gt;</m:t>
                </m:r>
                <m:sSub>
                  <m:e>
                    <m:r>
                      <m:t>Q</m:t>
                    </m:r>
                  </m:e>
                  <m:sub>
                    <m:r>
                      <m:t>0.95</m:t>
                    </m:r>
                  </m:sub>
                </m:sSub>
                <m:r>
                  <m:t>​</m:t>
                </m:r>
                <m:d>
                  <m:dPr>
                    <m:begChr m:val="("/>
                    <m:endChr m:val=")"/>
                    <m:sepChr m:val=""/>
                    <m:grow/>
                  </m:dPr>
                  <m:e>
                    <m:sSubSup>
                      <m:e>
                        <m:r>
                          <m:t>λ</m:t>
                        </m:r>
                      </m:e>
                      <m:sub>
                        <m:r>
                          <m:t>k</m:t>
                        </m:r>
                      </m:sub>
                      <m:sup>
                        <m:r>
                          <m:rPr>
                            <m:sty m:val="p"/>
                          </m:rPr>
                          <m:t>p</m:t>
                        </m:r>
                        <m:r>
                          <m:rPr>
                            <m:sty m:val="p"/>
                          </m:rPr>
                          <m:t>e</m:t>
                        </m:r>
                        <m:r>
                          <m:rPr>
                            <m:sty m:val="p"/>
                          </m:rPr>
                          <m:t>r</m:t>
                        </m:r>
                        <m:r>
                          <m:rPr>
                            <m:sty m:val="p"/>
                          </m:rPr>
                          <m:t>m</m:t>
                        </m:r>
                      </m:sup>
                    </m:sSubSup>
                  </m:e>
                </m:d>
              </m:oMath>
            </m:oMathPara>
          </w:p>
        </w:tc>
        <w:tc>
          <w:tcPr>
            <w:tcW w:type="dxa" w:w="504"/>
            <w:vAlign w:val="center"/>
          </w:tcPr>
          <w:p>
            <w:pPr>
              <w:spacing w:after="0"/>
              <w:jc w:val="right"/>
              <w:keepNext/>
            </w:pPr>
            <w:r>
              <w:rPr>
                <w:rFonts w:ascii="Times New Roman" w:hAnsi="Times New Roman"/>
                <w:sz w:val="20"/>
              </w:rPr>
              <w:t>(3.17)</w:t>
            </w:r>
          </w:p>
        </w:tc>
      </w:tr>
    </w:tbl>
    <w:p>
      <w:pPr>
        <w:spacing w:line="276" w:lineRule="auto"/>
        <w:ind w:left="504" w:right="504"/>
      </w:pPr>
      <w:r>
        <w:rPr>
          <w:i/>
        </w:rPr>
        <w:t xml:space="preserve">where </w:t>
      </w:r>
      <w:r>
        <w:t>a component is retained when its observed eigenvalue exceeds the empirical 95th percentile of the corresponding random eigenvalue from B = 1,000 permutations.</w:t>
      </w:r>
    </w:p>
    <w:p>
      <w:pPr>
        <w:pStyle w:val="Heading2"/>
        <w:keepNext/>
      </w:pPr>
      <w:r>
        <w:t>3.8 Cluster Analysis</w:t>
      </w:r>
    </w:p>
    <w:p>
      <w:pPr>
        <w:keepNext/>
      </w:pPr>
      <w:r>
        <w:t>K-means used all five z-standardised indicators, not only retained PCA components (Lloyd, 1982). Candidate values from one to ten clusters were evaluated with within-cluster sum of squares; two to ten were evaluated with average silhouette width (Rousseeuw, 1987). Two- and four-cluster solutions were then compared. Four clusters were retained because they produced distinct, useful profiles and much greater explained between-cluster variance while preserving a silhouette close to the two-cluster alternative. This is a transparent typology decision, not proof of a uniquely true partition.</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d</m:t>
                </m:r>
                <m:d>
                  <m:dPr>
                    <m:begChr m:val="("/>
                    <m:endChr m:val=")"/>
                    <m:sepChr m:val=""/>
                    <m:grow/>
                  </m:dPr>
                  <m:e>
                    <m:r>
                      <m:t>i</m:t>
                    </m:r>
                    <m:r>
                      <m:rPr>
                        <m:sty m:val="p"/>
                      </m:rPr>
                      <m:t>,</m:t>
                    </m:r>
                    <m:r>
                      <m:t>l</m:t>
                    </m:r>
                  </m:e>
                </m:d>
                <m:r>
                  <m:rPr>
                    <m:sty m:val="p"/>
                  </m:rPr>
                  <m:t>=</m:t>
                </m:r>
                <m:rad>
                  <m:radPr>
                    <m:degHide m:val="on"/>
                  </m:radPr>
                  <m:deg/>
                  <m:e>
                    <m:nary>
                      <m:naryPr>
                        <m:chr m:val="∑"/>
                        <m:limLoc m:val="undOvr"/>
                        <m:subHide m:val="off"/>
                        <m:supHide m:val="off"/>
                      </m:naryPr>
                      <m:sub>
                        <m:r>
                          <m:t>j</m:t>
                        </m:r>
                        <m:r>
                          <m:rPr>
                            <m:sty m:val="p"/>
                          </m:rPr>
                          <m:t>=</m:t>
                        </m:r>
                        <m:r>
                          <m:t>1</m:t>
                        </m:r>
                      </m:sub>
                      <m:sup>
                        <m:r>
                          <m:t>p</m:t>
                        </m:r>
                      </m:sup>
                      <m:e>
                        <m:sSup>
                          <m:e>
                            <m:d>
                              <m:dPr>
                                <m:begChr m:val="("/>
                                <m:endChr m:val=")"/>
                                <m:sepChr m:val=""/>
                                <m:grow/>
                              </m:dPr>
                              <m:e>
                                <m:sSub>
                                  <m:e>
                                    <m:r>
                                      <m:t>z</m:t>
                                    </m:r>
                                  </m:e>
                                  <m:sub>
                                    <m:r>
                                      <m:t>i</m:t>
                                    </m:r>
                                    <m:r>
                                      <m:t>j</m:t>
                                    </m:r>
                                  </m:sub>
                                </m:sSub>
                                <m:r>
                                  <m:rPr>
                                    <m:sty m:val="p"/>
                                  </m:rPr>
                                  <m:t>−</m:t>
                                </m:r>
                                <m:sSub>
                                  <m:e>
                                    <m:r>
                                      <m:t>z</m:t>
                                    </m:r>
                                  </m:e>
                                  <m:sub>
                                    <m:r>
                                      <m:t>l</m:t>
                                    </m:r>
                                    <m:r>
                                      <m:t>j</m:t>
                                    </m:r>
                                  </m:sub>
                                </m:sSub>
                              </m:e>
                            </m:d>
                          </m:e>
                          <m:sup>
                            <m:r>
                              <m:t>2</m:t>
                            </m:r>
                          </m:sup>
                        </m:sSup>
                      </m:e>
                    </m:nary>
                  </m:e>
                </m:rad>
              </m:oMath>
            </m:oMathPara>
          </w:p>
        </w:tc>
        <w:tc>
          <w:tcPr>
            <w:tcW w:type="dxa" w:w="504"/>
            <w:vAlign w:val="center"/>
          </w:tcPr>
          <w:p>
            <w:pPr>
              <w:spacing w:after="0"/>
              <w:jc w:val="right"/>
              <w:keepNext/>
            </w:pPr>
            <w:r>
              <w:rPr>
                <w:rFonts w:ascii="Times New Roman" w:hAnsi="Times New Roman"/>
                <w:sz w:val="20"/>
              </w:rPr>
              <w:t>(3.18)</w:t>
            </w:r>
          </w:p>
        </w:tc>
      </w:tr>
    </w:tbl>
    <w:p>
      <w:pPr>
        <w:spacing w:line="276" w:lineRule="auto"/>
        <w:ind w:left="504" w:right="504"/>
        <w:keepNext/>
      </w:pPr>
      <w:r>
        <w:rPr>
          <w:i/>
        </w:rPr>
        <w:t xml:space="preserve">where </w:t>
      </w:r>
      <w:r>
        <w:t>d(i,l) is Euclidean distance between municipalities i and l.</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p"/>
                  </m:rPr>
                  <m:t>WCSS</m:t>
                </m:r>
                <m:d>
                  <m:dPr>
                    <m:begChr m:val="("/>
                    <m:endChr m:val=")"/>
                    <m:sepChr m:val=""/>
                    <m:grow/>
                  </m:dPr>
                  <m:e>
                    <m:r>
                      <m:t>K</m:t>
                    </m:r>
                  </m:e>
                </m:d>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r>
                          <m:t>i</m:t>
                        </m:r>
                        <m:r>
                          <m:rPr>
                            <m:sty m:val="p"/>
                          </m:rPr>
                          <m:t>∈</m:t>
                        </m:r>
                        <m:sSub>
                          <m:e>
                            <m:r>
                              <m:t>C</m:t>
                            </m:r>
                          </m:e>
                          <m:sub>
                            <m:r>
                              <m:t>k</m:t>
                            </m:r>
                          </m:sub>
                        </m:sSub>
                      </m:sub>
                      <m:sup>
                        <m:r>
                          <m:t>​</m:t>
                        </m:r>
                      </m:sup>
                      <m:e>
                        <m:r>
                          <m:rPr>
                            <m:sty m:val="p"/>
                          </m:rPr>
                          <m:t>∥</m:t>
                        </m:r>
                      </m:e>
                    </m:nary>
                  </m:e>
                </m:nary>
                <m:sSub>
                  <m:e>
                    <m:r>
                      <m:rPr>
                        <m:sty m:val="b"/>
                      </m:rPr>
                      <m:t>z</m:t>
                    </m:r>
                  </m:e>
                  <m:sub>
                    <m:r>
                      <m:t>i</m:t>
                    </m:r>
                  </m:sub>
                </m:sSub>
                <m:r>
                  <m:rPr>
                    <m:sty m:val="p"/>
                  </m:rPr>
                  <m:t>−</m:t>
                </m:r>
                <m:sSub>
                  <m:e>
                    <m:r>
                      <m:rPr>
                        <m:sty m:val="b"/>
                      </m:rPr>
                      <m:t>μ</m:t>
                    </m:r>
                  </m:e>
                  <m:sub>
                    <m:r>
                      <m:t>k</m:t>
                    </m:r>
                  </m:sub>
                </m:sSub>
                <m:sSup>
                  <m:e>
                    <m:r>
                      <m:rPr>
                        <m:sty m:val="p"/>
                      </m:rPr>
                      <m:t>∥</m:t>
                    </m:r>
                  </m:e>
                  <m:sup>
                    <m:r>
                      <m:t>2</m:t>
                    </m:r>
                  </m:sup>
                </m:sSup>
              </m:oMath>
            </m:oMathPara>
          </w:p>
        </w:tc>
        <w:tc>
          <w:tcPr>
            <w:tcW w:type="dxa" w:w="504"/>
            <w:vAlign w:val="center"/>
          </w:tcPr>
          <w:p>
            <w:pPr>
              <w:spacing w:after="0"/>
              <w:jc w:val="right"/>
              <w:keepNext/>
            </w:pPr>
            <w:r>
              <w:rPr>
                <w:rFonts w:ascii="Times New Roman" w:hAnsi="Times New Roman"/>
                <w:sz w:val="20"/>
              </w:rPr>
              <w:t>(3.19)</w:t>
            </w:r>
          </w:p>
        </w:tc>
      </w:tr>
    </w:tbl>
    <w:p>
      <w:pPr>
        <w:spacing w:line="276" w:lineRule="auto"/>
        <w:ind w:left="504" w:right="504"/>
        <w:keepNext/>
      </w:pPr>
      <w:r>
        <w:rPr>
          <w:i/>
        </w:rPr>
        <w:t xml:space="preserve">where </w:t>
      </w:r>
      <w:r>
        <w:t>Cₖ is cluster k and μₖ its centroid; k-means minimises this objective.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s</m:t>
                </m:r>
                <m:d>
                  <m:dPr>
                    <m:begChr m:val="("/>
                    <m:endChr m:val=")"/>
                    <m:sepChr m:val=""/>
                    <m:grow/>
                  </m:dPr>
                  <m:e>
                    <m:r>
                      <m:t>i</m:t>
                    </m:r>
                  </m:e>
                </m:d>
                <m:r>
                  <m:rPr>
                    <m:sty m:val="p"/>
                  </m:rPr>
                  <m:t>=</m:t>
                </m:r>
                <m:f>
                  <m:fPr>
                    <m:type m:val="bar"/>
                  </m:fPr>
                  <m:num>
                    <m:r>
                      <m:t>b</m:t>
                    </m:r>
                    <m:d>
                      <m:dPr>
                        <m:begChr m:val="("/>
                        <m:endChr m:val=")"/>
                        <m:sepChr m:val=""/>
                        <m:grow/>
                      </m:dPr>
                      <m:e>
                        <m:r>
                          <m:t>i</m:t>
                        </m:r>
                      </m:e>
                    </m:d>
                    <m:r>
                      <m:rPr>
                        <m:sty m:val="p"/>
                      </m:rPr>
                      <m:t>−</m:t>
                    </m:r>
                    <m:r>
                      <m:t>a</m:t>
                    </m:r>
                    <m:d>
                      <m:dPr>
                        <m:begChr m:val="("/>
                        <m:endChr m:val=")"/>
                        <m:sepChr m:val=""/>
                        <m:grow/>
                      </m:dPr>
                      <m:e>
                        <m:r>
                          <m:t>i</m:t>
                        </m:r>
                      </m:e>
                    </m:d>
                  </m:num>
                  <m:den>
                    <m:r>
                      <m:rPr>
                        <m:sty m:val="p"/>
                      </m:rPr>
                      <m:t>max</m:t>
                    </m:r>
                    <m:r>
                      <m:rPr>
                        <m:sty m:val="p"/>
                      </m:rPr>
                      <m:t>{</m:t>
                    </m:r>
                    <m:r>
                      <m:t>a</m:t>
                    </m:r>
                    <m:d>
                      <m:dPr>
                        <m:begChr m:val="("/>
                        <m:endChr m:val=")"/>
                        <m:sepChr m:val=""/>
                        <m:grow/>
                      </m:dPr>
                      <m:e>
                        <m:r>
                          <m:t>i</m:t>
                        </m:r>
                      </m:e>
                    </m:d>
                    <m:r>
                      <m:rPr>
                        <m:sty m:val="p"/>
                      </m:rPr>
                      <m:t>,</m:t>
                    </m:r>
                    <m:r>
                      <m:t>b</m:t>
                    </m:r>
                    <m:d>
                      <m:dPr>
                        <m:begChr m:val="("/>
                        <m:endChr m:val=")"/>
                        <m:sepChr m:val=""/>
                        <m:grow/>
                      </m:dPr>
                      <m:e>
                        <m:r>
                          <m:t>i</m:t>
                        </m:r>
                      </m:e>
                    </m:d>
                    <m:r>
                      <m:rPr>
                        <m:sty m:val="p"/>
                      </m:rPr>
                      <m:t>}</m:t>
                    </m:r>
                  </m:den>
                </m:f>
              </m:oMath>
            </m:oMathPara>
          </w:p>
        </w:tc>
        <w:tc>
          <w:tcPr>
            <w:tcW w:type="dxa" w:w="504"/>
            <w:vAlign w:val="center"/>
          </w:tcPr>
          <w:p>
            <w:pPr>
              <w:spacing w:after="0"/>
              <w:jc w:val="right"/>
              <w:keepNext/>
            </w:pPr>
            <w:r>
              <w:rPr>
                <w:rFonts w:ascii="Times New Roman" w:hAnsi="Times New Roman"/>
                <w:sz w:val="20"/>
              </w:rPr>
              <w:t>(3.20)</w:t>
            </w:r>
          </w:p>
        </w:tc>
      </w:tr>
    </w:tbl>
    <w:p>
      <w:pPr>
        <w:spacing w:line="276" w:lineRule="auto"/>
        <w:ind w:left="504" w:right="504"/>
      </w:pPr>
      <w:r>
        <w:rPr>
          <w:i/>
        </w:rPr>
        <w:t xml:space="preserve">where </w:t>
      </w:r>
      <w:r>
        <w:t>a(i) is mean within-cluster dissimilarity and b(i) the smallest mean dissimilarity to another cluster.</w:t>
      </w:r>
    </w:p>
    <w:p>
      <w:pPr>
        <w:keepNext/>
      </w:pPr>
      <w:r>
        <w:br w:type="page"/>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E</m:t>
                </m:r>
                <m:sSub>
                  <m:e>
                    <m:r>
                      <m:t>V</m:t>
                    </m:r>
                  </m:e>
                  <m:sub>
                    <m:r>
                      <m:t>K</m:t>
                    </m:r>
                  </m:sub>
                </m:sSub>
                <m:r>
                  <m:rPr>
                    <m:sty m:val="p"/>
                  </m:rPr>
                  <m:t>=</m:t>
                </m:r>
                <m:r>
                  <m:t>100</m:t>
                </m:r>
                <m:d>
                  <m:dPr>
                    <m:begChr m:val="("/>
                    <m:endChr m:val=")"/>
                    <m:sepChr m:val=""/>
                    <m:grow/>
                  </m:dPr>
                  <m:e>
                    <m:r>
                      <m:t>1</m:t>
                    </m:r>
                    <m:r>
                      <m:rPr>
                        <m:sty m:val="p"/>
                      </m:rPr>
                      <m:t>−</m:t>
                    </m:r>
                    <m:f>
                      <m:fPr>
                        <m:type m:val="bar"/>
                      </m:fPr>
                      <m:num>
                        <m:sSub>
                          <m:e>
                            <m:r>
                              <m:rPr>
                                <m:sty m:val="p"/>
                              </m:rPr>
                              <m:t>W</m:t>
                            </m:r>
                            <m:r>
                              <m:rPr>
                                <m:sty m:val="p"/>
                              </m:rPr>
                              <m:t>C</m:t>
                            </m:r>
                            <m:r>
                              <m:rPr>
                                <m:sty m:val="p"/>
                              </m:rPr>
                              <m:t>S</m:t>
                            </m:r>
                            <m:r>
                              <m:rPr>
                                <m:sty m:val="p"/>
                              </m:rPr>
                              <m:t>S</m:t>
                            </m:r>
                          </m:e>
                          <m:sub>
                            <m:r>
                              <m:t>K</m:t>
                            </m:r>
                          </m:sub>
                        </m:sSub>
                      </m:num>
                      <m:den>
                        <m:r>
                          <m:rPr>
                            <m:sty m:val="p"/>
                          </m:rPr>
                          <m:t>T</m:t>
                        </m:r>
                        <m:r>
                          <m:rPr>
                            <m:sty m:val="p"/>
                          </m:rPr>
                          <m:t>S</m:t>
                        </m:r>
                        <m:r>
                          <m:rPr>
                            <m:sty m:val="p"/>
                          </m:rPr>
                          <m:t>S</m:t>
                        </m:r>
                      </m:den>
                    </m:f>
                  </m:e>
                </m:d>
              </m:oMath>
            </m:oMathPara>
          </w:p>
        </w:tc>
        <w:tc>
          <w:tcPr>
            <w:tcW w:type="dxa" w:w="504"/>
            <w:vAlign w:val="center"/>
          </w:tcPr>
          <w:p>
            <w:pPr>
              <w:spacing w:after="0"/>
              <w:jc w:val="right"/>
              <w:keepNext/>
            </w:pPr>
            <w:r>
              <w:rPr>
                <w:rFonts w:ascii="Times New Roman" w:hAnsi="Times New Roman"/>
                <w:sz w:val="20"/>
              </w:rPr>
              <w:t>(3.21)</w:t>
            </w:r>
          </w:p>
        </w:tc>
      </w:tr>
    </w:tbl>
    <w:p>
      <w:pPr>
        <w:spacing w:line="276" w:lineRule="auto"/>
        <w:ind w:left="504" w:right="504"/>
      </w:pPr>
      <w:r>
        <w:rPr>
          <w:i/>
        </w:rPr>
        <w:t xml:space="preserve">where </w:t>
      </w:r>
      <w:r>
        <w:t>EVₖ is the variance explained by the K-cluster solution, equivalent to 100 × BSSₖ ÷ TSS; BSS is between-cluster sum of squares and TSS total sum of squares.</w:t>
      </w:r>
    </w:p>
    <w:p>
      <w:r>
        <w:t>The candidate sweep used 50 random starts, 100 maximum iterations, and seed 2026. Final two- and four-cluster models used 100 starts. Profiles were reported as standardised centroids and original-unit means and medians. Names were assigned after profile inspection and are descriptive, not externally validated classes.</w:t>
      </w:r>
    </w:p>
    <w:p>
      <w:pPr>
        <w:pStyle w:val="Heading3"/>
        <w:keepNext/>
      </w:pPr>
      <w:r>
        <w:t>3.8.1 Bootstrap Cluster Stability</w:t>
      </w:r>
    </w:p>
    <w:p>
      <w:pPr>
        <w:keepNext/>
      </w:pPr>
      <w:r>
        <w:t>The four-cluster solution was assessed using 500 nonparametric bootstrap samples with fpc clusterboot and 50 k-means runs. Mean Jaccard values of at least 0.85 were classified highly stable, 0.75 to below 0.85 stable, 0.60 to below 0.75 weak, and below 0.60 unstable (Hennig, 2007). Seed 20260912 was fixed.</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J</m:t>
                </m:r>
                <m:d>
                  <m:dPr>
                    <m:begChr m:val="("/>
                    <m:endChr m:val=")"/>
                    <m:sepChr m:val=""/>
                    <m:grow/>
                  </m:dPr>
                  <m:e>
                    <m:r>
                      <m:t>A</m:t>
                    </m:r>
                    <m:r>
                      <m:rPr>
                        <m:sty m:val="p"/>
                      </m:rPr>
                      <m:t>,</m:t>
                    </m:r>
                    <m:r>
                      <m:t>B</m:t>
                    </m:r>
                  </m:e>
                </m:d>
                <m:r>
                  <m:rPr>
                    <m:sty m:val="p"/>
                  </m:rPr>
                  <m:t>=</m:t>
                </m:r>
                <m:f>
                  <m:fPr>
                    <m:type m:val="bar"/>
                  </m:fPr>
                  <m:num>
                    <m:d>
                      <m:dPr>
                        <m:begChr m:val="|"/>
                        <m:endChr m:val="|"/>
                        <m:sepChr m:val=""/>
                        <m:grow/>
                      </m:dPr>
                      <m:e>
                        <m:r>
                          <m:t>A</m:t>
                        </m:r>
                        <m:r>
                          <m:rPr>
                            <m:sty m:val="p"/>
                          </m:rPr>
                          <m:t>∩</m:t>
                        </m:r>
                        <m:r>
                          <m:t>B</m:t>
                        </m:r>
                      </m:e>
                    </m:d>
                  </m:num>
                  <m:den>
                    <m:d>
                      <m:dPr>
                        <m:begChr m:val="|"/>
                        <m:endChr m:val="|"/>
                        <m:sepChr m:val=""/>
                        <m:grow/>
                      </m:dPr>
                      <m:e>
                        <m:r>
                          <m:t>A</m:t>
                        </m:r>
                        <m:r>
                          <m:rPr>
                            <m:sty m:val="p"/>
                          </m:rPr>
                          <m:t>∪</m:t>
                        </m:r>
                        <m:r>
                          <m:t>B</m:t>
                        </m:r>
                      </m:e>
                    </m:d>
                  </m:den>
                </m:f>
              </m:oMath>
            </m:oMathPara>
          </w:p>
        </w:tc>
        <w:tc>
          <w:tcPr>
            <w:tcW w:type="dxa" w:w="504"/>
            <w:vAlign w:val="center"/>
          </w:tcPr>
          <w:p>
            <w:pPr>
              <w:spacing w:after="0"/>
              <w:jc w:val="right"/>
              <w:keepNext/>
            </w:pPr>
            <w:r>
              <w:rPr>
                <w:rFonts w:ascii="Times New Roman" w:hAnsi="Times New Roman"/>
                <w:sz w:val="20"/>
              </w:rPr>
              <w:t>(3.22)</w:t>
            </w:r>
          </w:p>
        </w:tc>
      </w:tr>
    </w:tbl>
    <w:p>
      <w:pPr>
        <w:spacing w:line="276" w:lineRule="auto"/>
        <w:ind w:left="504" w:right="504"/>
        <w:keepNext/>
      </w:pPr>
      <w:r>
        <w:rPr>
          <w:i/>
        </w:rPr>
        <w:t xml:space="preserve">where </w:t>
      </w:r>
      <w:r>
        <w:t>A is an original cluster and B its best-matching bootstrap cluster.</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acc>
                      <m:accPr>
                        <m:chr m:val="‾"/>
                      </m:accPr>
                      <m:e>
                        <m:r>
                          <m:t>J</m:t>
                        </m:r>
                      </m:e>
                    </m:acc>
                  </m:e>
                  <m:sub>
                    <m:r>
                      <m:t>k</m:t>
                    </m:r>
                  </m:sub>
                </m:sSub>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t>J</m:t>
                    </m:r>
                  </m:e>
                </m:nary>
                <m:r>
                  <m:t>​</m:t>
                </m:r>
                <m:d>
                  <m:dPr>
                    <m:begChr m:val="("/>
                    <m:endChr m:val=")"/>
                    <m:sepChr m:val=""/>
                    <m:grow/>
                  </m:dPr>
                  <m:e>
                    <m:sSub>
                      <m:e>
                        <m:r>
                          <m:t>C</m:t>
                        </m:r>
                      </m:e>
                      <m:sub>
                        <m:r>
                          <m:t>k</m:t>
                        </m:r>
                      </m:sub>
                    </m:sSub>
                    <m:r>
                      <m:rPr>
                        <m:sty m:val="p"/>
                      </m:rPr>
                      <m:t>,</m:t>
                    </m:r>
                    <m:sSubSup>
                      <m:e>
                        <m:r>
                          <m:t>C</m:t>
                        </m:r>
                      </m:e>
                      <m:sub>
                        <m:r>
                          <m:t>k</m:t>
                        </m:r>
                      </m:sub>
                      <m:sup>
                        <m:d>
                          <m:dPr>
                            <m:begChr m:val="("/>
                            <m:endChr m:val=")"/>
                            <m:sepChr m:val=""/>
                            <m:grow/>
                          </m:dPr>
                          <m:e>
                            <m:r>
                              <m:t>b</m:t>
                            </m:r>
                          </m:e>
                        </m:d>
                      </m:sup>
                    </m:sSubSup>
                  </m:e>
                </m:d>
                <m:r>
                  <m:rPr>
                    <m:sty m:val="p"/>
                  </m:rPr>
                  <m:t>,</m:t>
                </m:r>
                <m:r>
                  <m:t>  </m:t>
                </m:r>
                <m:r>
                  <m:t>B</m:t>
                </m:r>
                <m:r>
                  <m:rPr>
                    <m:sty m:val="p"/>
                  </m:rPr>
                  <m:t>=</m:t>
                </m:r>
                <m:r>
                  <m:t>500</m:t>
                </m:r>
              </m:oMath>
            </m:oMathPara>
          </w:p>
        </w:tc>
        <w:tc>
          <w:tcPr>
            <w:tcW w:type="dxa" w:w="504"/>
            <w:vAlign w:val="center"/>
          </w:tcPr>
          <w:p>
            <w:pPr>
              <w:spacing w:after="0"/>
              <w:jc w:val="right"/>
              <w:keepNext/>
            </w:pPr>
            <w:r>
              <w:rPr>
                <w:rFonts w:ascii="Times New Roman" w:hAnsi="Times New Roman"/>
                <w:sz w:val="20"/>
              </w:rPr>
              <w:t>(3.23)</w:t>
            </w:r>
          </w:p>
        </w:tc>
      </w:tr>
    </w:tbl>
    <w:p>
      <w:pPr>
        <w:spacing w:line="276" w:lineRule="auto"/>
        <w:ind w:left="504" w:right="504"/>
      </w:pPr>
      <w:r>
        <w:rPr>
          <w:i/>
        </w:rPr>
        <w:t xml:space="preserve">where </w:t>
      </w:r>
      <w:r>
        <w:t>J̄ₖ is cluster k's mean bootstrap stability.</w:t>
      </w:r>
    </w:p>
    <w:p>
      <w:pPr>
        <w:pStyle w:val="Heading2"/>
        <w:keepNext/>
      </w:pPr>
      <w:r>
        <w:t>3.9 Multiple Linear Regression</w:t>
      </w:r>
    </w:p>
    <w:p>
      <w:pPr>
        <w:keepNext/>
      </w:pPr>
      <w:r>
        <w:t>Heat exposure was the continuous outcome. Predictors were canopy percentage, drought depth, flood exposure, and heavy-rain exposure. Original units were retained, so slopes represent expected percentage-point differences in heat associated with one-unit predictor differences, holding the other predictors constant.</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H</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4</m:t>
                    </m:r>
                  </m:sup>
                  <m:e>
                    <m:sSub>
                      <m:e>
                        <m:r>
                          <m:t>β</m:t>
                        </m:r>
                      </m:e>
                      <m:sub>
                        <m:r>
                          <m:t>j</m:t>
                        </m:r>
                      </m:sub>
                    </m:sSub>
                  </m:e>
                </m:nary>
                <m:sSub>
                  <m:e>
                    <m:r>
                      <m:t>X</m:t>
                    </m:r>
                  </m:e>
                  <m:sub>
                    <m:r>
                      <m:t>i</m:t>
                    </m:r>
                    <m:r>
                      <m:t>j</m:t>
                    </m:r>
                  </m:sub>
                </m:sSub>
                <m:r>
                  <m:rPr>
                    <m:sty m:val="p"/>
                  </m:rPr>
                  <m:t>+</m:t>
                </m:r>
                <m:sSub>
                  <m:e>
                    <m:r>
                      <m:t>ε</m:t>
                    </m:r>
                  </m:e>
                  <m:sub>
                    <m:r>
                      <m:t>i</m:t>
                    </m:r>
                  </m:sub>
                </m:sSub>
              </m:oMath>
            </m:oMathPara>
          </w:p>
        </w:tc>
        <w:tc>
          <w:tcPr>
            <w:tcW w:type="dxa" w:w="504"/>
            <w:vAlign w:val="center"/>
          </w:tcPr>
          <w:p>
            <w:pPr>
              <w:spacing w:after="0"/>
              <w:jc w:val="right"/>
              <w:keepNext/>
            </w:pPr>
            <w:r>
              <w:rPr>
                <w:rFonts w:ascii="Times New Roman" w:hAnsi="Times New Roman"/>
                <w:sz w:val="20"/>
              </w:rPr>
              <w:t>(3.24)</w:t>
            </w:r>
          </w:p>
        </w:tc>
      </w:tr>
    </w:tbl>
    <w:p>
      <w:pPr>
        <w:spacing w:line="276" w:lineRule="auto"/>
        <w:ind w:left="504" w:right="504"/>
        <w:keepNext/>
      </w:pPr>
      <w:r>
        <w:rPr>
          <w:i/>
        </w:rPr>
        <w:t xml:space="preserve">where </w:t>
      </w:r>
      <w:r>
        <w:t>H is heat exposure; X contains canopy percentage, drought depth, flood exposure, and heavy-rain exposure; β terms are partial coefficients and ε is the error.</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acc>
                  <m:accPr>
                    <m:chr m:val="̂"/>
                  </m:accPr>
                  <m:e>
                    <m:r>
                      <m:rPr>
                        <m:sty m:val="b"/>
                      </m:rPr>
                      <m:t>β</m:t>
                    </m:r>
                  </m:e>
                </m:acc>
                <m:r>
                  <m:rPr>
                    <m:sty m:val="p"/>
                  </m:rPr>
                  <m:t>=</m:t>
                </m:r>
                <m:sSup>
                  <m:e>
                    <m:d>
                      <m:dPr>
                        <m:begChr m:val="("/>
                        <m:endChr m:val=")"/>
                        <m:sepChr m:val=""/>
                        <m:grow/>
                      </m:dPr>
                      <m:e>
                        <m:sSup>
                          <m:e>
                            <m:r>
                              <m:rPr>
                                <m:sty m:val="b"/>
                              </m:rPr>
                              <m:t>X</m:t>
                            </m:r>
                          </m:e>
                          <m:sup>
                            <m:r>
                              <m:rPr>
                                <m:sty m:val="p"/>
                                <m:scr m:val="sans-serif"/>
                              </m:rPr>
                              <m:t>T</m:t>
                            </m:r>
                          </m:sup>
                        </m:sSup>
                        <m:r>
                          <m:rPr>
                            <m:sty m:val="b"/>
                          </m:rPr>
                          <m:t>X</m:t>
                        </m:r>
                      </m:e>
                    </m:d>
                  </m:e>
                  <m:sup>
                    <m:r>
                      <m:rPr>
                        <m:sty m:val="p"/>
                      </m:rPr>
                      <m:t>−</m:t>
                    </m:r>
                    <m:r>
                      <m:t>1</m:t>
                    </m:r>
                  </m:sup>
                </m:sSup>
                <m:sSup>
                  <m:e>
                    <m:r>
                      <m:rPr>
                        <m:sty m:val="b"/>
                      </m:rPr>
                      <m:t>X</m:t>
                    </m:r>
                  </m:e>
                  <m:sup>
                    <m:r>
                      <m:rPr>
                        <m:sty m:val="p"/>
                        <m:scr m:val="sans-serif"/>
                      </m:rPr>
                      <m:t>T</m:t>
                    </m:r>
                  </m:sup>
                </m:sSup>
                <m:r>
                  <m:rPr>
                    <m:sty m:val="b"/>
                  </m:rPr>
                  <m:t>y</m:t>
                </m:r>
              </m:oMath>
            </m:oMathPara>
          </w:p>
        </w:tc>
        <w:tc>
          <w:tcPr>
            <w:tcW w:type="dxa" w:w="504"/>
            <w:vAlign w:val="center"/>
          </w:tcPr>
          <w:p>
            <w:pPr>
              <w:spacing w:after="0"/>
              <w:jc w:val="right"/>
              <w:keepNext/>
            </w:pPr>
            <w:r>
              <w:rPr>
                <w:rFonts w:ascii="Times New Roman" w:hAnsi="Times New Roman"/>
                <w:sz w:val="20"/>
              </w:rPr>
              <w:t>(3.25)</w:t>
            </w:r>
          </w:p>
        </w:tc>
      </w:tr>
    </w:tbl>
    <w:p>
      <w:pPr>
        <w:spacing w:line="276" w:lineRule="auto"/>
        <w:ind w:left="504" w:right="504"/>
        <w:keepNext/>
      </w:pPr>
      <w:r>
        <w:rPr>
          <w:i/>
        </w:rPr>
        <w:t xml:space="preserve">where </w:t>
      </w:r>
      <w:r>
        <w:t>X contains the intercept and predictors, y is heat exposure, and β̂ is the OLS estimate.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acc>
                      <m:accPr>
                        <m:chr m:val="̂"/>
                      </m:accPr>
                      <m:e>
                        <m:r>
                          <m:t>y</m:t>
                        </m:r>
                      </m:e>
                    </m:acc>
                  </m:e>
                  <m:sub>
                    <m:r>
                      <m:t>i</m:t>
                    </m:r>
                  </m:sub>
                </m:sSub>
                <m:r>
                  <m:rPr>
                    <m:sty m:val="p"/>
                  </m:rPr>
                  <m:t>=</m:t>
                </m:r>
                <m:sSubSup>
                  <m:e>
                    <m:r>
                      <m:rPr>
                        <m:sty m:val="b"/>
                      </m:rPr>
                      <m:t>x</m:t>
                    </m:r>
                  </m:e>
                  <m:sub>
                    <m:r>
                      <m:t>i</m:t>
                    </m:r>
                  </m:sub>
                  <m:sup>
                    <m:r>
                      <m:rPr>
                        <m:sty m:val="p"/>
                        <m:scr m:val="sans-serif"/>
                      </m:rPr>
                      <m:t>T</m:t>
                    </m:r>
                  </m:sup>
                </m:sSubSup>
                <m:acc>
                  <m:accPr>
                    <m:chr m:val="̂"/>
                  </m:accPr>
                  <m:e>
                    <m:r>
                      <m:rPr>
                        <m:sty m:val="b"/>
                      </m:rPr>
                      <m:t>β</m:t>
                    </m:r>
                  </m:e>
                </m:acc>
                <m:r>
                  <m:rPr>
                    <m:sty m:val="p"/>
                  </m:rPr>
                  <m:t>,</m:t>
                </m:r>
                <m:r>
                  <m:t>  </m:t>
                </m:r>
                <m:sSub>
                  <m:e>
                    <m:r>
                      <m:t>e</m:t>
                    </m:r>
                  </m:e>
                  <m:sub>
                    <m:r>
                      <m:t>i</m:t>
                    </m:r>
                  </m:sub>
                </m:sSub>
                <m:r>
                  <m:rPr>
                    <m:sty m:val="p"/>
                  </m:rPr>
                  <m:t>=</m:t>
                </m:r>
                <m:sSub>
                  <m:e>
                    <m:r>
                      <m:t>y</m:t>
                    </m:r>
                  </m:e>
                  <m:sub>
                    <m:r>
                      <m:t>i</m:t>
                    </m:r>
                  </m:sub>
                </m:sSub>
                <m:r>
                  <m:rPr>
                    <m:sty m:val="p"/>
                  </m:rPr>
                  <m:t>−</m:t>
                </m:r>
                <m:sSub>
                  <m:e>
                    <m:acc>
                      <m:accPr>
                        <m:chr m:val="̂"/>
                      </m:accPr>
                      <m:e>
                        <m:r>
                          <m:t>y</m:t>
                        </m:r>
                      </m:e>
                    </m:acc>
                  </m:e>
                  <m:sub>
                    <m:r>
                      <m:t>i</m:t>
                    </m:r>
                  </m:sub>
                </m:sSub>
              </m:oMath>
            </m:oMathPara>
          </w:p>
        </w:tc>
        <w:tc>
          <w:tcPr>
            <w:tcW w:type="dxa" w:w="504"/>
            <w:vAlign w:val="center"/>
          </w:tcPr>
          <w:p>
            <w:pPr>
              <w:spacing w:after="0"/>
              <w:jc w:val="right"/>
              <w:keepNext/>
            </w:pPr>
            <w:r>
              <w:rPr>
                <w:rFonts w:ascii="Times New Roman" w:hAnsi="Times New Roman"/>
                <w:sz w:val="20"/>
              </w:rPr>
              <w:t>(3.26)</w:t>
            </w:r>
          </w:p>
        </w:tc>
      </w:tr>
    </w:tbl>
    <w:p>
      <w:pPr>
        <w:spacing w:line="276" w:lineRule="auto"/>
        <w:ind w:left="504" w:right="504"/>
        <w:keepNext/>
      </w:pPr>
      <w:r>
        <w:rPr>
          <w:i/>
        </w:rPr>
        <w:t xml:space="preserve">where </w:t>
      </w:r>
      <w:r>
        <w:t>ŷᵢ is fitted heat and eᵢ the residual.</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p>
                  <m:e>
                    <m:r>
                      <m:t>R</m:t>
                    </m:r>
                  </m:e>
                  <m:sup>
                    <m:r>
                      <m:t>2</m:t>
                    </m:r>
                  </m:sup>
                </m:sSup>
                <m:r>
                  <m:rPr>
                    <m:sty m:val="p"/>
                  </m:rPr>
                  <m:t>=</m:t>
                </m:r>
                <m:r>
                  <m:t>1</m:t>
                </m:r>
                <m:r>
                  <m:rPr>
                    <m:sty m:val="p"/>
                  </m:rPr>
                  <m:t>−</m:t>
                </m:r>
                <m:f>
                  <m:fPr>
                    <m:type m:val="bar"/>
                  </m:fPr>
                  <m:num>
                    <m:r>
                      <m:rPr>
                        <m:sty m:val="p"/>
                      </m:rPr>
                      <m:t>S</m:t>
                    </m:r>
                    <m:r>
                      <m:rPr>
                        <m:sty m:val="p"/>
                      </m:rPr>
                      <m:t>S</m:t>
                    </m:r>
                    <m:r>
                      <m:rPr>
                        <m:sty m:val="p"/>
                      </m:rPr>
                      <m:t>E</m:t>
                    </m:r>
                  </m:num>
                  <m:den>
                    <m:r>
                      <m:rPr>
                        <m:sty m:val="p"/>
                      </m:rPr>
                      <m:t>S</m:t>
                    </m:r>
                    <m:r>
                      <m:rPr>
                        <m:sty m:val="p"/>
                      </m:rPr>
                      <m:t>S</m:t>
                    </m:r>
                    <m:r>
                      <m:rPr>
                        <m:sty m:val="p"/>
                      </m:rPr>
                      <m:t>T</m:t>
                    </m:r>
                  </m:den>
                </m:f>
              </m:oMath>
            </m:oMathPara>
          </w:p>
        </w:tc>
        <w:tc>
          <w:tcPr>
            <w:tcW w:type="dxa" w:w="504"/>
            <w:vAlign w:val="center"/>
          </w:tcPr>
          <w:p>
            <w:pPr>
              <w:spacing w:after="0"/>
              <w:jc w:val="right"/>
              <w:keepNext/>
            </w:pPr>
            <w:r>
              <w:rPr>
                <w:rFonts w:ascii="Times New Roman" w:hAnsi="Times New Roman"/>
                <w:sz w:val="20"/>
              </w:rPr>
              <w:t>(3.27)</w:t>
            </w:r>
          </w:p>
        </w:tc>
      </w:tr>
    </w:tbl>
    <w:p>
      <w:pPr>
        <w:spacing w:line="276" w:lineRule="auto"/>
        <w:ind w:left="504" w:right="504"/>
        <w:keepNext/>
      </w:pPr>
      <w:r>
        <w:rPr>
          <w:i/>
        </w:rPr>
        <w:t xml:space="preserve">where </w:t>
      </w:r>
      <w:r>
        <w:t>SSE equals the residual sum of squares and SST the total sum of squares.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p>
                  <m:e>
                    <m:acc>
                      <m:accPr>
                        <m:chr m:val="‾"/>
                      </m:accPr>
                      <m:e>
                        <m:r>
                          <m:t>R</m:t>
                        </m:r>
                      </m:e>
                    </m:acc>
                  </m:e>
                  <m:sup>
                    <m:r>
                      <m:t> </m:t>
                    </m:r>
                    <m:r>
                      <m:t>2</m:t>
                    </m:r>
                  </m:sup>
                </m:sSup>
                <m:r>
                  <m:rPr>
                    <m:sty m:val="p"/>
                  </m:rPr>
                  <m:t>=</m:t>
                </m:r>
                <m:r>
                  <m:t>1</m:t>
                </m:r>
                <m:r>
                  <m:rPr>
                    <m:sty m:val="p"/>
                  </m:rPr>
                  <m:t>−</m:t>
                </m:r>
                <m:d>
                  <m:dPr>
                    <m:begChr m:val="("/>
                    <m:endChr m:val=")"/>
                    <m:sepChr m:val=""/>
                    <m:grow/>
                  </m:dPr>
                  <m:e>
                    <m:r>
                      <m:t>1</m:t>
                    </m:r>
                    <m:r>
                      <m:rPr>
                        <m:sty m:val="p"/>
                      </m:rPr>
                      <m:t>−</m:t>
                    </m:r>
                    <m:sSup>
                      <m:e>
                        <m:r>
                          <m:t>R</m:t>
                        </m:r>
                      </m:e>
                      <m:sup>
                        <m:r>
                          <m:t>2</m:t>
                        </m:r>
                      </m:sup>
                    </m:sSup>
                  </m:e>
                </m:d>
                <m:f>
                  <m:fPr>
                    <m:type m:val="bar"/>
                  </m:fPr>
                  <m:num>
                    <m:r>
                      <m:t>n</m:t>
                    </m:r>
                    <m:r>
                      <m:rPr>
                        <m:sty m:val="p"/>
                      </m:rPr>
                      <m:t>−</m:t>
                    </m:r>
                    <m:r>
                      <m:t>1</m:t>
                    </m:r>
                  </m:num>
                  <m:den>
                    <m:r>
                      <m:t>n</m:t>
                    </m:r>
                    <m:r>
                      <m:rPr>
                        <m:sty m:val="p"/>
                      </m:rPr>
                      <m:t>−</m:t>
                    </m:r>
                    <m:r>
                      <m:t>q</m:t>
                    </m:r>
                    <m:r>
                      <m:rPr>
                        <m:sty m:val="p"/>
                      </m:rPr>
                      <m:t>−</m:t>
                    </m:r>
                    <m:r>
                      <m:t>1</m:t>
                    </m:r>
                  </m:den>
                </m:f>
              </m:oMath>
            </m:oMathPara>
          </w:p>
        </w:tc>
        <w:tc>
          <w:tcPr>
            <w:tcW w:type="dxa" w:w="504"/>
            <w:vAlign w:val="center"/>
          </w:tcPr>
          <w:p>
            <w:pPr>
              <w:spacing w:after="0"/>
              <w:jc w:val="right"/>
              <w:keepNext/>
            </w:pPr>
            <w:r>
              <w:rPr>
                <w:rFonts w:ascii="Times New Roman" w:hAnsi="Times New Roman"/>
                <w:sz w:val="20"/>
              </w:rPr>
              <w:t>(3.28)</w:t>
            </w:r>
          </w:p>
        </w:tc>
      </w:tr>
    </w:tbl>
    <w:p>
      <w:pPr>
        <w:spacing w:line="276" w:lineRule="auto"/>
        <w:ind w:left="504" w:right="504"/>
        <w:keepNext/>
      </w:pPr>
      <w:r>
        <w:rPr>
          <w:i/>
        </w:rPr>
        <w:t xml:space="preserve">where </w:t>
      </w:r>
      <w:r>
        <w:t>q equals four predictors and n equals 337.</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p"/>
                  </m:rPr>
                  <m:t>R</m:t>
                </m:r>
                <m:r>
                  <m:rPr>
                    <m:sty m:val="p"/>
                  </m:rPr>
                  <m:t>S</m:t>
                </m:r>
                <m:r>
                  <m:rPr>
                    <m:sty m:val="p"/>
                  </m:rPr>
                  <m:t>E</m:t>
                </m:r>
                <m:r>
                  <m:rPr>
                    <m:sty m:val="p"/>
                  </m:rPr>
                  <m:t>=</m:t>
                </m:r>
                <m:rad>
                  <m:radPr>
                    <m:degHide m:val="on"/>
                  </m:radPr>
                  <m:deg/>
                  <m:e>
                    <m:f>
                      <m:fPr>
                        <m:type m:val="bar"/>
                      </m:fPr>
                      <m:num>
                        <m:r>
                          <m:rPr>
                            <m:sty m:val="p"/>
                          </m:rPr>
                          <m:t>S</m:t>
                        </m:r>
                        <m:r>
                          <m:rPr>
                            <m:sty m:val="p"/>
                          </m:rPr>
                          <m:t>S</m:t>
                        </m:r>
                        <m:r>
                          <m:rPr>
                            <m:sty m:val="p"/>
                          </m:rPr>
                          <m:t>E</m:t>
                        </m:r>
                      </m:num>
                      <m:den>
                        <m:r>
                          <m:t>n</m:t>
                        </m:r>
                        <m:r>
                          <m:rPr>
                            <m:sty m:val="p"/>
                          </m:rPr>
                          <m:t>−</m:t>
                        </m:r>
                        <m:r>
                          <m:t>q</m:t>
                        </m:r>
                        <m:r>
                          <m:rPr>
                            <m:sty m:val="p"/>
                          </m:rPr>
                          <m:t>−</m:t>
                        </m:r>
                        <m:r>
                          <m:t>1</m:t>
                        </m:r>
                      </m:den>
                    </m:f>
                  </m:e>
                </m:rad>
              </m:oMath>
            </m:oMathPara>
          </w:p>
        </w:tc>
        <w:tc>
          <w:tcPr>
            <w:tcW w:type="dxa" w:w="504"/>
            <w:vAlign w:val="center"/>
          </w:tcPr>
          <w:p>
            <w:pPr>
              <w:spacing w:after="0"/>
              <w:jc w:val="right"/>
              <w:keepNext/>
            </w:pPr>
            <w:r>
              <w:rPr>
                <w:rFonts w:ascii="Times New Roman" w:hAnsi="Times New Roman"/>
                <w:sz w:val="20"/>
              </w:rPr>
              <w:t>(3.29)</w:t>
            </w:r>
          </w:p>
        </w:tc>
      </w:tr>
    </w:tbl>
    <w:p>
      <w:pPr>
        <w:spacing w:line="276" w:lineRule="auto"/>
        <w:ind w:left="504" w:right="504"/>
        <w:keepNext/>
      </w:pPr>
      <w:r>
        <w:rPr>
          <w:i/>
        </w:rPr>
        <w:t xml:space="preserve">where </w:t>
      </w:r>
      <w:r>
        <w:t>RSE is the residual standard error.</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F</m:t>
                </m:r>
                <m:r>
                  <m:rPr>
                    <m:sty m:val="p"/>
                  </m:rPr>
                  <m:t>=</m:t>
                </m:r>
                <m:f>
                  <m:fPr>
                    <m:type m:val="bar"/>
                  </m:fPr>
                  <m:num>
                    <m:r>
                      <m:rPr>
                        <m:sty m:val="p"/>
                      </m:rPr>
                      <m:t>S</m:t>
                    </m:r>
                    <m:r>
                      <m:rPr>
                        <m:sty m:val="p"/>
                      </m:rPr>
                      <m:t>S</m:t>
                    </m:r>
                    <m:r>
                      <m:rPr>
                        <m:sty m:val="p"/>
                      </m:rPr>
                      <m:t>R</m:t>
                    </m:r>
                    <m:r>
                      <m:rPr>
                        <m:sty m:val="p"/>
                      </m:rPr>
                      <m:t>/</m:t>
                    </m:r>
                    <m:r>
                      <m:t>q</m:t>
                    </m:r>
                  </m:num>
                  <m:den>
                    <m:r>
                      <m:rPr>
                        <m:sty m:val="p"/>
                      </m:rPr>
                      <m:t>S</m:t>
                    </m:r>
                    <m:r>
                      <m:rPr>
                        <m:sty m:val="p"/>
                      </m:rPr>
                      <m:t>S</m:t>
                    </m:r>
                    <m:r>
                      <m:rPr>
                        <m:sty m:val="p"/>
                      </m:rPr>
                      <m:t>E</m:t>
                    </m:r>
                    <m:r>
                      <m:rPr>
                        <m:sty m:val="p"/>
                      </m:rPr>
                      <m:t>/</m:t>
                    </m:r>
                    <m:d>
                      <m:dPr>
                        <m:begChr m:val="("/>
                        <m:endChr m:val=")"/>
                        <m:sepChr m:val=""/>
                        <m:grow/>
                      </m:dPr>
                      <m:e>
                        <m:r>
                          <m:t>n</m:t>
                        </m:r>
                        <m:r>
                          <m:rPr>
                            <m:sty m:val="p"/>
                          </m:rPr>
                          <m:t>−</m:t>
                        </m:r>
                        <m:r>
                          <m:t>q</m:t>
                        </m:r>
                        <m:r>
                          <m:rPr>
                            <m:sty m:val="p"/>
                          </m:rPr>
                          <m:t>−</m:t>
                        </m:r>
                        <m:r>
                          <m:t>1</m:t>
                        </m:r>
                      </m:e>
                    </m:d>
                  </m:den>
                </m:f>
              </m:oMath>
            </m:oMathPara>
          </w:p>
        </w:tc>
        <w:tc>
          <w:tcPr>
            <w:tcW w:type="dxa" w:w="504"/>
            <w:vAlign w:val="center"/>
          </w:tcPr>
          <w:p>
            <w:pPr>
              <w:spacing w:after="0"/>
              <w:jc w:val="right"/>
              <w:keepNext/>
            </w:pPr>
            <w:r>
              <w:rPr>
                <w:rFonts w:ascii="Times New Roman" w:hAnsi="Times New Roman"/>
                <w:sz w:val="20"/>
              </w:rPr>
              <w:t>(3.30)</w:t>
            </w:r>
          </w:p>
        </w:tc>
      </w:tr>
    </w:tbl>
    <w:p>
      <w:pPr>
        <w:spacing w:line="276" w:lineRule="auto"/>
        <w:ind w:left="504" w:right="504"/>
        <w:keepNext/>
      </w:pPr>
      <w:r>
        <w:rPr>
          <w:i/>
        </w:rPr>
        <w:t xml:space="preserve">where </w:t>
      </w:r>
      <w:r>
        <w:t>the omnibus F test evaluates whether all slopes equal zero.</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p"/>
                  </m:rPr>
                  <m:t>A</m:t>
                </m:r>
                <m:r>
                  <m:rPr>
                    <m:sty m:val="p"/>
                  </m:rPr>
                  <m:t>I</m:t>
                </m:r>
                <m:r>
                  <m:rPr>
                    <m:sty m:val="p"/>
                  </m:rPr>
                  <m:t>C</m:t>
                </m:r>
                <m:r>
                  <m:rPr>
                    <m:sty m:val="p"/>
                  </m:rPr>
                  <m:t>=</m:t>
                </m:r>
                <m:r>
                  <m:rPr>
                    <m:sty m:val="p"/>
                  </m:rPr>
                  <m:t>−</m:t>
                </m:r>
                <m:r>
                  <m:t>2</m:t>
                </m:r>
                <m:r>
                  <m:rPr>
                    <m:sty m:val="p"/>
                  </m:rPr>
                  <m:t>log</m:t>
                </m:r>
                <m:r>
                  <m:t>L</m:t>
                </m:r>
                <m:r>
                  <m:rPr>
                    <m:sty m:val="p"/>
                  </m:rPr>
                  <m:t>+</m:t>
                </m:r>
                <m:r>
                  <m:t>2</m:t>
                </m:r>
                <m:r>
                  <m:t>k</m:t>
                </m:r>
              </m:oMath>
            </m:oMathPara>
          </w:p>
        </w:tc>
        <w:tc>
          <w:tcPr>
            <w:tcW w:type="dxa" w:w="504"/>
            <w:vAlign w:val="center"/>
          </w:tcPr>
          <w:p>
            <w:pPr>
              <w:spacing w:after="0"/>
              <w:jc w:val="right"/>
              <w:keepNext/>
            </w:pPr>
            <w:r>
              <w:rPr>
                <w:rFonts w:ascii="Times New Roman" w:hAnsi="Times New Roman"/>
                <w:sz w:val="20"/>
              </w:rPr>
              <w:t>(3.31)</w:t>
            </w:r>
          </w:p>
        </w:tc>
      </w:tr>
    </w:tbl>
    <w:p>
      <w:pPr>
        <w:spacing w:line="276" w:lineRule="auto"/>
        <w:ind w:left="504" w:right="504"/>
      </w:pPr>
      <w:r>
        <w:rPr>
          <w:i/>
        </w:rPr>
        <w:t xml:space="preserve">where </w:t>
      </w:r>
      <w:r>
        <w:t>L is maximised likelihood and k is the number of estimated parameters; lower AIC is preferred for models on the same sample.</w:t>
      </w:r>
    </w:p>
    <w:p>
      <w:pPr>
        <w:pStyle w:val="Heading3"/>
        <w:keepNext/>
      </w:pPr>
      <w:r>
        <w:t>3.9.1 Regression Assumptions and Robust Inference</w:t>
      </w:r>
    </w:p>
    <w:p>
      <w:pPr>
        <w:spacing w:before="160" w:after="80"/>
        <w:keepNext/>
      </w:pPr>
      <w:r>
        <w:rPr>
          <w:b/>
          <w:sz w:val="20"/>
        </w:rPr>
        <w:t>Table 3.3 Diagnostics and responses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1800"/>
            <w:tcMar>
              <w:top w:w="90" w:type="dxa"/>
              <w:start w:w="90" w:type="dxa"/>
              <w:bottom w:w="90" w:type="dxa"/>
              <w:end w:w="90" w:type="dxa"/>
            </w:tcMar>
            <w:shd w:fill="17365D"/>
            <w:vAlign w:val="center"/>
          </w:tcPr>
          <w:p>
            <w:pPr>
              <w:pStyle w:val="TableText"/>
              <w:jc w:val="center"/>
              <w:keepNext/>
            </w:pPr>
            <w:r>
              <w:rPr>
                <w:b/>
                <w:color w:val="FFFFFF"/>
              </w:rPr>
              <w:t>Issue</w:t>
            </w:r>
          </w:p>
        </w:tc>
        <w:tc>
          <w:tcPr>
            <w:tcW w:type="dxa" w:w="3672"/>
            <w:tcMar>
              <w:top w:w="90" w:type="dxa"/>
              <w:start w:w="90" w:type="dxa"/>
              <w:bottom w:w="90" w:type="dxa"/>
              <w:end w:w="90" w:type="dxa"/>
            </w:tcMar>
            <w:shd w:fill="17365D"/>
            <w:vAlign w:val="center"/>
          </w:tcPr>
          <w:p>
            <w:pPr>
              <w:pStyle w:val="TableText"/>
              <w:jc w:val="center"/>
              <w:keepNext/>
            </w:pPr>
            <w:r>
              <w:rPr>
                <w:b/>
                <w:color w:val="FFFFFF"/>
              </w:rPr>
              <w:t>Diagnostic</w:t>
            </w:r>
          </w:p>
        </w:tc>
        <w:tc>
          <w:tcPr>
            <w:tcW w:type="dxa" w:w="3888"/>
            <w:tcMar>
              <w:top w:w="90" w:type="dxa"/>
              <w:start w:w="90" w:type="dxa"/>
              <w:bottom w:w="90" w:type="dxa"/>
              <w:end w:w="90" w:type="dxa"/>
            </w:tcMar>
            <w:shd w:fill="17365D"/>
            <w:vAlign w:val="center"/>
          </w:tcPr>
          <w:p>
            <w:pPr>
              <w:pStyle w:val="TableText"/>
              <w:jc w:val="center"/>
              <w:keepNext/>
            </w:pPr>
            <w:r>
              <w:rPr>
                <w:b/>
                <w:color w:val="FFFFFF"/>
              </w:rPr>
              <w:t>Response</w:t>
            </w:r>
          </w:p>
        </w:tc>
      </w:tr>
      <w:tr>
        <w:trPr>
          <w:cantSplit/>
        </w:trPr>
        <w:tc>
          <w:tcPr>
            <w:tcW w:type="dxa" w:w="1800"/>
            <w:tcMar>
              <w:top w:w="90" w:type="dxa"/>
              <w:start w:w="90" w:type="dxa"/>
              <w:bottom w:w="90" w:type="dxa"/>
              <w:end w:w="90" w:type="dxa"/>
            </w:tcMar>
            <w:vAlign w:val="center"/>
          </w:tcPr>
          <w:p>
            <w:pPr>
              <w:pStyle w:val="TableText"/>
            </w:pPr>
            <w:r>
              <w:t>Linearity and specification</w:t>
            </w:r>
          </w:p>
        </w:tc>
        <w:tc>
          <w:tcPr>
            <w:tcW w:type="dxa" w:w="3672"/>
            <w:tcMar>
              <w:top w:w="90" w:type="dxa"/>
              <w:start w:w="90" w:type="dxa"/>
              <w:bottom w:w="90" w:type="dxa"/>
              <w:end w:w="90" w:type="dxa"/>
            </w:tcMar>
            <w:vAlign w:val="center"/>
          </w:tcPr>
          <w:p>
            <w:pPr>
              <w:pStyle w:val="TableText"/>
            </w:pPr>
            <w:r>
              <w:t>Residual plot and Ramsey RESET with centred fitted squared and cubed terms</w:t>
            </w:r>
          </w:p>
        </w:tc>
        <w:tc>
          <w:tcPr>
            <w:tcW w:type="dxa" w:w="3888"/>
            <w:tcMar>
              <w:top w:w="90" w:type="dxa"/>
              <w:start w:w="90" w:type="dxa"/>
              <w:bottom w:w="90" w:type="dxa"/>
              <w:end w:w="90" w:type="dxa"/>
            </w:tcMar>
            <w:vAlign w:val="center"/>
          </w:tcPr>
          <w:p>
            <w:pPr>
              <w:pStyle w:val="TableText"/>
            </w:pPr>
            <w:r>
              <w:t>Report test and inspect smoother</w:t>
            </w:r>
          </w:p>
        </w:tc>
      </w:tr>
      <w:tr>
        <w:trPr>
          <w:cantSplit/>
        </w:trPr>
        <w:tc>
          <w:tcPr>
            <w:tcW w:type="dxa" w:w="1800"/>
            <w:tcMar>
              <w:top w:w="90" w:type="dxa"/>
              <w:start w:w="90" w:type="dxa"/>
              <w:bottom w:w="90" w:type="dxa"/>
              <w:end w:w="90" w:type="dxa"/>
            </w:tcMar>
            <w:vAlign w:val="center"/>
            <w:shd w:fill="F2F6FA"/>
          </w:tcPr>
          <w:p>
            <w:pPr>
              <w:pStyle w:val="TableText"/>
            </w:pPr>
            <w:r>
              <w:t>Residual normality</w:t>
            </w:r>
          </w:p>
        </w:tc>
        <w:tc>
          <w:tcPr>
            <w:tcW w:type="dxa" w:w="3672"/>
            <w:tcMar>
              <w:top w:w="90" w:type="dxa"/>
              <w:start w:w="90" w:type="dxa"/>
              <w:bottom w:w="90" w:type="dxa"/>
              <w:end w:w="90" w:type="dxa"/>
            </w:tcMar>
            <w:vAlign w:val="center"/>
            <w:shd w:fill="F2F6FA"/>
          </w:tcPr>
          <w:p>
            <w:pPr>
              <w:pStyle w:val="TableText"/>
            </w:pPr>
            <w:r>
              <w:t>Normal Q Q plot and Shapiro Wilk</w:t>
            </w:r>
          </w:p>
        </w:tc>
        <w:tc>
          <w:tcPr>
            <w:tcW w:type="dxa" w:w="3888"/>
            <w:tcMar>
              <w:top w:w="90" w:type="dxa"/>
              <w:start w:w="90" w:type="dxa"/>
              <w:bottom w:w="90" w:type="dxa"/>
              <w:end w:w="90" w:type="dxa"/>
            </w:tcMar>
            <w:vAlign w:val="center"/>
            <w:shd w:fill="F2F6FA"/>
          </w:tcPr>
          <w:p>
            <w:pPr>
              <w:pStyle w:val="TableText"/>
            </w:pPr>
            <w:r>
              <w:t>Use robust inference; do not delete cases for nonnormality alone</w:t>
            </w:r>
          </w:p>
        </w:tc>
      </w:tr>
      <w:tr>
        <w:trPr>
          <w:cantSplit/>
        </w:trPr>
        <w:tc>
          <w:tcPr>
            <w:tcW w:type="dxa" w:w="1800"/>
            <w:tcMar>
              <w:top w:w="90" w:type="dxa"/>
              <w:start w:w="90" w:type="dxa"/>
              <w:bottom w:w="90" w:type="dxa"/>
              <w:end w:w="90" w:type="dxa"/>
            </w:tcMar>
            <w:vAlign w:val="center"/>
          </w:tcPr>
          <w:p>
            <w:pPr>
              <w:pStyle w:val="TableText"/>
            </w:pPr>
            <w:r>
              <w:t>Heteroskedasticity</w:t>
            </w:r>
          </w:p>
        </w:tc>
        <w:tc>
          <w:tcPr>
            <w:tcW w:type="dxa" w:w="3672"/>
            <w:tcMar>
              <w:top w:w="90" w:type="dxa"/>
              <w:start w:w="90" w:type="dxa"/>
              <w:bottom w:w="90" w:type="dxa"/>
              <w:end w:w="90" w:type="dxa"/>
            </w:tcMar>
            <w:vAlign w:val="center"/>
          </w:tcPr>
          <w:p>
            <w:pPr>
              <w:pStyle w:val="TableText"/>
            </w:pPr>
            <w:r>
              <w:t>Manual Breusch Pagan statistic</w:t>
            </w:r>
          </w:p>
        </w:tc>
        <w:tc>
          <w:tcPr>
            <w:tcW w:type="dxa" w:w="3888"/>
            <w:tcMar>
              <w:top w:w="90" w:type="dxa"/>
              <w:start w:w="90" w:type="dxa"/>
              <w:bottom w:w="90" w:type="dxa"/>
              <w:end w:w="90" w:type="dxa"/>
            </w:tcMar>
            <w:vAlign w:val="center"/>
          </w:tcPr>
          <w:p>
            <w:pPr>
              <w:pStyle w:val="TableText"/>
            </w:pPr>
            <w:r>
              <w:t>Use HC3 as primary OLS inference</w:t>
            </w:r>
          </w:p>
        </w:tc>
      </w:tr>
      <w:tr>
        <w:trPr>
          <w:cantSplit/>
        </w:trPr>
        <w:tc>
          <w:tcPr>
            <w:tcW w:type="dxa" w:w="1800"/>
            <w:tcMar>
              <w:top w:w="90" w:type="dxa"/>
              <w:start w:w="90" w:type="dxa"/>
              <w:bottom w:w="90" w:type="dxa"/>
              <w:end w:w="90" w:type="dxa"/>
            </w:tcMar>
            <w:vAlign w:val="center"/>
            <w:shd w:fill="F2F6FA"/>
          </w:tcPr>
          <w:p>
            <w:pPr>
              <w:pStyle w:val="TableText"/>
            </w:pPr>
            <w:r>
              <w:t>Multicollinearity</w:t>
            </w:r>
          </w:p>
        </w:tc>
        <w:tc>
          <w:tcPr>
            <w:tcW w:type="dxa" w:w="3672"/>
            <w:tcMar>
              <w:top w:w="90" w:type="dxa"/>
              <w:start w:w="90" w:type="dxa"/>
              <w:bottom w:w="90" w:type="dxa"/>
              <w:end w:w="90" w:type="dxa"/>
            </w:tcMar>
            <w:vAlign w:val="center"/>
            <w:shd w:fill="F2F6FA"/>
          </w:tcPr>
          <w:p>
            <w:pPr>
              <w:pStyle w:val="TableText"/>
            </w:pPr>
            <w:r>
              <w:t>Variance inflation factors</w:t>
            </w:r>
          </w:p>
        </w:tc>
        <w:tc>
          <w:tcPr>
            <w:tcW w:type="dxa" w:w="3888"/>
            <w:tcMar>
              <w:top w:w="90" w:type="dxa"/>
              <w:start w:w="90" w:type="dxa"/>
              <w:bottom w:w="90" w:type="dxa"/>
              <w:end w:w="90" w:type="dxa"/>
            </w:tcMar>
            <w:vAlign w:val="center"/>
            <w:shd w:fill="F2F6FA"/>
          </w:tcPr>
          <w:p>
            <w:pPr>
              <w:pStyle w:val="TableText"/>
            </w:pPr>
            <w:r>
              <w:t>Diagnose inflation without automatic deletion</w:t>
            </w:r>
          </w:p>
        </w:tc>
      </w:tr>
      <w:tr>
        <w:trPr>
          <w:cantSplit/>
        </w:trPr>
        <w:tc>
          <w:tcPr>
            <w:tcW w:type="dxa" w:w="1800"/>
            <w:tcMar>
              <w:top w:w="90" w:type="dxa"/>
              <w:start w:w="90" w:type="dxa"/>
              <w:bottom w:w="90" w:type="dxa"/>
              <w:end w:w="90" w:type="dxa"/>
            </w:tcMar>
            <w:vAlign w:val="center"/>
          </w:tcPr>
          <w:p>
            <w:pPr>
              <w:pStyle w:val="TableText"/>
            </w:pPr>
            <w:r>
              <w:t>Influence</w:t>
            </w:r>
          </w:p>
        </w:tc>
        <w:tc>
          <w:tcPr>
            <w:tcW w:type="dxa" w:w="3672"/>
            <w:tcMar>
              <w:top w:w="90" w:type="dxa"/>
              <w:start w:w="90" w:type="dxa"/>
              <w:bottom w:w="90" w:type="dxa"/>
              <w:end w:w="90" w:type="dxa"/>
            </w:tcMar>
            <w:vAlign w:val="center"/>
          </w:tcPr>
          <w:p>
            <w:pPr>
              <w:pStyle w:val="TableText"/>
            </w:pPr>
            <w:r>
              <w:t>Cook distance and leverage</w:t>
            </w:r>
          </w:p>
        </w:tc>
        <w:tc>
          <w:tcPr>
            <w:tcW w:type="dxa" w:w="3888"/>
            <w:tcMar>
              <w:top w:w="90" w:type="dxa"/>
              <w:start w:w="90" w:type="dxa"/>
              <w:bottom w:w="90" w:type="dxa"/>
              <w:end w:w="90" w:type="dxa"/>
            </w:tcMar>
            <w:vAlign w:val="center"/>
          </w:tcPr>
          <w:p>
            <w:pPr>
              <w:pStyle w:val="TableText"/>
            </w:pPr>
            <w:r>
              <w:t>Flag D above 4 divided by n and refit as sensitivity</w:t>
            </w:r>
          </w:p>
        </w:tc>
      </w:tr>
      <w:tr>
        <w:trPr>
          <w:cantSplit/>
        </w:trPr>
        <w:tc>
          <w:tcPr>
            <w:tcW w:type="dxa" w:w="1800"/>
            <w:tcMar>
              <w:top w:w="90" w:type="dxa"/>
              <w:start w:w="90" w:type="dxa"/>
              <w:bottom w:w="90" w:type="dxa"/>
              <w:end w:w="90" w:type="dxa"/>
            </w:tcMar>
            <w:vAlign w:val="center"/>
            <w:shd w:fill="F2F6FA"/>
          </w:tcPr>
          <w:p>
            <w:pPr>
              <w:pStyle w:val="TableText"/>
            </w:pPr>
            <w:r>
              <w:t>Spatial independence</w:t>
            </w:r>
          </w:p>
        </w:tc>
        <w:tc>
          <w:tcPr>
            <w:tcW w:type="dxa" w:w="3672"/>
            <w:tcMar>
              <w:top w:w="90" w:type="dxa"/>
              <w:start w:w="90" w:type="dxa"/>
              <w:bottom w:w="90" w:type="dxa"/>
              <w:end w:w="90" w:type="dxa"/>
            </w:tcMar>
            <w:vAlign w:val="center"/>
            <w:shd w:fill="F2F6FA"/>
          </w:tcPr>
          <w:p>
            <w:pPr>
              <w:pStyle w:val="TableText"/>
            </w:pPr>
            <w:r>
              <w:t>Moran I on OLS residuals</w:t>
            </w:r>
          </w:p>
        </w:tc>
        <w:tc>
          <w:tcPr>
            <w:tcW w:type="dxa" w:w="3888"/>
            <w:tcMar>
              <w:top w:w="90" w:type="dxa"/>
              <w:start w:w="90" w:type="dxa"/>
              <w:bottom w:w="90" w:type="dxa"/>
              <w:end w:w="90" w:type="dxa"/>
            </w:tcMar>
            <w:vAlign w:val="center"/>
            <w:shd w:fill="F2F6FA"/>
          </w:tcPr>
          <w:p>
            <w:pPr>
              <w:pStyle w:val="TableText"/>
            </w:pPr>
            <w:r>
              <w:t>Compare spatial lag and error models when significant</w:t>
            </w:r>
          </w:p>
        </w:tc>
      </w:tr>
    </w:tbl>
    <w:p>
      <w:pPr>
        <w:spacing w:after="20"/>
        <w:keepNext/>
      </w:pP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W</m:t>
                </m:r>
                <m:r>
                  <m:rPr>
                    <m:sty m:val="p"/>
                  </m:rPr>
                  <m:t>=</m:t>
                </m:r>
                <m:f>
                  <m:fPr>
                    <m:type m:val="bar"/>
                  </m:fPr>
                  <m:num>
                    <m:sSup>
                      <m:e>
                        <m:d>
                          <m:dPr>
                            <m:begChr m:val="("/>
                            <m:endChr m:val=")"/>
                            <m:sepChr m:val=""/>
                            <m:grow/>
                          </m:dPr>
                          <m:e>
                            <m:nary>
                              <m:naryPr>
                                <m:chr m:val="∑"/>
                                <m:limLoc m:val="undOvr"/>
                                <m:subHide m:val="off"/>
                                <m:supHide m:val="on"/>
                              </m:naryPr>
                              <m:sub>
                                <m:r>
                                  <m:t>i</m:t>
                                </m:r>
                              </m:sub>
                              <m:sup>
                                <m:r>
                                  <m:t>​</m:t>
                                </m:r>
                              </m:sup>
                              <m:e>
                                <m:sSub>
                                  <m:e>
                                    <m:r>
                                      <m:t>a</m:t>
                                    </m:r>
                                  </m:e>
                                  <m:sub>
                                    <m:r>
                                      <m:t>i</m:t>
                                    </m:r>
                                  </m:sub>
                                </m:sSub>
                              </m:e>
                            </m:nary>
                            <m:sSub>
                              <m:e>
                                <m:r>
                                  <m:t>e</m:t>
                                </m:r>
                              </m:e>
                              <m:sub>
                                <m:d>
                                  <m:dPr>
                                    <m:begChr m:val="("/>
                                    <m:endChr m:val=")"/>
                                    <m:sepChr m:val=""/>
                                    <m:grow/>
                                  </m:dPr>
                                  <m:e>
                                    <m:r>
                                      <m:t>i</m:t>
                                    </m:r>
                                  </m:e>
                                </m:d>
                              </m:sub>
                            </m:sSub>
                          </m:e>
                        </m:d>
                      </m:e>
                      <m:sup>
                        <m:r>
                          <m:t>2</m:t>
                        </m:r>
                      </m:sup>
                    </m:sSup>
                  </m:num>
                  <m:den>
                    <m:nary>
                      <m:naryPr>
                        <m:chr m:val="∑"/>
                        <m:limLoc m:val="undOvr"/>
                        <m:subHide m:val="off"/>
                        <m:supHide m:val="on"/>
                      </m:naryPr>
                      <m:sub>
                        <m:r>
                          <m:t>i</m:t>
                        </m:r>
                      </m:sub>
                      <m:sup>
                        <m:r>
                          <m:t>​</m:t>
                        </m:r>
                      </m:sup>
                      <m:e>
                        <m:sSup>
                          <m:e>
                            <m:d>
                              <m:dPr>
                                <m:begChr m:val="("/>
                                <m:endChr m:val=")"/>
                                <m:sepChr m:val=""/>
                                <m:grow/>
                              </m:dPr>
                              <m:e>
                                <m:sSub>
                                  <m:e>
                                    <m:r>
                                      <m:t>e</m:t>
                                    </m:r>
                                  </m:e>
                                  <m:sub>
                                    <m:r>
                                      <m:t>i</m:t>
                                    </m:r>
                                  </m:sub>
                                </m:sSub>
                                <m:r>
                                  <m:rPr>
                                    <m:sty m:val="p"/>
                                  </m:rPr>
                                  <m:t>−</m:t>
                                </m:r>
                                <m:acc>
                                  <m:accPr>
                                    <m:chr m:val="‾"/>
                                  </m:accPr>
                                  <m:e>
                                    <m:r>
                                      <m:t>e</m:t>
                                    </m:r>
                                  </m:e>
                                </m:acc>
                              </m:e>
                            </m:d>
                          </m:e>
                          <m:sup>
                            <m:r>
                              <m:t>2</m:t>
                            </m:r>
                          </m:sup>
                        </m:sSup>
                      </m:e>
                    </m:nary>
                  </m:den>
                </m:f>
              </m:oMath>
            </m:oMathPara>
          </w:p>
        </w:tc>
        <w:tc>
          <w:tcPr>
            <w:tcW w:type="dxa" w:w="504"/>
            <w:vAlign w:val="center"/>
          </w:tcPr>
          <w:p>
            <w:pPr>
              <w:spacing w:after="0"/>
              <w:jc w:val="right"/>
              <w:keepNext/>
            </w:pPr>
            <w:r>
              <w:rPr>
                <w:rFonts w:ascii="Times New Roman" w:hAnsi="Times New Roman"/>
                <w:sz w:val="20"/>
              </w:rPr>
              <w:t>(3.32)</w:t>
            </w:r>
          </w:p>
        </w:tc>
      </w:tr>
    </w:tbl>
    <w:p>
      <w:pPr>
        <w:spacing w:line="276" w:lineRule="auto"/>
        <w:ind w:left="504" w:right="504"/>
        <w:keepNext/>
      </w:pPr>
      <w:r>
        <w:rPr>
          <w:i/>
        </w:rPr>
        <w:t xml:space="preserve">where </w:t>
      </w:r>
      <w:r>
        <w:t>W is Shapiro Wilk; e₍ᵢ₎ are ordered residuals and aᵢ normal-order constants (Shapiro &amp; Wilk, 1965).</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rPr>
                        <m:sty m:val="p"/>
                      </m:rPr>
                      <m:t>L</m:t>
                    </m:r>
                    <m:r>
                      <m:rPr>
                        <m:sty m:val="p"/>
                      </m:rPr>
                      <m:t>M</m:t>
                    </m:r>
                  </m:e>
                  <m:sub>
                    <m:r>
                      <m:rPr>
                        <m:sty m:val="p"/>
                      </m:rPr>
                      <m:t>B</m:t>
                    </m:r>
                    <m:r>
                      <m:rPr>
                        <m:sty m:val="p"/>
                      </m:rPr>
                      <m:t>P</m:t>
                    </m:r>
                  </m:sub>
                </m:sSub>
                <m:r>
                  <m:rPr>
                    <m:sty m:val="p"/>
                  </m:rPr>
                  <m:t>=</m:t>
                </m:r>
                <m:r>
                  <m:t>n</m:t>
                </m:r>
                <m:sSubSup>
                  <m:e>
                    <m:r>
                      <m:t>R</m:t>
                    </m:r>
                  </m:e>
                  <m:sub>
                    <m:r>
                      <m:rPr>
                        <m:sty m:val="p"/>
                      </m:rPr>
                      <m:t>a</m:t>
                    </m:r>
                    <m:r>
                      <m:rPr>
                        <m:sty m:val="p"/>
                      </m:rPr>
                      <m:t>u</m:t>
                    </m:r>
                    <m:r>
                      <m:rPr>
                        <m:sty m:val="p"/>
                      </m:rPr>
                      <m:t>x</m:t>
                    </m:r>
                  </m:sub>
                  <m:sup>
                    <m:r>
                      <m:t>2</m:t>
                    </m:r>
                  </m:sup>
                </m:sSubSup>
                <m:r>
                  <m:t> </m:t>
                </m:r>
                <m:limUpp>
                  <m:e>
                    <m:r>
                      <m:rPr>
                        <m:sty m:val="p"/>
                      </m:rPr>
                      <m:t>∼</m:t>
                    </m:r>
                  </m:e>
                  <m:lim>
                    <m:r>
                      <m:t>a</m:t>
                    </m:r>
                  </m:lim>
                </m:limUpp>
                <m:r>
                  <m:t> </m:t>
                </m:r>
                <m:sSubSup>
                  <m:e>
                    <m:r>
                      <m:t>χ</m:t>
                    </m:r>
                  </m:e>
                  <m:sub>
                    <m:r>
                      <m:t>q</m:t>
                    </m:r>
                  </m:sub>
                  <m:sup>
                    <m:r>
                      <m:t>2</m:t>
                    </m:r>
                  </m:sup>
                </m:sSubSup>
              </m:oMath>
            </m:oMathPara>
          </w:p>
        </w:tc>
        <w:tc>
          <w:tcPr>
            <w:tcW w:type="dxa" w:w="504"/>
            <w:vAlign w:val="center"/>
          </w:tcPr>
          <w:p>
            <w:pPr>
              <w:spacing w:after="0"/>
              <w:jc w:val="right"/>
              <w:keepNext/>
            </w:pPr>
            <w:r>
              <w:rPr>
                <w:rFonts w:ascii="Times New Roman" w:hAnsi="Times New Roman"/>
                <w:sz w:val="20"/>
              </w:rPr>
              <w:t>(3.33)</w:t>
            </w:r>
          </w:p>
        </w:tc>
      </w:tr>
    </w:tbl>
    <w:p>
      <w:pPr>
        <w:spacing w:line="276" w:lineRule="auto"/>
        <w:ind w:left="504" w:right="504"/>
        <w:keepNext/>
      </w:pPr>
      <w:r>
        <w:rPr>
          <w:i/>
        </w:rPr>
        <w:t xml:space="preserve">where </w:t>
      </w:r>
      <w:r>
        <w:t>R²aux comes from regressing squared residuals on the predictors (Breusch &amp; Pagan, 1979).</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rPr>
                        <m:sty m:val="p"/>
                      </m:rPr>
                      <m:t>V</m:t>
                    </m:r>
                    <m:r>
                      <m:rPr>
                        <m:sty m:val="p"/>
                      </m:rPr>
                      <m:t>I</m:t>
                    </m:r>
                    <m:r>
                      <m:rPr>
                        <m:sty m:val="p"/>
                      </m:rPr>
                      <m:t>F</m:t>
                    </m:r>
                  </m:e>
                  <m:sub>
                    <m:r>
                      <m:t>j</m:t>
                    </m:r>
                  </m:sub>
                </m:sSub>
                <m:r>
                  <m:rPr>
                    <m:sty m:val="p"/>
                  </m:rPr>
                  <m:t>=</m:t>
                </m:r>
                <m:f>
                  <m:fPr>
                    <m:type m:val="bar"/>
                  </m:fPr>
                  <m:num>
                    <m:r>
                      <m:t>1</m:t>
                    </m:r>
                  </m:num>
                  <m:den>
                    <m:r>
                      <m:t>1</m:t>
                    </m:r>
                    <m:r>
                      <m:rPr>
                        <m:sty m:val="p"/>
                      </m:rPr>
                      <m:t>−</m:t>
                    </m:r>
                    <m:sSubSup>
                      <m:e>
                        <m:r>
                          <m:t>R</m:t>
                        </m:r>
                      </m:e>
                      <m:sub>
                        <m:r>
                          <m:t>j</m:t>
                        </m:r>
                      </m:sub>
                      <m:sup>
                        <m:r>
                          <m:t>2</m:t>
                        </m:r>
                      </m:sup>
                    </m:sSubSup>
                  </m:den>
                </m:f>
              </m:oMath>
            </m:oMathPara>
          </w:p>
        </w:tc>
        <w:tc>
          <w:tcPr>
            <w:tcW w:type="dxa" w:w="504"/>
            <w:vAlign w:val="center"/>
          </w:tcPr>
          <w:p>
            <w:pPr>
              <w:spacing w:after="0"/>
              <w:jc w:val="right"/>
              <w:keepNext/>
            </w:pPr>
            <w:r>
              <w:rPr>
                <w:rFonts w:ascii="Times New Roman" w:hAnsi="Times New Roman"/>
                <w:sz w:val="20"/>
              </w:rPr>
              <w:t>(3.34)</w:t>
            </w:r>
          </w:p>
        </w:tc>
      </w:tr>
    </w:tbl>
    <w:p>
      <w:pPr>
        <w:spacing w:line="276" w:lineRule="auto"/>
        <w:ind w:left="504" w:right="504"/>
        <w:keepNext/>
      </w:pPr>
      <w:r>
        <w:rPr>
          <w:i/>
        </w:rPr>
        <w:t xml:space="preserve">where </w:t>
      </w:r>
      <w:r>
        <w:t>R²ⱼ comes from regressing predictor j on all other predictors.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D</m:t>
                    </m:r>
                  </m:e>
                  <m:sub>
                    <m:r>
                      <m:t>i</m:t>
                    </m:r>
                  </m:sub>
                </m:sSub>
                <m:r>
                  <m:rPr>
                    <m:sty m:val="p"/>
                  </m:rPr>
                  <m:t>=</m:t>
                </m:r>
                <m:f>
                  <m:fPr>
                    <m:type m:val="bar"/>
                  </m:fPr>
                  <m:num>
                    <m:sSubSup>
                      <m:e>
                        <m:r>
                          <m:t>e</m:t>
                        </m:r>
                      </m:e>
                      <m:sub>
                        <m:r>
                          <m:t>i</m:t>
                        </m:r>
                      </m:sub>
                      <m:sup>
                        <m:r>
                          <m:t>2</m:t>
                        </m:r>
                      </m:sup>
                    </m:sSubSup>
                  </m:num>
                  <m:den>
                    <m:r>
                      <m:t>p</m:t>
                    </m:r>
                    <m:r>
                      <m:t> </m:t>
                    </m:r>
                    <m:r>
                      <m:rPr>
                        <m:sty m:val="p"/>
                      </m:rPr>
                      <m:t>M</m:t>
                    </m:r>
                    <m:r>
                      <m:rPr>
                        <m:sty m:val="p"/>
                      </m:rPr>
                      <m:t>S</m:t>
                    </m:r>
                    <m:r>
                      <m:rPr>
                        <m:sty m:val="p"/>
                      </m:rPr>
                      <m:t>E</m:t>
                    </m:r>
                  </m:den>
                </m:f>
                <m:f>
                  <m:fPr>
                    <m:type m:val="bar"/>
                  </m:fPr>
                  <m:num>
                    <m:sSub>
                      <m:e>
                        <m:r>
                          <m:t>h</m:t>
                        </m:r>
                      </m:e>
                      <m:sub>
                        <m:r>
                          <m:t>i</m:t>
                        </m:r>
                        <m:r>
                          <m:t>i</m:t>
                        </m:r>
                      </m:sub>
                    </m:sSub>
                  </m:num>
                  <m:den>
                    <m:sSup>
                      <m:e>
                        <m:d>
                          <m:dPr>
                            <m:begChr m:val="("/>
                            <m:endChr m:val=")"/>
                            <m:sepChr m:val=""/>
                            <m:grow/>
                          </m:dPr>
                          <m:e>
                            <m:r>
                              <m:t>1</m:t>
                            </m:r>
                            <m:r>
                              <m:rPr>
                                <m:sty m:val="p"/>
                              </m:rPr>
                              <m:t>−</m:t>
                            </m:r>
                            <m:sSub>
                              <m:e>
                                <m:r>
                                  <m:t>h</m:t>
                                </m:r>
                              </m:e>
                              <m:sub>
                                <m:r>
                                  <m:t>i</m:t>
                                </m:r>
                                <m:r>
                                  <m:t>i</m:t>
                                </m:r>
                              </m:sub>
                            </m:sSub>
                          </m:e>
                        </m:d>
                      </m:e>
                      <m:sup>
                        <m:r>
                          <m:t>2</m:t>
                        </m:r>
                      </m:sup>
                    </m:sSup>
                  </m:den>
                </m:f>
              </m:oMath>
            </m:oMathPara>
          </w:p>
        </w:tc>
        <w:tc>
          <w:tcPr>
            <w:tcW w:type="dxa" w:w="504"/>
            <w:vAlign w:val="center"/>
          </w:tcPr>
          <w:p>
            <w:pPr>
              <w:spacing w:after="0"/>
              <w:jc w:val="right"/>
              <w:keepNext/>
            </w:pPr>
            <w:r>
              <w:rPr>
                <w:rFonts w:ascii="Times New Roman" w:hAnsi="Times New Roman"/>
                <w:sz w:val="20"/>
              </w:rPr>
              <w:t>(3.35)</w:t>
            </w:r>
          </w:p>
        </w:tc>
      </w:tr>
    </w:tbl>
    <w:p>
      <w:pPr>
        <w:spacing w:line="276" w:lineRule="auto"/>
        <w:ind w:left="504" w:right="504"/>
        <w:keepNext/>
      </w:pPr>
      <w:r>
        <w:rPr>
          <w:i/>
        </w:rPr>
        <w:t xml:space="preserve">where </w:t>
      </w:r>
      <w:r>
        <w:t>p includes the intercept, hᵢᵢ is leverage, and the screening threshold is 4 divided by n (Cook, 1977).</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y</m:t>
                    </m:r>
                  </m:e>
                  <m:sub>
                    <m:r>
                      <m:t>i</m:t>
                    </m:r>
                  </m:sub>
                </m:sSub>
                <m:r>
                  <m:rPr>
                    <m:sty m:val="p"/>
                  </m:rPr>
                  <m:t>=</m:t>
                </m:r>
                <m:sSubSup>
                  <m:e>
                    <m:r>
                      <m:rPr>
                        <m:sty m:val="b"/>
                      </m:rPr>
                      <m:t>x</m:t>
                    </m:r>
                  </m:e>
                  <m:sub>
                    <m:r>
                      <m:t>i</m:t>
                    </m:r>
                  </m:sub>
                  <m:sup>
                    <m:r>
                      <m:rPr>
                        <m:sty m:val="p"/>
                        <m:scr m:val="sans-serif"/>
                      </m:rPr>
                      <m:t>T</m:t>
                    </m:r>
                  </m:sup>
                </m:sSubSup>
                <m:r>
                  <m:rPr>
                    <m:sty m:val="b"/>
                  </m:rPr>
                  <m:t>β</m:t>
                </m:r>
                <m:r>
                  <m:rPr>
                    <m:sty m:val="p"/>
                  </m:rPr>
                  <m:t>+</m:t>
                </m:r>
                <m:sSub>
                  <m:e>
                    <m:r>
                      <m:t>γ</m:t>
                    </m:r>
                  </m:e>
                  <m:sub>
                    <m:r>
                      <m:t>2</m:t>
                    </m:r>
                  </m:sub>
                </m:sSub>
                <m:sSubSup>
                  <m:e>
                    <m:acc>
                      <m:accPr>
                        <m:chr m:val="̃"/>
                      </m:accPr>
                      <m:e>
                        <m:r>
                          <m:t>y</m:t>
                        </m:r>
                      </m:e>
                    </m:acc>
                  </m:e>
                  <m:sub>
                    <m:r>
                      <m:t>i</m:t>
                    </m:r>
                  </m:sub>
                  <m:sup>
                    <m:r>
                      <m:t>2</m:t>
                    </m:r>
                  </m:sup>
                </m:sSubSup>
                <m:r>
                  <m:rPr>
                    <m:sty m:val="p"/>
                  </m:rPr>
                  <m:t>+</m:t>
                </m:r>
                <m:sSub>
                  <m:e>
                    <m:r>
                      <m:t>γ</m:t>
                    </m:r>
                  </m:e>
                  <m:sub>
                    <m:r>
                      <m:t>3</m:t>
                    </m:r>
                  </m:sub>
                </m:sSub>
                <m:sSubSup>
                  <m:e>
                    <m:acc>
                      <m:accPr>
                        <m:chr m:val="̃"/>
                      </m:accPr>
                      <m:e>
                        <m:r>
                          <m:t>y</m:t>
                        </m:r>
                      </m:e>
                    </m:acc>
                  </m:e>
                  <m:sub>
                    <m:r>
                      <m:t>i</m:t>
                    </m:r>
                  </m:sub>
                  <m:sup>
                    <m:r>
                      <m:t>3</m:t>
                    </m:r>
                  </m:sup>
                </m:sSubSup>
                <m:r>
                  <m:rPr>
                    <m:sty m:val="p"/>
                  </m:rPr>
                  <m:t>+</m:t>
                </m:r>
                <m:sSub>
                  <m:e>
                    <m:r>
                      <m:t>ε</m:t>
                    </m:r>
                  </m:e>
                  <m:sub>
                    <m:r>
                      <m:t>i</m:t>
                    </m:r>
                  </m:sub>
                </m:sSub>
              </m:oMath>
            </m:oMathPara>
          </w:p>
        </w:tc>
        <w:tc>
          <w:tcPr>
            <w:tcW w:type="dxa" w:w="504"/>
            <w:vAlign w:val="center"/>
          </w:tcPr>
          <w:p>
            <w:pPr>
              <w:spacing w:after="0"/>
              <w:jc w:val="right"/>
              <w:keepNext/>
            </w:pPr>
            <w:r>
              <w:rPr>
                <w:rFonts w:ascii="Times New Roman" w:hAnsi="Times New Roman"/>
                <w:sz w:val="20"/>
              </w:rPr>
              <w:t>(3.36)</w:t>
            </w:r>
          </w:p>
        </w:tc>
      </w:tr>
    </w:tbl>
    <w:p>
      <w:pPr>
        <w:spacing w:line="276" w:lineRule="auto"/>
        <w:ind w:left="504" w:right="504"/>
      </w:pPr>
      <w:r>
        <w:rPr>
          <w:i/>
        </w:rPr>
        <w:t xml:space="preserve">where </w:t>
      </w:r>
      <w:r>
        <w:t>xᵢ contains the original predictors, ỹᵢ is the centred fitted value ŷᵢ minus its mean, and a nested F test evaluates the joint null that γ₂ and γ₃ equal zero (Ramsey, 1969).</w:t>
      </w:r>
    </w:p>
    <w:p>
      <w:pPr>
        <w:keepNext/>
      </w:pPr>
      <w:r>
        <w:t>HC3 point estimates equal OLS estimates; the covariance matrix, standard errors, tests, and intervals change (MacKinnon &amp; White, 1985).</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acc>
                      <m:accPr>
                        <m:chr m:val="̂"/>
                      </m:accPr>
                      <m:e>
                        <m:r>
                          <m:rPr>
                            <m:sty m:val="b"/>
                          </m:rPr>
                          <m:t>V</m:t>
                        </m:r>
                      </m:e>
                    </m:acc>
                  </m:e>
                  <m:sub>
                    <m:r>
                      <m:rPr>
                        <m:sty m:val="p"/>
                      </m:rPr>
                      <m:t>H</m:t>
                    </m:r>
                    <m:r>
                      <m:rPr>
                        <m:sty m:val="p"/>
                      </m:rPr>
                      <m:t>C</m:t>
                    </m:r>
                    <m:r>
                      <m:rPr>
                        <m:sty m:val="p"/>
                      </m:rPr>
                      <m:t>3</m:t>
                    </m:r>
                  </m:sub>
                </m:sSub>
                <m:r>
                  <m:rPr>
                    <m:sty m:val="p"/>
                  </m:rPr>
                  <m:t>=</m:t>
                </m:r>
                <m:r>
                  <m:rPr>
                    <m:sty m:val="b"/>
                  </m:rPr>
                  <m:t>A</m:t>
                </m:r>
                <m:sSup>
                  <m:e>
                    <m:r>
                      <m:rPr>
                        <m:sty m:val="b"/>
                      </m:rPr>
                      <m:t>X</m:t>
                    </m:r>
                  </m:e>
                  <m:sup>
                    <m:r>
                      <m:rPr>
                        <m:sty m:val="p"/>
                        <m:scr m:val="sans-serif"/>
                      </m:rPr>
                      <m:t>T</m:t>
                    </m:r>
                  </m:sup>
                </m:sSup>
                <m:sSub>
                  <m:e>
                    <m:r>
                      <m:rPr>
                        <m:sty m:val="b"/>
                      </m:rPr>
                      <m:t>Ω</m:t>
                    </m:r>
                  </m:e>
                  <m:sub>
                    <m:r>
                      <m:rPr>
                        <m:sty m:val="p"/>
                      </m:rPr>
                      <m:t>H</m:t>
                    </m:r>
                    <m:r>
                      <m:rPr>
                        <m:sty m:val="p"/>
                      </m:rPr>
                      <m:t>C</m:t>
                    </m:r>
                    <m:r>
                      <m:rPr>
                        <m:sty m:val="p"/>
                      </m:rPr>
                      <m:t>3</m:t>
                    </m:r>
                  </m:sub>
                </m:sSub>
                <m:r>
                  <m:rPr>
                    <m:sty m:val="b"/>
                  </m:rPr>
                  <m:t>X</m:t>
                </m:r>
                <m:r>
                  <m:rPr>
                    <m:sty m:val="b"/>
                  </m:rPr>
                  <m:t>A</m:t>
                </m:r>
              </m:oMath>
            </m:oMathPara>
          </w:p>
        </w:tc>
        <w:tc>
          <w:tcPr>
            <w:tcW w:type="dxa" w:w="504"/>
            <w:vAlign w:val="center"/>
          </w:tcPr>
          <w:p>
            <w:pPr>
              <w:spacing w:after="0"/>
              <w:jc w:val="right"/>
              <w:keepNext/>
            </w:pPr>
            <w:r>
              <w:rPr>
                <w:rFonts w:ascii="Times New Roman" w:hAnsi="Times New Roman"/>
                <w:sz w:val="20"/>
              </w:rPr>
              <w:t>(3.37)</w:t>
            </w:r>
          </w:p>
        </w:tc>
      </w:tr>
    </w:tbl>
    <w:p>
      <w:pPr>
        <w:spacing w:line="276" w:lineRule="auto"/>
        <w:ind w:left="504" w:right="504"/>
        <w:keepNext/>
      </w:pPr>
      <w:r>
        <w:rPr>
          <w:i/>
        </w:rPr>
        <w:t xml:space="preserve">where </w:t>
      </w:r>
      <w:r>
        <w:t>V̂HC3 is the robust covariance matrix; A = (XᵀX)⁻¹, and ΩHC3 is diagonal with element eᵢ squared divided by one minus hᵢᵢ squared.</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t</m:t>
                    </m:r>
                  </m:e>
                  <m:sub>
                    <m:r>
                      <m:t>j</m:t>
                    </m:r>
                  </m:sub>
                </m:sSub>
                <m:r>
                  <m:rPr>
                    <m:sty m:val="p"/>
                  </m:rPr>
                  <m:t>=</m:t>
                </m:r>
                <m:f>
                  <m:fPr>
                    <m:type m:val="bar"/>
                  </m:fPr>
                  <m:num>
                    <m:sSub>
                      <m:e>
                        <m:acc>
                          <m:accPr>
                            <m:chr m:val="̂"/>
                          </m:accPr>
                          <m:e>
                            <m:r>
                              <m:t>β</m:t>
                            </m:r>
                          </m:e>
                        </m:acc>
                      </m:e>
                      <m:sub>
                        <m:r>
                          <m:t>j</m:t>
                        </m:r>
                      </m:sub>
                    </m:sSub>
                  </m:num>
                  <m:den>
                    <m:sSub>
                      <m:e>
                        <m:r>
                          <m:rPr>
                            <m:sty m:val="p"/>
                          </m:rPr>
                          <m:t>S</m:t>
                        </m:r>
                        <m:r>
                          <m:rPr>
                            <m:sty m:val="p"/>
                          </m:rPr>
                          <m:t>E</m:t>
                        </m:r>
                      </m:e>
                      <m:sub>
                        <m:r>
                          <m:rPr>
                            <m:sty m:val="p"/>
                          </m:rPr>
                          <m:t>H</m:t>
                        </m:r>
                        <m:r>
                          <m:rPr>
                            <m:sty m:val="p"/>
                          </m:rPr>
                          <m:t>C</m:t>
                        </m:r>
                        <m:r>
                          <m:rPr>
                            <m:sty m:val="p"/>
                          </m:rPr>
                          <m:t>3</m:t>
                        </m:r>
                      </m:sub>
                    </m:sSub>
                    <m:d>
                      <m:dPr>
                        <m:begChr m:val="("/>
                        <m:endChr m:val=")"/>
                        <m:sepChr m:val=""/>
                        <m:grow/>
                      </m:dPr>
                      <m:e>
                        <m:sSub>
                          <m:e>
                            <m:acc>
                              <m:accPr>
                                <m:chr m:val="̂"/>
                              </m:accPr>
                              <m:e>
                                <m:r>
                                  <m:t>β</m:t>
                                </m:r>
                              </m:e>
                            </m:acc>
                          </m:e>
                          <m:sub>
                            <m:r>
                              <m:t>j</m:t>
                            </m:r>
                          </m:sub>
                        </m:sSub>
                      </m:e>
                    </m:d>
                  </m:den>
                </m:f>
              </m:oMath>
            </m:oMathPara>
          </w:p>
        </w:tc>
        <w:tc>
          <w:tcPr>
            <w:tcW w:type="dxa" w:w="504"/>
            <w:vAlign w:val="center"/>
          </w:tcPr>
          <w:p>
            <w:pPr>
              <w:spacing w:after="0"/>
              <w:jc w:val="right"/>
              <w:keepNext/>
            </w:pPr>
            <w:r>
              <w:rPr>
                <w:rFonts w:ascii="Times New Roman" w:hAnsi="Times New Roman"/>
                <w:sz w:val="20"/>
              </w:rPr>
              <w:t>(3.38)</w:t>
            </w:r>
          </w:p>
        </w:tc>
      </w:tr>
    </w:tbl>
    <w:p>
      <w:pPr>
        <w:spacing w:line="276" w:lineRule="auto"/>
        <w:ind w:left="504" w:right="504"/>
        <w:keepNext/>
      </w:pPr>
      <w:r>
        <w:rPr>
          <w:i/>
        </w:rPr>
        <w:t xml:space="preserve">where </w:t>
      </w:r>
      <w:r>
        <w:t>two-sided p values use OLS residual degrees of freedom.</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rPr>
                        <m:sty m:val="p"/>
                      </m:rPr>
                      <m:t>C</m:t>
                    </m:r>
                    <m:r>
                      <m:rPr>
                        <m:sty m:val="p"/>
                      </m:rPr>
                      <m:t>I</m:t>
                    </m:r>
                  </m:e>
                  <m:sub>
                    <m:r>
                      <m:t>95</m:t>
                    </m:r>
                    <m:r>
                      <m:rPr>
                        <m:sty m:val="p"/>
                      </m:rPr>
                      <m:t>%</m:t>
                    </m:r>
                  </m:sub>
                </m:sSub>
                <m:r>
                  <m:rPr>
                    <m:sty m:val="p"/>
                  </m:rPr>
                  <m:t>=</m:t>
                </m:r>
                <m:sSub>
                  <m:e>
                    <m:acc>
                      <m:accPr>
                        <m:chr m:val="̂"/>
                      </m:accPr>
                      <m:e>
                        <m:r>
                          <m:t>β</m:t>
                        </m:r>
                      </m:e>
                    </m:acc>
                  </m:e>
                  <m:sub>
                    <m:r>
                      <m:t>j</m:t>
                    </m:r>
                  </m:sub>
                </m:sSub>
                <m:r>
                  <m:rPr>
                    <m:sty m:val="p"/>
                  </m:rPr>
                  <m:t>±</m:t>
                </m:r>
                <m:sSub>
                  <m:e>
                    <m:r>
                      <m:t>t</m:t>
                    </m:r>
                  </m:e>
                  <m:sub>
                    <m:r>
                      <m:t>0.975</m:t>
                    </m:r>
                    <m:r>
                      <m:rPr>
                        <m:sty m:val="p"/>
                      </m:rPr>
                      <m:t>,</m:t>
                    </m:r>
                    <m:r>
                      <m:t> </m:t>
                    </m:r>
                    <m:r>
                      <m:t>d</m:t>
                    </m:r>
                    <m:r>
                      <m:t>f</m:t>
                    </m:r>
                  </m:sub>
                </m:sSub>
                <m:r>
                  <m:t> </m:t>
                </m:r>
                <m:sSub>
                  <m:e>
                    <m:r>
                      <m:rPr>
                        <m:sty m:val="p"/>
                      </m:rPr>
                      <m:t>S</m:t>
                    </m:r>
                    <m:r>
                      <m:rPr>
                        <m:sty m:val="p"/>
                      </m:rPr>
                      <m:t>E</m:t>
                    </m:r>
                  </m:e>
                  <m:sub>
                    <m:r>
                      <m:rPr>
                        <m:sty m:val="p"/>
                      </m:rPr>
                      <m:t>H</m:t>
                    </m:r>
                    <m:r>
                      <m:rPr>
                        <m:sty m:val="p"/>
                      </m:rPr>
                      <m:t>C</m:t>
                    </m:r>
                    <m:r>
                      <m:rPr>
                        <m:sty m:val="p"/>
                      </m:rPr>
                      <m:t>3</m:t>
                    </m:r>
                  </m:sub>
                </m:sSub>
                <m:d>
                  <m:dPr>
                    <m:begChr m:val="("/>
                    <m:endChr m:val=")"/>
                    <m:sepChr m:val=""/>
                    <m:grow/>
                  </m:dPr>
                  <m:e>
                    <m:sSub>
                      <m:e>
                        <m:acc>
                          <m:accPr>
                            <m:chr m:val="̂"/>
                          </m:accPr>
                          <m:e>
                            <m:r>
                              <m:t>β</m:t>
                            </m:r>
                          </m:e>
                        </m:acc>
                      </m:e>
                      <m:sub>
                        <m:r>
                          <m:t>j</m:t>
                        </m:r>
                      </m:sub>
                    </m:sSub>
                  </m:e>
                </m:d>
              </m:oMath>
            </m:oMathPara>
          </w:p>
        </w:tc>
        <w:tc>
          <w:tcPr>
            <w:tcW w:type="dxa" w:w="504"/>
            <w:vAlign w:val="center"/>
          </w:tcPr>
          <w:p>
            <w:pPr>
              <w:spacing w:after="0"/>
              <w:jc w:val="right"/>
              <w:keepNext/>
            </w:pPr>
            <w:r>
              <w:rPr>
                <w:rFonts w:ascii="Times New Roman" w:hAnsi="Times New Roman"/>
                <w:sz w:val="20"/>
              </w:rPr>
              <w:t>(3.39)</w:t>
            </w:r>
          </w:p>
        </w:tc>
      </w:tr>
    </w:tbl>
    <w:p>
      <w:pPr>
        <w:spacing w:line="276" w:lineRule="auto"/>
        <w:ind w:left="504" w:right="504"/>
      </w:pPr>
      <w:r>
        <w:rPr>
          <w:i/>
        </w:rPr>
        <w:t xml:space="preserve">where </w:t>
      </w:r>
      <w:r>
        <w:t>Chapter Four's OLS coefficient plot reports these robust intervals.</w:t>
      </w:r>
    </w:p>
    <w:p>
      <w:pPr>
        <w:pStyle w:val="Heading2"/>
        <w:keepNext/>
      </w:pPr>
      <w:r>
        <w:t>3.10 Spatial Analysis</w:t>
      </w:r>
    </w:p>
    <w:p>
      <w:r>
        <w:t>Complete municipalities were joined to generalised 2024 polygons by code, transformed to EPSG 28992, and made geometrically valid. All spatial regressions used the same outcome, predictors, and observations as OLS.</w:t>
      </w:r>
    </w:p>
    <w:p>
      <w:pPr>
        <w:pStyle w:val="Heading3"/>
        <w:keepNext/>
      </w:pPr>
      <w:r>
        <w:t>3.10.1 Spatial Weights</w:t>
      </w:r>
    </w:p>
    <w:p>
      <w:pPr>
        <w:keepNext/>
      </w:pPr>
      <w:r>
        <w:t>Primary neighbours used first-order queen contiguity: polygons were adjacent if they shared a boundary point or edge. Binary links were row-standardised. Zero policy was enabled, although no islands were observed. The graph contained two connected subgraphs; this topological warning requires cautious national interpretation. Sensitivity analysis used five nearest neighbours based on polygon centroids.</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w</m:t>
                    </m:r>
                  </m:e>
                  <m:sub>
                    <m:r>
                      <m:t>i</m:t>
                    </m:r>
                    <m:r>
                      <m:t>j</m:t>
                    </m:r>
                  </m:sub>
                </m:sSub>
                <m:r>
                  <m:rPr>
                    <m:sty m:val="p"/>
                  </m:rPr>
                  <m:t>=</m:t>
                </m:r>
                <m:r>
                  <m:rPr>
                    <m:sty m:val="p"/>
                    <m:scr m:val="double-struck"/>
                  </m:rPr>
                  <m:t>I</m:t>
                </m:r>
                <m:d>
                  <m:dPr>
                    <m:begChr m:val="("/>
                    <m:endChr m:val=")"/>
                    <m:sepChr m:val=""/>
                    <m:grow/>
                  </m:dPr>
                  <m:e>
                    <m:r>
                      <m:t>i</m:t>
                    </m:r>
                    <m:r>
                      <m:rPr>
                        <m:sty m:val="p"/>
                      </m:rPr>
                      <m:t>∼</m:t>
                    </m:r>
                    <m:r>
                      <m:t>j</m:t>
                    </m:r>
                  </m:e>
                </m:d>
                <m:r>
                  <m:rPr>
                    <m:sty m:val="p"/>
                  </m:rPr>
                  <m:t>,</m:t>
                </m:r>
                <m:r>
                  <m:t>  </m:t>
                </m:r>
                <m:sSub>
                  <m:e>
                    <m:r>
                      <m:t>w</m:t>
                    </m:r>
                  </m:e>
                  <m:sub>
                    <m:r>
                      <m:t>i</m:t>
                    </m:r>
                    <m:r>
                      <m:t>i</m:t>
                    </m:r>
                  </m:sub>
                </m:sSub>
                <m:r>
                  <m:rPr>
                    <m:sty m:val="p"/>
                  </m:rPr>
                  <m:t>=</m:t>
                </m:r>
                <m:r>
                  <m:t>0</m:t>
                </m:r>
              </m:oMath>
            </m:oMathPara>
          </w:p>
        </w:tc>
        <w:tc>
          <w:tcPr>
            <w:tcW w:type="dxa" w:w="504"/>
            <w:vAlign w:val="center"/>
          </w:tcPr>
          <w:p>
            <w:pPr>
              <w:spacing w:after="0"/>
              <w:jc w:val="right"/>
              <w:keepNext/>
            </w:pPr>
            <w:r>
              <w:rPr>
                <w:rFonts w:ascii="Times New Roman" w:hAnsi="Times New Roman"/>
                <w:sz w:val="20"/>
              </w:rPr>
              <w:t>(3.40)</w:t>
            </w:r>
          </w:p>
        </w:tc>
      </w:tr>
    </w:tbl>
    <w:p>
      <w:pPr>
        <w:spacing w:line="276" w:lineRule="auto"/>
        <w:ind w:left="504" w:right="504"/>
        <w:keepNext/>
      </w:pPr>
      <w:r>
        <w:rPr>
          <w:i/>
        </w:rPr>
        <w:t xml:space="preserve">where </w:t>
      </w:r>
      <w:r>
        <w:t>the indicator equals one when municipalities i and j are queen-contiguous and zero otherwise; diagonal elements wᵢᵢ equal zero.</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Sup>
                  <m:e>
                    <m:r>
                      <m:t>w</m:t>
                    </m:r>
                  </m:e>
                  <m:sub>
                    <m:r>
                      <m:t>i</m:t>
                    </m:r>
                    <m:r>
                      <m:t>j</m:t>
                    </m:r>
                  </m:sub>
                  <m:sup>
                    <m:r>
                      <m:rPr>
                        <m:sty m:val="p"/>
                      </m:rPr>
                      <m:t>*</m:t>
                    </m:r>
                  </m:sup>
                </m:sSubSup>
                <m:r>
                  <m:rPr>
                    <m:sty m:val="p"/>
                  </m:rPr>
                  <m:t>=</m:t>
                </m:r>
                <m:f>
                  <m:fPr>
                    <m:type m:val="bar"/>
                  </m:fPr>
                  <m:num>
                    <m:sSub>
                      <m:e>
                        <m:r>
                          <m:t>w</m:t>
                        </m:r>
                      </m:e>
                      <m:sub>
                        <m:r>
                          <m:t>i</m:t>
                        </m:r>
                        <m:r>
                          <m:t>j</m:t>
                        </m:r>
                      </m:sub>
                    </m:sSub>
                  </m:num>
                  <m:den>
                    <m:nary>
                      <m:naryPr>
                        <m:chr m:val="∑"/>
                        <m:limLoc m:val="undOvr"/>
                        <m:subHide m:val="off"/>
                        <m:supHide m:val="on"/>
                      </m:naryPr>
                      <m:sub>
                        <m:r>
                          <m:t>j</m:t>
                        </m:r>
                      </m:sub>
                      <m:sup>
                        <m:r>
                          <m:t>​</m:t>
                        </m:r>
                      </m:sup>
                      <m:e>
                        <m:sSub>
                          <m:e>
                            <m:r>
                              <m:t>w</m:t>
                            </m:r>
                          </m:e>
                          <m:sub>
                            <m:r>
                              <m:t>i</m:t>
                            </m:r>
                            <m:r>
                              <m:t>j</m:t>
                            </m:r>
                          </m:sub>
                        </m:sSub>
                      </m:e>
                    </m:nary>
                  </m:den>
                </m:f>
              </m:oMath>
            </m:oMathPara>
          </w:p>
        </w:tc>
        <w:tc>
          <w:tcPr>
            <w:tcW w:type="dxa" w:w="504"/>
            <w:vAlign w:val="center"/>
          </w:tcPr>
          <w:p>
            <w:pPr>
              <w:spacing w:after="0"/>
              <w:jc w:val="right"/>
              <w:keepNext/>
            </w:pPr>
            <w:r>
              <w:rPr>
                <w:rFonts w:ascii="Times New Roman" w:hAnsi="Times New Roman"/>
                <w:sz w:val="20"/>
              </w:rPr>
              <w:t>(3.41)</w:t>
            </w:r>
          </w:p>
        </w:tc>
      </w:tr>
    </w:tbl>
    <w:p>
      <w:pPr>
        <w:spacing w:line="276" w:lineRule="auto"/>
        <w:ind w:left="504" w:right="504"/>
      </w:pPr>
      <w:r>
        <w:rPr>
          <w:i/>
        </w:rPr>
        <w:t xml:space="preserve">where </w:t>
      </w:r>
      <w:r>
        <w:t>wᵢⱼ* is the row-standardised weight.</w:t>
      </w:r>
    </w:p>
    <w:p>
      <w:pPr>
        <w:pStyle w:val="Heading3"/>
        <w:keepNext/>
      </w:pPr>
      <w:r>
        <w:t>3.10.2 Residual Spatial Autocorrelation</w:t>
      </w:r>
    </w:p>
    <w:p>
      <w:pPr>
        <w:keepNext/>
      </w:pPr>
      <w:r>
        <w:t>A two-sided Moran test evaluated OLS residuals and was repeated after each spatial model (Moran, 1950). Residual non-significance means no global autocorrelation was detected under the specified weights; it does not prove that every spatial pattern was removed.</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t>I</m:t>
                </m:r>
                <m:r>
                  <m:rPr>
                    <m:sty m:val="p"/>
                  </m:rPr>
                  <m:t>=</m:t>
                </m:r>
                <m:f>
                  <m:fPr>
                    <m:type m:val="bar"/>
                  </m:fPr>
                  <m:num>
                    <m:r>
                      <m:t>n</m:t>
                    </m:r>
                  </m:num>
                  <m:den>
                    <m:sSub>
                      <m:e>
                        <m:r>
                          <m:t>S</m:t>
                        </m:r>
                      </m:e>
                      <m:sub>
                        <m:r>
                          <m:t>0</m:t>
                        </m:r>
                      </m:sub>
                    </m:sSub>
                  </m:den>
                </m:f>
                <m:r>
                  <m:t> </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sSub>
                              <m:e>
                                <m:r>
                                  <m:t>w</m:t>
                                </m:r>
                              </m:e>
                              <m:sub>
                                <m:r>
                                  <m:t>i</m:t>
                                </m:r>
                                <m:r>
                                  <m:t>j</m:t>
                                </m:r>
                              </m:sub>
                            </m:sSub>
                          </m:e>
                        </m:nary>
                      </m:e>
                    </m:nary>
                    <m:d>
                      <m:dPr>
                        <m:begChr m:val="("/>
                        <m:endChr m:val=")"/>
                        <m:sepChr m:val=""/>
                        <m:grow/>
                      </m:dPr>
                      <m:e>
                        <m:sSub>
                          <m:e>
                            <m:r>
                              <m:t>e</m:t>
                            </m:r>
                          </m:e>
                          <m:sub>
                            <m:r>
                              <m:t>i</m:t>
                            </m:r>
                          </m:sub>
                        </m:sSub>
                        <m:r>
                          <m:rPr>
                            <m:sty m:val="p"/>
                          </m:rPr>
                          <m:t>−</m:t>
                        </m:r>
                        <m:acc>
                          <m:accPr>
                            <m:chr m:val="‾"/>
                          </m:accPr>
                          <m:e>
                            <m:r>
                              <m:t>e</m:t>
                            </m:r>
                          </m:e>
                        </m:acc>
                      </m:e>
                    </m:d>
                    <m:d>
                      <m:dPr>
                        <m:begChr m:val="("/>
                        <m:endChr m:val=")"/>
                        <m:sepChr m:val=""/>
                        <m:grow/>
                      </m:dPr>
                      <m:e>
                        <m:sSub>
                          <m:e>
                            <m:r>
                              <m:t>e</m:t>
                            </m:r>
                          </m:e>
                          <m:sub>
                            <m:r>
                              <m:t>j</m:t>
                            </m:r>
                          </m:sub>
                        </m:sSub>
                        <m:r>
                          <m:rPr>
                            <m:sty m:val="p"/>
                          </m:rPr>
                          <m:t>−</m:t>
                        </m:r>
                        <m:acc>
                          <m:accPr>
                            <m:chr m:val="‾"/>
                          </m:accPr>
                          <m:e>
                            <m:r>
                              <m:t>e</m:t>
                            </m:r>
                          </m:e>
                        </m:acc>
                      </m:e>
                    </m:d>
                  </m:num>
                  <m:den>
                    <m:nary>
                      <m:naryPr>
                        <m:chr m:val="∑"/>
                        <m:limLoc m:val="undOvr"/>
                        <m:subHide m:val="off"/>
                        <m:supHide m:val="on"/>
                      </m:naryPr>
                      <m:sub>
                        <m:r>
                          <m:t>i</m:t>
                        </m:r>
                      </m:sub>
                      <m:sup>
                        <m:r>
                          <m:t>​</m:t>
                        </m:r>
                      </m:sup>
                      <m:e>
                        <m:sSup>
                          <m:e>
                            <m:d>
                              <m:dPr>
                                <m:begChr m:val="("/>
                                <m:endChr m:val=")"/>
                                <m:sepChr m:val=""/>
                                <m:grow/>
                              </m:dPr>
                              <m:e>
                                <m:sSub>
                                  <m:e>
                                    <m:r>
                                      <m:t>e</m:t>
                                    </m:r>
                                  </m:e>
                                  <m:sub>
                                    <m:r>
                                      <m:t>i</m:t>
                                    </m:r>
                                  </m:sub>
                                </m:sSub>
                                <m:r>
                                  <m:rPr>
                                    <m:sty m:val="p"/>
                                  </m:rPr>
                                  <m:t>−</m:t>
                                </m:r>
                                <m:acc>
                                  <m:accPr>
                                    <m:chr m:val="‾"/>
                                  </m:accPr>
                                  <m:e>
                                    <m:r>
                                      <m:t>e</m:t>
                                    </m:r>
                                  </m:e>
                                </m:acc>
                              </m:e>
                            </m:d>
                          </m:e>
                          <m:sup>
                            <m:r>
                              <m:t>2</m:t>
                            </m:r>
                          </m:sup>
                        </m:sSup>
                      </m:e>
                    </m:nary>
                  </m:den>
                </m:f>
              </m:oMath>
            </m:oMathPara>
          </w:p>
        </w:tc>
        <w:tc>
          <w:tcPr>
            <w:tcW w:type="dxa" w:w="504"/>
            <w:vAlign w:val="center"/>
          </w:tcPr>
          <w:p>
            <w:pPr>
              <w:spacing w:after="0"/>
              <w:jc w:val="right"/>
              <w:keepNext/>
            </w:pPr>
            <w:r>
              <w:rPr>
                <w:rFonts w:ascii="Times New Roman" w:hAnsi="Times New Roman"/>
                <w:sz w:val="20"/>
              </w:rPr>
              <w:t>(3.42)</w:t>
            </w:r>
          </w:p>
        </w:tc>
      </w:tr>
    </w:tbl>
    <w:p>
      <w:pPr>
        <w:spacing w:line="276" w:lineRule="auto"/>
        <w:ind w:left="504" w:right="504"/>
      </w:pPr>
      <w:r>
        <w:rPr>
          <w:i/>
        </w:rPr>
        <w:t xml:space="preserve">where </w:t>
      </w:r>
      <w:r>
        <w:t>S₀ is the sum of weights and eᵢ a model residual.</w:t>
      </w:r>
    </w:p>
    <w:p>
      <w:pPr>
        <w:pStyle w:val="Heading3"/>
        <w:keepNext/>
      </w:pPr>
      <w:r>
        <w:t>3.10.3 Spatial Lag and Spatial Error Models</w:t>
      </w:r>
    </w:p>
    <w:p>
      <w:pPr>
        <w:keepNext/>
      </w:pPr>
      <w:r>
        <w:t>Maximum-likelihood spatial lag and spatial error specifications were fitted using eigenvalue methods. The lag model introduces neighbouring outcome values; the error model represents spatial dependence in unmeasured disturbances (Anselin, 1988).</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b"/>
                  </m:rPr>
                  <m:t>y</m:t>
                </m:r>
                <m:r>
                  <m:rPr>
                    <m:sty m:val="p"/>
                  </m:rPr>
                  <m:t>=</m:t>
                </m:r>
                <m:r>
                  <m:t>ρ</m:t>
                </m:r>
                <m:r>
                  <m:rPr>
                    <m:sty m:val="b"/>
                  </m:rPr>
                  <m:t>W</m:t>
                </m:r>
                <m:r>
                  <m:rPr>
                    <m:sty m:val="b"/>
                  </m:rPr>
                  <m:t>y</m:t>
                </m:r>
                <m:r>
                  <m:rPr>
                    <m:sty m:val="p"/>
                  </m:rPr>
                  <m:t>+</m:t>
                </m:r>
                <m:r>
                  <m:rPr>
                    <m:sty m:val="b"/>
                  </m:rPr>
                  <m:t>X</m:t>
                </m:r>
                <m:r>
                  <m:rPr>
                    <m:sty m:val="b"/>
                  </m:rPr>
                  <m:t>β</m:t>
                </m:r>
                <m:r>
                  <m:rPr>
                    <m:sty m:val="p"/>
                  </m:rPr>
                  <m:t>+</m:t>
                </m:r>
                <m:r>
                  <m:rPr>
                    <m:sty m:val="b"/>
                  </m:rPr>
                  <m:t>ε</m:t>
                </m:r>
              </m:oMath>
            </m:oMathPara>
          </w:p>
        </w:tc>
        <w:tc>
          <w:tcPr>
            <w:tcW w:type="dxa" w:w="504"/>
            <w:vAlign w:val="center"/>
          </w:tcPr>
          <w:p>
            <w:pPr>
              <w:spacing w:after="0"/>
              <w:jc w:val="right"/>
              <w:keepNext/>
            </w:pPr>
            <w:r>
              <w:rPr>
                <w:rFonts w:ascii="Times New Roman" w:hAnsi="Times New Roman"/>
                <w:sz w:val="20"/>
              </w:rPr>
              <w:t>(3.43)</w:t>
            </w:r>
          </w:p>
        </w:tc>
      </w:tr>
    </w:tbl>
    <w:p>
      <w:pPr>
        <w:spacing w:line="276" w:lineRule="auto"/>
        <w:ind w:left="504" w:right="504"/>
        <w:keepNext/>
      </w:pPr>
      <w:r>
        <w:rPr>
          <w:i/>
        </w:rPr>
        <w:t xml:space="preserve">where </w:t>
      </w:r>
      <w:r>
        <w:t>ρ is the spatial-lag parameter and Wy the spatially lagged outcome.</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r>
                  <m:rPr>
                    <m:sty m:val="b"/>
                  </m:rPr>
                  <m:t>y</m:t>
                </m:r>
                <m:r>
                  <m:rPr>
                    <m:sty m:val="p"/>
                  </m:rPr>
                  <m:t>=</m:t>
                </m:r>
                <m:r>
                  <m:rPr>
                    <m:sty m:val="b"/>
                  </m:rPr>
                  <m:t>X</m:t>
                </m:r>
                <m:r>
                  <m:rPr>
                    <m:sty m:val="b"/>
                  </m:rPr>
                  <m:t>β</m:t>
                </m:r>
                <m:r>
                  <m:rPr>
                    <m:sty m:val="p"/>
                  </m:rPr>
                  <m:t>+</m:t>
                </m:r>
                <m:r>
                  <m:rPr>
                    <m:sty m:val="b"/>
                  </m:rPr>
                  <m:t>u</m:t>
                </m:r>
                <m:r>
                  <m:rPr>
                    <m:sty m:val="p"/>
                  </m:rPr>
                  <m:t>,</m:t>
                </m:r>
                <m:r>
                  <m:t>  </m:t>
                </m:r>
                <m:r>
                  <m:rPr>
                    <m:sty m:val="b"/>
                  </m:rPr>
                  <m:t>u</m:t>
                </m:r>
                <m:r>
                  <m:rPr>
                    <m:sty m:val="p"/>
                  </m:rPr>
                  <m:t>=</m:t>
                </m:r>
                <m:r>
                  <m:t>λ</m:t>
                </m:r>
                <m:r>
                  <m:rPr>
                    <m:sty m:val="b"/>
                  </m:rPr>
                  <m:t>W</m:t>
                </m:r>
                <m:r>
                  <m:rPr>
                    <m:sty m:val="b"/>
                  </m:rPr>
                  <m:t>u</m:t>
                </m:r>
                <m:r>
                  <m:rPr>
                    <m:sty m:val="p"/>
                  </m:rPr>
                  <m:t>+</m:t>
                </m:r>
                <m:r>
                  <m:rPr>
                    <m:sty m:val="b"/>
                  </m:rPr>
                  <m:t>ε</m:t>
                </m:r>
              </m:oMath>
            </m:oMathPara>
          </w:p>
        </w:tc>
        <w:tc>
          <w:tcPr>
            <w:tcW w:type="dxa" w:w="504"/>
            <w:vAlign w:val="center"/>
          </w:tcPr>
          <w:p>
            <w:pPr>
              <w:spacing w:after="0"/>
              <w:jc w:val="right"/>
              <w:keepNext/>
            </w:pPr>
            <w:r>
              <w:rPr>
                <w:rFonts w:ascii="Times New Roman" w:hAnsi="Times New Roman"/>
                <w:sz w:val="20"/>
              </w:rPr>
              <w:t>(3.44)</w:t>
            </w:r>
          </w:p>
        </w:tc>
      </w:tr>
    </w:tbl>
    <w:p>
      <w:pPr>
        <w:spacing w:line="276" w:lineRule="auto"/>
        <w:ind w:left="504" w:right="504"/>
      </w:pPr>
      <w:r>
        <w:rPr>
          <w:i/>
        </w:rPr>
        <w:t xml:space="preserve">where </w:t>
      </w:r>
      <w:r>
        <w:t>λ is the spatial-error parameter and u the autocorrelated disturbance.</w:t>
      </w:r>
    </w:p>
    <w:p>
      <w:pPr>
        <w:keepNext/>
      </w:pPr>
      <w:r>
        <w:t>Selection considered log likelihood, AIC, the spatial parameter, and residual Moran I. The preferred model combined lower AIC with residuals lacking detectable global autocorrelation. Spatial coefficient intervals used the large-sample normal approximation.</w:t>
      </w:r>
    </w:p>
    <w:tbl>
      <w:tblPr>
        <w:tblW w:type="auto" w:w="0"/>
        <w:jc w:val="center"/>
        <w:tblLayout w:type="fixed"/>
        <w:tblLook w:firstColumn="1" w:firstRow="1" w:lastColumn="0" w:lastRow="0" w:noHBand="0" w:noVBand="1" w:val="04A0"/>
      </w:tblPr>
      <w:tblGrid>
        <w:gridCol w:w="3120"/>
        <w:gridCol w:w="3120"/>
        <w:gridCol w:w="3120"/>
      </w:tblGrid>
      <w:tr>
        <w:trPr>
          <w:cantSplit/>
        </w:trPr>
        <w:tc>
          <w:tcPr>
            <w:tcW w:type="dxa" w:w="504"/>
            <w:vAlign w:val="center"/>
          </w:tcPr>
          <w:p>
            <w:pPr>
              <w:spacing w:after="0"/>
              <w:keepNext/>
            </w:pPr>
          </w:p>
        </w:tc>
        <w:tc>
          <w:tcPr>
            <w:tcW w:type="dxa" w:w="8352"/>
            <w:vAlign w:val="center"/>
          </w:tcPr>
          <w:p>
            <w:pPr>
              <w:spacing w:after="0"/>
              <w:jc w:val="center"/>
              <w:keepNext/>
            </w:pPr>
            <m:oMathPara>
              <m:oMathParaPr>
                <m:jc m:val="center"/>
              </m:oMathParaPr>
              <m:oMath>
                <m:sSub>
                  <m:e>
                    <m:r>
                      <m:t>z</m:t>
                    </m:r>
                  </m:e>
                  <m:sub>
                    <m:r>
                      <m:t>j</m:t>
                    </m:r>
                  </m:sub>
                </m:sSub>
                <m:r>
                  <m:rPr>
                    <m:sty m:val="p"/>
                  </m:rPr>
                  <m:t>=</m:t>
                </m:r>
                <m:f>
                  <m:fPr>
                    <m:type m:val="bar"/>
                  </m:fPr>
                  <m:num>
                    <m:sSub>
                      <m:e>
                        <m:acc>
                          <m:accPr>
                            <m:chr m:val="̂"/>
                          </m:accPr>
                          <m:e>
                            <m:r>
                              <m:t>β</m:t>
                            </m:r>
                          </m:e>
                        </m:acc>
                      </m:e>
                      <m:sub>
                        <m:r>
                          <m:t>j</m:t>
                        </m:r>
                      </m:sub>
                    </m:sSub>
                  </m:num>
                  <m:den>
                    <m:sSub>
                      <m:e>
                        <m:r>
                          <m:t>s</m:t>
                        </m:r>
                      </m:e>
                      <m:sub>
                        <m:r>
                          <m:t>j</m:t>
                        </m:r>
                      </m:sub>
                    </m:sSub>
                  </m:den>
                </m:f>
                <m:r>
                  <m:rPr>
                    <m:sty m:val="p"/>
                  </m:rPr>
                  <m:t>,</m:t>
                </m:r>
                <m:r>
                  <m:t>  </m:t>
                </m:r>
                <m:sSub>
                  <m:e>
                    <m:r>
                      <m:rPr>
                        <m:sty m:val="p"/>
                      </m:rPr>
                      <m:t>C</m:t>
                    </m:r>
                    <m:r>
                      <m:rPr>
                        <m:sty m:val="p"/>
                      </m:rPr>
                      <m:t>I</m:t>
                    </m:r>
                  </m:e>
                  <m:sub>
                    <m:r>
                      <m:t>0.95</m:t>
                    </m:r>
                  </m:sub>
                </m:sSub>
                <m:r>
                  <m:rPr>
                    <m:sty m:val="p"/>
                  </m:rPr>
                  <m:t>=</m:t>
                </m:r>
                <m:sSub>
                  <m:e>
                    <m:acc>
                      <m:accPr>
                        <m:chr m:val="̂"/>
                      </m:accPr>
                      <m:e>
                        <m:r>
                          <m:t>β</m:t>
                        </m:r>
                      </m:e>
                    </m:acc>
                  </m:e>
                  <m:sub>
                    <m:r>
                      <m:t>j</m:t>
                    </m:r>
                  </m:sub>
                </m:sSub>
                <m:r>
                  <m:rPr>
                    <m:sty m:val="p"/>
                  </m:rPr>
                  <m:t>±</m:t>
                </m:r>
                <m:r>
                  <m:t>1.96</m:t>
                </m:r>
                <m:sSub>
                  <m:e>
                    <m:r>
                      <m:t>s</m:t>
                    </m:r>
                  </m:e>
                  <m:sub>
                    <m:r>
                      <m:t>j</m:t>
                    </m:r>
                  </m:sub>
                </m:sSub>
              </m:oMath>
            </m:oMathPara>
          </w:p>
        </w:tc>
        <w:tc>
          <w:tcPr>
            <w:tcW w:type="dxa" w:w="504"/>
            <w:vAlign w:val="center"/>
          </w:tcPr>
          <w:p>
            <w:pPr>
              <w:spacing w:after="0"/>
              <w:jc w:val="right"/>
              <w:keepNext/>
            </w:pPr>
            <w:r>
              <w:rPr>
                <w:rFonts w:ascii="Times New Roman" w:hAnsi="Times New Roman"/>
                <w:sz w:val="20"/>
              </w:rPr>
              <w:t>(3.45)</w:t>
            </w:r>
          </w:p>
        </w:tc>
      </w:tr>
    </w:tbl>
    <w:p>
      <w:pPr>
        <w:spacing w:line="276" w:lineRule="auto"/>
        <w:ind w:left="504" w:right="504"/>
      </w:pPr>
      <w:r>
        <w:rPr>
          <w:i/>
        </w:rPr>
        <w:t xml:space="preserve">where </w:t>
      </w:r>
      <w:r>
        <w:t>sⱼ is the spatial-model standard error for β̂ⱼ; the normal approximation was used for tests and intervals.</w:t>
      </w:r>
    </w:p>
    <w:p>
      <w:pPr>
        <w:pStyle w:val="Heading2"/>
        <w:keepNext/>
      </w:pPr>
      <w:r>
        <w:t>3.11 Software Reproducibility and Output Management</w:t>
      </w:r>
    </w:p>
    <w:p>
      <w:r>
        <w:t>The analysis ran in R 4.6.1 on Windows 11 (R Core Team, 2026). Principal package versions recorded in the session were tidyverse 2.0.0, readxl 1.5.0, janitor 2.2.1, sf 1.1.2, cluster 2.1.8.2, fpc 2.2.15, spdep 1.4.2, and spatialreg 1.4.3. Machine-readable tables, 300 dpi figures, fitted model objects, GeoPackages, an output inventory, and session information were saved.</w:t>
      </w:r>
    </w:p>
    <w:p>
      <w:pPr>
        <w:spacing w:before="160" w:after="80"/>
        <w:keepNext/>
      </w:pPr>
      <w:r>
        <w:rPr>
          <w:b/>
          <w:sz w:val="20"/>
        </w:rPr>
        <w:t>Table 3.4 Reproducibility settings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20"/>
        <w:gridCol w:w="3120"/>
        <w:gridCol w:w="3120"/>
      </w:tblGrid>
      <w:tr>
        <w:trPr>
          <w:tblHeader w:val="true"/>
          <w:cantSplit/>
        </w:trPr>
        <w:tc>
          <w:tcPr>
            <w:tcW w:type="dxa" w:w="2160"/>
            <w:tcMar>
              <w:top w:w="90" w:type="dxa"/>
              <w:start w:w="90" w:type="dxa"/>
              <w:bottom w:w="90" w:type="dxa"/>
              <w:end w:w="90" w:type="dxa"/>
            </w:tcMar>
            <w:shd w:fill="17365D"/>
            <w:vAlign w:val="center"/>
          </w:tcPr>
          <w:p>
            <w:pPr>
              <w:pStyle w:val="TableText"/>
              <w:jc w:val="center"/>
              <w:keepNext/>
            </w:pPr>
            <w:r>
              <w:rPr>
                <w:b/>
                <w:color w:val="FFFFFF"/>
              </w:rPr>
              <w:t>Procedure</w:t>
            </w:r>
          </w:p>
        </w:tc>
        <w:tc>
          <w:tcPr>
            <w:tcW w:type="dxa" w:w="4320"/>
            <w:tcMar>
              <w:top w:w="90" w:type="dxa"/>
              <w:start w:w="90" w:type="dxa"/>
              <w:bottom w:w="90" w:type="dxa"/>
              <w:end w:w="90" w:type="dxa"/>
            </w:tcMar>
            <w:shd w:fill="17365D"/>
            <w:vAlign w:val="center"/>
          </w:tcPr>
          <w:p>
            <w:pPr>
              <w:pStyle w:val="TableText"/>
              <w:jc w:val="center"/>
              <w:keepNext/>
            </w:pPr>
            <w:r>
              <w:rPr>
                <w:b/>
                <w:color w:val="FFFFFF"/>
              </w:rPr>
              <w:t>Setting</w:t>
            </w:r>
          </w:p>
        </w:tc>
        <w:tc>
          <w:tcPr>
            <w:tcW w:type="dxa" w:w="2880"/>
            <w:tcMar>
              <w:top w:w="90" w:type="dxa"/>
              <w:start w:w="90" w:type="dxa"/>
              <w:bottom w:w="90" w:type="dxa"/>
              <w:end w:w="90" w:type="dxa"/>
            </w:tcMar>
            <w:shd w:fill="17365D"/>
            <w:vAlign w:val="center"/>
          </w:tcPr>
          <w:p>
            <w:pPr>
              <w:pStyle w:val="TableText"/>
              <w:jc w:val="center"/>
              <w:keepNext/>
            </w:pPr>
            <w:r>
              <w:rPr>
                <w:b/>
                <w:color w:val="FFFFFF"/>
              </w:rPr>
              <w:t>Purpose</w:t>
            </w:r>
          </w:p>
        </w:tc>
      </w:tr>
      <w:tr>
        <w:trPr>
          <w:cantSplit/>
        </w:trPr>
        <w:tc>
          <w:tcPr>
            <w:tcW w:type="dxa" w:w="2160"/>
            <w:tcMar>
              <w:top w:w="90" w:type="dxa"/>
              <w:start w:w="90" w:type="dxa"/>
              <w:bottom w:w="90" w:type="dxa"/>
              <w:end w:w="90" w:type="dxa"/>
            </w:tcMar>
            <w:vAlign w:val="center"/>
          </w:tcPr>
          <w:p>
            <w:pPr>
              <w:pStyle w:val="TableText"/>
            </w:pPr>
            <w:r>
              <w:t>PCA</w:t>
            </w:r>
          </w:p>
        </w:tc>
        <w:tc>
          <w:tcPr>
            <w:tcW w:type="dxa" w:w="4320"/>
            <w:tcMar>
              <w:top w:w="90" w:type="dxa"/>
              <w:start w:w="90" w:type="dxa"/>
              <w:bottom w:w="90" w:type="dxa"/>
              <w:end w:w="90" w:type="dxa"/>
            </w:tcMar>
            <w:vAlign w:val="center"/>
          </w:tcPr>
          <w:p>
            <w:pPr>
              <w:pStyle w:val="TableText"/>
            </w:pPr>
            <w:r>
              <w:t>Centring and scaling</w:t>
            </w:r>
          </w:p>
        </w:tc>
        <w:tc>
          <w:tcPr>
            <w:tcW w:type="dxa" w:w="2880"/>
            <w:tcMar>
              <w:top w:w="90" w:type="dxa"/>
              <w:start w:w="90" w:type="dxa"/>
              <w:bottom w:w="90" w:type="dxa"/>
              <w:end w:w="90" w:type="dxa"/>
            </w:tcMar>
            <w:vAlign w:val="center"/>
          </w:tcPr>
          <w:p>
            <w:pPr>
              <w:pStyle w:val="TableText"/>
            </w:pPr>
            <w:r>
              <w:t>Comparable units</w:t>
            </w:r>
          </w:p>
        </w:tc>
      </w:tr>
      <w:tr>
        <w:trPr>
          <w:cantSplit/>
        </w:trPr>
        <w:tc>
          <w:tcPr>
            <w:tcW w:type="dxa" w:w="2160"/>
            <w:tcMar>
              <w:top w:w="90" w:type="dxa"/>
              <w:start w:w="90" w:type="dxa"/>
              <w:bottom w:w="90" w:type="dxa"/>
              <w:end w:w="90" w:type="dxa"/>
            </w:tcMar>
            <w:vAlign w:val="center"/>
            <w:shd w:fill="F2F6FA"/>
          </w:tcPr>
          <w:p>
            <w:pPr>
              <w:pStyle w:val="TableText"/>
            </w:pPr>
            <w:r>
              <w:t>Parallel analysis</w:t>
            </w:r>
          </w:p>
        </w:tc>
        <w:tc>
          <w:tcPr>
            <w:tcW w:type="dxa" w:w="4320"/>
            <w:tcMar>
              <w:top w:w="90" w:type="dxa"/>
              <w:start w:w="90" w:type="dxa"/>
              <w:bottom w:w="90" w:type="dxa"/>
              <w:end w:w="90" w:type="dxa"/>
            </w:tcMar>
            <w:vAlign w:val="center"/>
            <w:shd w:fill="F2F6FA"/>
          </w:tcPr>
          <w:p>
            <w:pPr>
              <w:pStyle w:val="TableText"/>
            </w:pPr>
            <w:r>
              <w:t>1,000 permutations; seed 20260912; 95th percentile</w:t>
            </w:r>
          </w:p>
        </w:tc>
        <w:tc>
          <w:tcPr>
            <w:tcW w:type="dxa" w:w="2880"/>
            <w:tcMar>
              <w:top w:w="90" w:type="dxa"/>
              <w:start w:w="90" w:type="dxa"/>
              <w:bottom w:w="90" w:type="dxa"/>
              <w:end w:w="90" w:type="dxa"/>
            </w:tcMar>
            <w:vAlign w:val="center"/>
            <w:shd w:fill="F2F6FA"/>
          </w:tcPr>
          <w:p>
            <w:pPr>
              <w:pStyle w:val="TableText"/>
            </w:pPr>
            <w:r>
              <w:t>Retention check</w:t>
            </w:r>
          </w:p>
        </w:tc>
      </w:tr>
      <w:tr>
        <w:trPr>
          <w:cantSplit/>
        </w:trPr>
        <w:tc>
          <w:tcPr>
            <w:tcW w:type="dxa" w:w="2160"/>
            <w:tcMar>
              <w:top w:w="90" w:type="dxa"/>
              <w:start w:w="90" w:type="dxa"/>
              <w:bottom w:w="90" w:type="dxa"/>
              <w:end w:w="90" w:type="dxa"/>
            </w:tcMar>
            <w:vAlign w:val="center"/>
          </w:tcPr>
          <w:p>
            <w:pPr>
              <w:pStyle w:val="TableText"/>
            </w:pPr>
            <w:r>
              <w:t>Candidate k means</w:t>
            </w:r>
          </w:p>
        </w:tc>
        <w:tc>
          <w:tcPr>
            <w:tcW w:type="dxa" w:w="4320"/>
            <w:tcMar>
              <w:top w:w="90" w:type="dxa"/>
              <w:start w:w="90" w:type="dxa"/>
              <w:bottom w:w="90" w:type="dxa"/>
              <w:end w:w="90" w:type="dxa"/>
            </w:tcMar>
            <w:vAlign w:val="center"/>
          </w:tcPr>
          <w:p>
            <w:pPr>
              <w:pStyle w:val="TableText"/>
            </w:pPr>
            <w:r>
              <w:t>K 1 to 10; 50 starts; 100 iterations; seed 2026</w:t>
            </w:r>
          </w:p>
        </w:tc>
        <w:tc>
          <w:tcPr>
            <w:tcW w:type="dxa" w:w="2880"/>
            <w:tcMar>
              <w:top w:w="90" w:type="dxa"/>
              <w:start w:w="90" w:type="dxa"/>
              <w:bottom w:w="90" w:type="dxa"/>
              <w:end w:w="90" w:type="dxa"/>
            </w:tcMar>
            <w:vAlign w:val="center"/>
          </w:tcPr>
          <w:p>
            <w:pPr>
              <w:pStyle w:val="TableText"/>
            </w:pPr>
            <w:r>
              <w:t>Limit poor starts</w:t>
            </w:r>
          </w:p>
        </w:tc>
      </w:tr>
      <w:tr>
        <w:trPr>
          <w:cantSplit/>
        </w:trPr>
        <w:tc>
          <w:tcPr>
            <w:tcW w:type="dxa" w:w="2160"/>
            <w:tcMar>
              <w:top w:w="90" w:type="dxa"/>
              <w:start w:w="90" w:type="dxa"/>
              <w:bottom w:w="90" w:type="dxa"/>
              <w:end w:w="90" w:type="dxa"/>
            </w:tcMar>
            <w:vAlign w:val="center"/>
            <w:shd w:fill="F2F6FA"/>
          </w:tcPr>
          <w:p>
            <w:pPr>
              <w:pStyle w:val="TableText"/>
            </w:pPr>
            <w:r>
              <w:t>Final k means</w:t>
            </w:r>
          </w:p>
        </w:tc>
        <w:tc>
          <w:tcPr>
            <w:tcW w:type="dxa" w:w="4320"/>
            <w:tcMar>
              <w:top w:w="90" w:type="dxa"/>
              <w:start w:w="90" w:type="dxa"/>
              <w:bottom w:w="90" w:type="dxa"/>
              <w:end w:w="90" w:type="dxa"/>
            </w:tcMar>
            <w:vAlign w:val="center"/>
            <w:shd w:fill="F2F6FA"/>
          </w:tcPr>
          <w:p>
            <w:pPr>
              <w:pStyle w:val="TableText"/>
            </w:pPr>
            <w:r>
              <w:t>K 2 and 4; 100 starts; 100 iterations; seed 2026</w:t>
            </w:r>
          </w:p>
        </w:tc>
        <w:tc>
          <w:tcPr>
            <w:tcW w:type="dxa" w:w="2880"/>
            <w:tcMar>
              <w:top w:w="90" w:type="dxa"/>
              <w:start w:w="90" w:type="dxa"/>
              <w:bottom w:w="90" w:type="dxa"/>
              <w:end w:w="90" w:type="dxa"/>
            </w:tcMar>
            <w:vAlign w:val="center"/>
            <w:shd w:fill="F2F6FA"/>
          </w:tcPr>
          <w:p>
            <w:pPr>
              <w:pStyle w:val="TableText"/>
            </w:pPr>
            <w:r>
              <w:t>Robust comparison</w:t>
            </w:r>
          </w:p>
        </w:tc>
      </w:tr>
      <w:tr>
        <w:trPr>
          <w:cantSplit/>
        </w:trPr>
        <w:tc>
          <w:tcPr>
            <w:tcW w:type="dxa" w:w="2160"/>
            <w:tcMar>
              <w:top w:w="90" w:type="dxa"/>
              <w:start w:w="90" w:type="dxa"/>
              <w:bottom w:w="90" w:type="dxa"/>
              <w:end w:w="90" w:type="dxa"/>
            </w:tcMar>
            <w:vAlign w:val="center"/>
          </w:tcPr>
          <w:p>
            <w:pPr>
              <w:pStyle w:val="TableText"/>
            </w:pPr>
            <w:r>
              <w:t>Cluster bootstrap</w:t>
            </w:r>
          </w:p>
        </w:tc>
        <w:tc>
          <w:tcPr>
            <w:tcW w:type="dxa" w:w="4320"/>
            <w:tcMar>
              <w:top w:w="90" w:type="dxa"/>
              <w:start w:w="90" w:type="dxa"/>
              <w:bottom w:w="90" w:type="dxa"/>
              <w:end w:w="90" w:type="dxa"/>
            </w:tcMar>
            <w:vAlign w:val="center"/>
          </w:tcPr>
          <w:p>
            <w:pPr>
              <w:pStyle w:val="TableText"/>
            </w:pPr>
            <w:r>
              <w:t>500 samples; 50 runs; seed 20260912</w:t>
            </w:r>
          </w:p>
        </w:tc>
        <w:tc>
          <w:tcPr>
            <w:tcW w:type="dxa" w:w="2880"/>
            <w:tcMar>
              <w:top w:w="90" w:type="dxa"/>
              <w:start w:w="90" w:type="dxa"/>
              <w:bottom w:w="90" w:type="dxa"/>
              <w:end w:w="90" w:type="dxa"/>
            </w:tcMar>
            <w:vAlign w:val="center"/>
          </w:tcPr>
          <w:p>
            <w:pPr>
              <w:pStyle w:val="TableText"/>
            </w:pPr>
            <w:r>
              <w:t>Cluster reproducibility</w:t>
            </w:r>
          </w:p>
        </w:tc>
      </w:tr>
      <w:tr>
        <w:trPr>
          <w:cantSplit/>
        </w:trPr>
        <w:tc>
          <w:tcPr>
            <w:tcW w:type="dxa" w:w="2160"/>
            <w:tcMar>
              <w:top w:w="90" w:type="dxa"/>
              <w:start w:w="90" w:type="dxa"/>
              <w:bottom w:w="90" w:type="dxa"/>
              <w:end w:w="90" w:type="dxa"/>
            </w:tcMar>
            <w:vAlign w:val="center"/>
            <w:shd w:fill="F2F6FA"/>
          </w:tcPr>
          <w:p>
            <w:pPr>
              <w:pStyle w:val="TableText"/>
            </w:pPr>
            <w:r>
              <w:t>Spatial models</w:t>
            </w:r>
          </w:p>
        </w:tc>
        <w:tc>
          <w:tcPr>
            <w:tcW w:type="dxa" w:w="4320"/>
            <w:tcMar>
              <w:top w:w="90" w:type="dxa"/>
              <w:start w:w="90" w:type="dxa"/>
              <w:bottom w:w="90" w:type="dxa"/>
              <w:end w:w="90" w:type="dxa"/>
            </w:tcMar>
            <w:vAlign w:val="center"/>
            <w:shd w:fill="F2F6FA"/>
          </w:tcPr>
          <w:p>
            <w:pPr>
              <w:pStyle w:val="TableText"/>
            </w:pPr>
            <w:r>
              <w:t>Eigen method; zero policy</w:t>
            </w:r>
          </w:p>
        </w:tc>
        <w:tc>
          <w:tcPr>
            <w:tcW w:type="dxa" w:w="2880"/>
            <w:tcMar>
              <w:top w:w="90" w:type="dxa"/>
              <w:start w:w="90" w:type="dxa"/>
              <w:bottom w:w="90" w:type="dxa"/>
              <w:end w:w="90" w:type="dxa"/>
            </w:tcMar>
            <w:vAlign w:val="center"/>
            <w:shd w:fill="F2F6FA"/>
          </w:tcPr>
          <w:p>
            <w:pPr>
              <w:pStyle w:val="TableText"/>
            </w:pPr>
            <w:r>
              <w:t>Maximum likelihood estimation</w:t>
            </w:r>
          </w:p>
        </w:tc>
      </w:tr>
      <w:tr>
        <w:trPr>
          <w:cantSplit/>
        </w:trPr>
        <w:tc>
          <w:tcPr>
            <w:tcW w:type="dxa" w:w="2160"/>
            <w:tcMar>
              <w:top w:w="90" w:type="dxa"/>
              <w:start w:w="90" w:type="dxa"/>
              <w:bottom w:w="90" w:type="dxa"/>
              <w:end w:w="90" w:type="dxa"/>
            </w:tcMar>
            <w:vAlign w:val="center"/>
          </w:tcPr>
          <w:p>
            <w:pPr>
              <w:pStyle w:val="TableText"/>
            </w:pPr>
            <w:r>
              <w:t>Figures</w:t>
            </w:r>
          </w:p>
        </w:tc>
        <w:tc>
          <w:tcPr>
            <w:tcW w:type="dxa" w:w="4320"/>
            <w:tcMar>
              <w:top w:w="90" w:type="dxa"/>
              <w:start w:w="90" w:type="dxa"/>
              <w:bottom w:w="90" w:type="dxa"/>
              <w:end w:w="90" w:type="dxa"/>
            </w:tcMar>
            <w:vAlign w:val="center"/>
          </w:tcPr>
          <w:p>
            <w:pPr>
              <w:pStyle w:val="TableText"/>
            </w:pPr>
            <w:r>
              <w:t>PNG at 300 dpi</w:t>
            </w:r>
          </w:p>
        </w:tc>
        <w:tc>
          <w:tcPr>
            <w:tcW w:type="dxa" w:w="2880"/>
            <w:tcMar>
              <w:top w:w="90" w:type="dxa"/>
              <w:start w:w="90" w:type="dxa"/>
              <w:bottom w:w="90" w:type="dxa"/>
              <w:end w:w="90" w:type="dxa"/>
            </w:tcMar>
            <w:vAlign w:val="center"/>
          </w:tcPr>
          <w:p>
            <w:pPr>
              <w:pStyle w:val="TableText"/>
            </w:pPr>
            <w:r>
              <w:t>Publication output</w:t>
            </w:r>
          </w:p>
        </w:tc>
      </w:tr>
      <w:tr>
        <w:trPr>
          <w:cantSplit/>
        </w:trPr>
        <w:tc>
          <w:tcPr>
            <w:tcW w:type="dxa" w:w="2160"/>
            <w:tcMar>
              <w:top w:w="90" w:type="dxa"/>
              <w:start w:w="90" w:type="dxa"/>
              <w:bottom w:w="90" w:type="dxa"/>
              <w:end w:w="90" w:type="dxa"/>
            </w:tcMar>
            <w:vAlign w:val="center"/>
            <w:shd w:fill="F2F6FA"/>
          </w:tcPr>
          <w:p>
            <w:pPr>
              <w:pStyle w:val="TableText"/>
            </w:pPr>
            <w:r>
              <w:t>Audit trail</w:t>
            </w:r>
          </w:p>
        </w:tc>
        <w:tc>
          <w:tcPr>
            <w:tcW w:type="dxa" w:w="4320"/>
            <w:tcMar>
              <w:top w:w="90" w:type="dxa"/>
              <w:start w:w="90" w:type="dxa"/>
              <w:bottom w:w="90" w:type="dxa"/>
              <w:end w:w="90" w:type="dxa"/>
            </w:tcMar>
            <w:vAlign w:val="center"/>
            <w:shd w:fill="F2F6FA"/>
          </w:tcPr>
          <w:p>
            <w:pPr>
              <w:pStyle w:val="TableText"/>
            </w:pPr>
            <w:r>
              <w:t>CSV inventory and session information</w:t>
            </w:r>
          </w:p>
        </w:tc>
        <w:tc>
          <w:tcPr>
            <w:tcW w:type="dxa" w:w="2880"/>
            <w:tcMar>
              <w:top w:w="90" w:type="dxa"/>
              <w:start w:w="90" w:type="dxa"/>
              <w:bottom w:w="90" w:type="dxa"/>
              <w:end w:w="90" w:type="dxa"/>
            </w:tcMar>
            <w:vAlign w:val="center"/>
            <w:shd w:fill="F2F6FA"/>
          </w:tcPr>
          <w:p>
            <w:pPr>
              <w:pStyle w:val="TableText"/>
            </w:pPr>
            <w:r>
              <w:t>Traceability</w:t>
            </w:r>
          </w:p>
        </w:tc>
      </w:tr>
    </w:tbl>
    <w:p>
      <w:pPr>
        <w:spacing w:after="20"/>
      </w:pPr>
    </w:p>
    <w:p>
      <w:pPr>
        <w:pStyle w:val="Heading2"/>
        <w:keepNext/>
      </w:pPr>
      <w:r>
        <w:t>3.12 Reliability Validity and Methodological Limitations</w:t>
      </w:r>
    </w:p>
    <w:p>
      <w:r>
        <w:t>Reliability was strengthened by scripted transformations, metadata checks, fixed seeds, multiple starts, bootstrap stability, spatial-weight sensitivity, and saved model objects. Construct validity remains limited. Drought depth is a modelled groundwater proxy rather than direct drought damage. Area-share measures are not individual time-weighted exposures. Thresholded composites simplify continuous processes.</w:t>
      </w:r>
    </w:p>
    <w:p>
      <w:r>
        <w:t>Internal validity is limited by the cross-sectional ecological design and omitted variables such as density, building form, socioeconomic composition, coastal influence, and policy interventions. Spatial error modelling accounts for residual dependence but does not create causal identification. Coefficients remain conditional municipal associations.</w:t>
      </w:r>
    </w:p>
    <w:p>
      <w:r>
        <w:t>External validity concerns the five excluded municipalities, generalised boundaries, and the workbook version. Results cannot automatically be extrapolated to neighbourhoods, households, future climates, or places outside the Netherlands. Cluster profiles lie on continua and should not be treated as fixed natural categories.</w:t>
      </w:r>
    </w:p>
    <w:p>
      <w:r>
        <w:t>The four-cluster decision involved judgement. It balanced statistical separation, variance explained, interpretability, geography, and bootstrap stability. It must not be described as uniquely selected by silhouette width, because Chapter Four shows that the two-cluster solution had a slightly higher average silhouette.</w:t>
      </w:r>
    </w:p>
    <w:p>
      <w:pPr>
        <w:pStyle w:val="Heading2"/>
        <w:keepNext/>
      </w:pPr>
      <w:r>
        <w:t>3.13 Ethical Considerations</w:t>
      </w:r>
    </w:p>
    <w:p>
      <w:r>
        <w:t>The study used aggregated, non-personal environmental and administrative data. No individual identifiers, interviews, or interventions were involved. Ethical responsibilities nevertheless include attribution, preservation of definitions, uncertainty reporting, avoidance of stigmatising labels, and recognition that maps and profiles can influence resource debates. Cluster names were therefore framed as environmental profiles rather than rankings of municipal worth.</w:t>
      </w:r>
    </w:p>
    <w:p>
      <w:pPr>
        <w:pStyle w:val="Heading2"/>
        <w:keepNext/>
      </w:pPr>
      <w:r>
        <w:t>3.14 Chapter Summary</w:t>
      </w:r>
    </w:p>
    <w:p>
      <w:r>
        <w:t>The methodology converts audited neighbourhood fields into five population-weighted municipal indicators and analyses a common complete-case sample of 337 municipalities. PCA and parallel analysis describe dimensions; k-means, silhouette comparison, original-unit profiles, and bootstrap Jaccard values establish a transparent typology; OLS with HC3 inference and sensitivity checks estimates adjusted heat associations; and Moran I, spatial lag, spatial error, and alternative weights test spatial dependence. These procedures provide the reproducible basis for Chapter Four and the interpretation in Chapter Five.</w:t>
      </w:r>
    </w:p>
    <w:p>
      <w:pPr>
        <w:pStyle w:val="Heading1"/>
        <w:keepNext/>
        <w:pageBreakBefore/>
      </w:pPr>
      <w:bookmarkStart w:id="804" w:name="chapter_4"/>
      <w:r>
        <w:t>4 Results</w:t>
      </w:r>
      <w:bookmarkEnd w:id="804"/>
    </w:p>
    <w:p>
      <w:r>
        <w:t>This chapter reports the empirical results of the municipal environmental-exposure analysis. It begins with data-quality checks and descriptive statistics before presenting the correlation, principal-component, cluster, regression, and spatial-model results. Unless otherwise stated, the multivariate analyses use the 337 municipalities with complete observations for all five environmental indicators.</w:t>
      </w:r>
    </w:p>
    <w:p>
      <w:pPr>
        <w:pStyle w:val="Heading1"/>
        <w:keepNext/>
      </w:pPr>
      <w:r>
        <w:t>4.1 Data Quality and Analytical Sample</w:t>
      </w:r>
    </w:p>
    <w:p>
      <w:r>
        <w:t>The assembled municipality-level dataset contained 342 observations and nine variables. The audit found no duplicate rows. Five municipalities had missing values for drought depth, corresponding to 1.46% of the source dataset. The remaining variables had complete coverage. Complete-case analysis therefore retained 337 municipalities, or 98.54% of the original observations.</w:t>
      </w:r>
    </w:p>
    <w:p>
      <w:pPr>
        <w:keepNext/>
        <w:spacing w:before="160" w:after="80"/>
      </w:pPr>
      <w:r>
        <w:rPr>
          <w:rFonts w:ascii="Times New Roman" w:hAnsi="Times New Roman"/>
          <w:b/>
          <w:sz w:val="22"/>
        </w:rPr>
        <w:t>Table 4.1 Data quality and analytical sample</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20"/>
              </w:rPr>
              <w:t>Data-quality measure</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20"/>
              </w:rPr>
              <w:t>Result</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20"/>
              </w:rPr>
              <w:t>Municipalities in the source dataset</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20"/>
              </w:rPr>
              <w:t>342</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20"/>
              </w:rPr>
              <w:t>Variables in the assembled dataset</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20"/>
              </w:rPr>
              <w:t>9</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20"/>
              </w:rPr>
              <w:t>Duplicate rows</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20"/>
              </w:rPr>
              <w:t>0</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20"/>
              </w:rPr>
              <w:t>Municipalities with complete indicator data</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20"/>
              </w:rPr>
              <w:t>337</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20"/>
              </w:rPr>
              <w:t>Municipalities with incomplete indicator data</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20"/>
              </w:rPr>
              <w:t>5</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20"/>
              </w:rPr>
              <w:t>Complete-case rate</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20"/>
              </w:rPr>
              <w:t>98.54%</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20"/>
              </w:rPr>
              <w:t>Variable containing missing values</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20"/>
              </w:rPr>
              <w:t>Drought depth</w:t>
            </w:r>
          </w:p>
        </w:tc>
      </w:tr>
      <w:tr>
        <w:trPr>
          <w:cantSplit/>
        </w:trPr>
        <w:tc>
          <w:tcPr>
            <w:tcW w:type="dxa" w:w="676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20"/>
              </w:rPr>
              <w:t>Missing drought-depth observations</w:t>
            </w:r>
          </w:p>
        </w:tc>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20"/>
              </w:rPr>
              <w:t>5 (1.46%)</w:t>
            </w:r>
          </w:p>
        </w:tc>
      </w:tr>
    </w:tbl>
    <w:p>
      <w:pPr>
        <w:keepLines/>
        <w:spacing w:before="80" w:after="160"/>
      </w:pPr>
      <w:r>
        <w:rPr>
          <w:rFonts w:ascii="Times New Roman" w:hAnsi="Times New Roman"/>
          <w:i/>
          <w:sz w:val="20"/>
        </w:rPr>
        <w:t xml:space="preserve">Note. </w:t>
      </w:r>
      <w:r>
        <w:rPr>
          <w:rFonts w:ascii="Times New Roman" w:hAnsi="Times New Roman"/>
          <w:sz w:val="20"/>
        </w:rPr>
        <w:t>The complete-case sample was used for PCA, cluster analysis, regression, and spatial modelling. The five excluded cases were missing drought-depth values; no indicator had zero variance.</w:t>
      </w:r>
    </w:p>
    <w:p>
      <w:r>
        <w:t>The small proportion of incomplete records limited the reduction in sample size. Nevertheless, results from the complete-case analyses apply to the 337 retained municipalities. The treatment of missing observations and the associated limitations are considered again in the methodology and discussion chapters.</w:t>
      </w:r>
    </w:p>
    <w:p>
      <w:pPr>
        <w:pStyle w:val="Heading1"/>
        <w:keepNext/>
      </w:pPr>
      <w:r>
        <w:t>4.2 Descriptive Statistics</w:t>
      </w:r>
    </w:p>
    <w:p>
      <w:r>
        <w:t>Table 4.2 summarizes the five environmental indicators used in the multivariate analysis. The statistics describe all available observations for each indicator; consequently, drought depth has 337 observations, whereas the other four indicators have 342.</w:t>
      </w:r>
    </w:p>
    <w:p>
      <w:pPr>
        <w:keepNext/>
        <w:spacing w:before="160" w:after="80"/>
      </w:pPr>
      <w:r>
        <w:rPr>
          <w:rFonts w:ascii="Times New Roman" w:hAnsi="Times New Roman"/>
          <w:b/>
          <w:sz w:val="22"/>
        </w:rPr>
        <w:t>Table 4.2 Descriptive statistics for the environmental indicators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Indicator</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N</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Mean</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SD</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Minimum</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Median</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Maximum</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Drought depth (m)</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337</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3.95</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6.71</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0.90</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2.17</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59.80</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Canopy cover (%)</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342</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13.31</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4.76</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4.83</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12.68</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34.90</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Heat exposure 41 plus (%)</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342</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65.62</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6.11</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45.15</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66.05</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83.57</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Flood exposure over 50 cm (%)</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342</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40.06</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35.91</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0.00</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35.11</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98.89</w:t>
            </w:r>
          </w:p>
        </w:tc>
      </w:tr>
      <w:tr>
        <w:trPr>
          <w:cantSplit/>
        </w:trPr>
        <w:tc>
          <w:tcPr>
            <w:tcW w:type="dxa" w:w="32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Heavy rain exposure 20 plus (%)</w:t>
            </w:r>
          </w:p>
        </w:tc>
        <w:tc>
          <w:tcPr>
            <w:tcW w:type="dxa" w:w="6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342</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2.95</w:t>
            </w:r>
          </w:p>
        </w:tc>
        <w:tc>
          <w:tcPr>
            <w:tcW w:type="dxa" w:w="9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1.44</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0.48</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2.63</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9.77</w:t>
            </w:r>
          </w:p>
        </w:tc>
      </w:tr>
    </w:tbl>
    <w:p>
      <w:pPr>
        <w:keepLines/>
        <w:spacing w:before="80" w:after="160"/>
      </w:pPr>
      <w:r>
        <w:rPr>
          <w:rFonts w:ascii="Times New Roman" w:hAnsi="Times New Roman"/>
          <w:i/>
          <w:sz w:val="20"/>
        </w:rPr>
        <w:t xml:space="preserve">Note. </w:t>
      </w:r>
      <w:r>
        <w:rPr>
          <w:rFonts w:ascii="Times New Roman" w:hAnsi="Times New Roman"/>
          <w:sz w:val="20"/>
        </w:rPr>
        <w:t>SD denotes standard deviation. Percentages retain the definitions used in the source dataset. Descriptive statistics use all available values; subsequent multivariate analyses use 337 complete cases.</w:t>
      </w:r>
    </w:p>
    <w:p>
      <w:r>
        <w:t>Heat exposure had a mean of 65.62% and varied from 45.15% to 83.57%. Mean canopy cover was 13.31%, with values ranging from 4.83% to 34.90%. Flood exposure displayed the greatest absolute dispersion among the percentage indicators: its standard deviation was 35.91 percentage points, and municipal values ranged from 0.00% to 98.89%. This spread indicates substantial geographic variation in flood exposure.</w:t>
      </w:r>
    </w:p>
    <w:p>
      <w:r>
        <w:t>Drought depth averaged 3.95 m, but its median was 2.17 m and its maximum reached 59.80 m. The distance between the median and maximum suggests a right-skewed distribution with a small number of comparatively high observations. Heavy-rain exposure averaged 2.95%, with a standard deviation of 1.44 percentage points and a range from 0.48% to 9.77%. These differences in scale and dispersion support the use of standardized variables in the PCA and cluster analyses.</w:t>
      </w:r>
    </w:p>
    <w:p>
      <w:r>
        <w:br w:type="page"/>
      </w:r>
    </w:p>
    <w:p>
      <w:pPr>
        <w:pStyle w:val="Heading1"/>
        <w:keepNext/>
      </w:pPr>
      <w:r>
        <w:t>4.3 Correlation Analysis</w:t>
      </w:r>
    </w:p>
    <w:p>
      <w:r>
        <w:t>Pearson correlations were calculated for the 337 complete cases to examine how the five indicators co-varied. Table 4.3 and Figure 4.1 show that most pairwise relationships were weak to moderate. The strongest positive relationship was between drought depth and heavy-rain exposure (r = .602), while the strongest negative relationship was between canopy cover and heat exposure (r = -.578).</w:t>
      </w:r>
    </w:p>
    <w:p>
      <w:pPr>
        <w:keepNext/>
        <w:spacing w:before="160" w:after="80"/>
      </w:pPr>
      <w:r>
        <w:rPr>
          <w:rFonts w:ascii="Times New Roman" w:hAnsi="Times New Roman"/>
          <w:b/>
          <w:sz w:val="22"/>
        </w:rPr>
        <w:t>Table 4.3 Pearson correlation matrix for the environmental indicators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Indicator</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Canopy</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Drought</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Flood</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Heat</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Heavy rain</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Canopy cover</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1.000</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.145</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-.405</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-.578</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.268</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Drought depth</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.145</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1.000</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-.269</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.125</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.602</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Flood exposure</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-.405</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-.269</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1.000</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-.037</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-.266</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Heat exposure</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-.578</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.125</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-.037</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1.000</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.074</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Heavy-rain exposure</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.268</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.602</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-.266</w:t>
            </w:r>
          </w:p>
        </w:tc>
        <w:tc>
          <w:tcPr>
            <w:tcW w:type="dxa" w:w="132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.074</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1.000</w:t>
            </w:r>
          </w:p>
        </w:tc>
      </w:tr>
    </w:tbl>
    <w:p>
      <w:pPr>
        <w:keepLines/>
        <w:spacing w:before="80" w:after="160"/>
      </w:pPr>
      <w:r>
        <w:rPr>
          <w:rFonts w:ascii="Times New Roman" w:hAnsi="Times New Roman"/>
          <w:i/>
          <w:sz w:val="20"/>
        </w:rPr>
        <w:t xml:space="preserve">Note. </w:t>
      </w:r>
      <w:r>
        <w:rPr>
          <w:rFonts w:ascii="Times New Roman" w:hAnsi="Times New Roman"/>
          <w:sz w:val="20"/>
        </w:rPr>
        <w:t>N = 337 complete cases. Values are Pearson correlation coefficients. No inferential p-values were exported for this matrix; the correlations are therefore interpreted by direction and magnitude rather than statistical significance.</w:t>
      </w:r>
    </w:p>
    <w:p>
      <w:pPr>
        <w:keepNext/>
        <w:spacing w:before="120" w:after="60"/>
        <w:jc w:val="center"/>
      </w:pPr>
      <w:r>
        <w:drawing>
          <wp:inline xmlns:a="http://schemas.openxmlformats.org/drawingml/2006/main" xmlns:pic="http://schemas.openxmlformats.org/drawingml/2006/picture">
            <wp:extent cx="5715000" cy="45720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5715000" cy="4572000"/>
                    </a:xfrm>
                    <a:prstGeom prst="rect"/>
                  </pic:spPr>
                </pic:pic>
              </a:graphicData>
            </a:graphic>
          </wp:inline>
        </w:drawing>
      </w:r>
    </w:p>
    <w:p>
      <w:pPr>
        <w:keepLines/>
        <w:spacing w:after="160"/>
        <w:jc w:val="center"/>
      </w:pPr>
      <w:r>
        <w:rPr>
          <w:rFonts w:ascii="Times New Roman" w:hAnsi="Times New Roman"/>
          <w:i/>
          <w:sz w:val="20"/>
        </w:rPr>
        <w:t>Figure 4.1. Correlations among municipal environmental indicators (N = 337).</w:t>
      </w:r>
    </w:p>
    <w:p>
      <w:r>
        <w:t>The canopy-heat relationship indicates that municipalities with more canopy cover tended to have lower heat exposure. Canopy cover was also negatively related to flood exposure (r = -.405). Drought depth and heavy-rain exposure moved together, whereas both were negatively related to flood exposure (r = -.269 and r = -.266, respectively). Heat exposure was almost unrelated to flood exposure (r = -.037) and only weakly related to heavy-rain exposure (r = .074). These patterns show that municipal exposure is multidimensional rather than well represented by a single hazard measure.</w:t>
      </w:r>
    </w:p>
    <w:p>
      <w:r>
        <w:br w:type="page"/>
      </w:r>
    </w:p>
    <w:p>
      <w:pPr>
        <w:pStyle w:val="Heading1"/>
        <w:keepNext/>
      </w:pPr>
      <w:r>
        <w:t>4.4 Principal Component Analysis</w:t>
      </w:r>
    </w:p>
    <w:p>
      <w:r>
        <w:t>Principal component analysis (PCA) was applied to the standardized indicators. The first component had an eigenvalue of 2.009 and explained 40.18% of total variance; the second had an eigenvalue of 1.517 and explained 30.35%. Together, the first two components accounted for 70.53% of the variance. The remaining components each explained 16.38% or less.</w:t>
      </w:r>
    </w:p>
    <w:p>
      <w:pPr>
        <w:keepNext/>
        <w:spacing w:before="160" w:after="80"/>
      </w:pPr>
      <w:r>
        <w:rPr>
          <w:rFonts w:ascii="Times New Roman" w:hAnsi="Times New Roman"/>
          <w:b/>
          <w:sz w:val="22"/>
        </w:rPr>
        <w:t>Table 4.4 PCA eigenvalues, explained variance, and parallel-analysis decision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Component</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Eigenvalue</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Variance (%)</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Cumulative (%)</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Random 95th</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Retained</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PC1</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2.009</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40.18</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40.18</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1.221</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Yes</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PC2</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1.517</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30.35</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70.53</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1.113</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Yes</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PC3</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.819</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16.38</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86.91</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1.036</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No</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PC4</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.404</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8.08</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94.99</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.975</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No</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PC5</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.250</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5.01</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100.00</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.909</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No</w:t>
            </w:r>
          </w:p>
        </w:tc>
      </w:tr>
    </w:tbl>
    <w:p>
      <w:pPr>
        <w:keepLines/>
        <w:spacing w:before="80" w:after="160"/>
      </w:pPr>
      <w:r>
        <w:rPr>
          <w:rFonts w:ascii="Times New Roman" w:hAnsi="Times New Roman"/>
          <w:i/>
          <w:sz w:val="20"/>
        </w:rPr>
        <w:t xml:space="preserve">Note. </w:t>
      </w:r>
      <w:r>
        <w:rPr>
          <w:rFonts w:ascii="Times New Roman" w:hAnsi="Times New Roman"/>
          <w:sz w:val="20"/>
        </w:rPr>
        <w:t>Parallel analysis compared observed eigenvalues with the 95th percentile from 1,000 permuted datasets. A component was retained only when its observed eigenvalue exceeded the random benchmark.</w:t>
      </w:r>
    </w:p>
    <w:p>
      <w:pPr>
        <w:keepNext/>
        <w:spacing w:before="120" w:after="60"/>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pca_parallel_analysis.png"/>
                    <pic:cNvPicPr/>
                  </pic:nvPicPr>
                  <pic:blipFill>
                    <a:blip r:embed="rId15"/>
                    <a:stretch>
                      <a:fillRect/>
                    </a:stretch>
                  </pic:blipFill>
                  <pic:spPr>
                    <a:xfrm>
                      <a:off x="0" y="0"/>
                      <a:ext cx="5669280" cy="3779520"/>
                    </a:xfrm>
                    <a:prstGeom prst="rect"/>
                  </pic:spPr>
                </pic:pic>
              </a:graphicData>
            </a:graphic>
          </wp:inline>
        </w:drawing>
      </w:r>
    </w:p>
    <w:p>
      <w:pPr>
        <w:keepLines/>
        <w:spacing w:after="160"/>
        <w:jc w:val="center"/>
      </w:pPr>
      <w:r>
        <w:rPr>
          <w:rFonts w:ascii="Times New Roman" w:hAnsi="Times New Roman"/>
          <w:i/>
          <w:sz w:val="20"/>
        </w:rPr>
        <w:t>Figure 4.2. Parallel analysis for PCA component retention.</w:t>
      </w:r>
    </w:p>
    <w:p>
      <w:r>
        <w:t>Parallel analysis clearly supported a two-component representation: only PC1 and PC2 exceeded their random 95th-percentile eigenvalues. This retained solution is therefore grounded in an explicit simulation benchmark rather than the eigenvalue-greater-than-one rule alone.</w:t>
      </w:r>
    </w:p>
    <w:p>
      <w:pPr>
        <w:keepNext/>
        <w:spacing w:before="160" w:after="80"/>
      </w:pPr>
      <w:r>
        <w:rPr>
          <w:rFonts w:ascii="Times New Roman" w:hAnsi="Times New Roman"/>
          <w:b/>
          <w:sz w:val="22"/>
        </w:rPr>
        <w:t>Table 4.5 Loadings for the retained principal components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Indicator</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PC1</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PC2</w:t>
            </w:r>
          </w:p>
        </w:tc>
      </w:tr>
      <w:tr>
        <w:trPr>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Drought depth</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.694</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.484</w:t>
            </w:r>
          </w:p>
        </w:tc>
      </w:tr>
      <w:tr>
        <w:trPr>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Canopy cover</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.694</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-.623</w:t>
            </w:r>
          </w:p>
        </w:tc>
      </w:tr>
      <w:tr>
        <w:trPr>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Heat exposure</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-.232</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.868</w:t>
            </w:r>
          </w:p>
        </w:tc>
      </w:tr>
      <w:tr>
        <w:trPr>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Flood exposure</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-.653</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-.020</w:t>
            </w:r>
          </w:p>
        </w:tc>
      </w:tr>
      <w:tr>
        <w:trPr>
          <w:cantSplit/>
        </w:trPr>
        <w:tc>
          <w:tcPr>
            <w:tcW w:type="dxa" w:w="51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Heavy-rain exposure</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.753</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.377</w:t>
            </w:r>
          </w:p>
        </w:tc>
      </w:tr>
    </w:tbl>
    <w:p>
      <w:pPr>
        <w:keepLines/>
        <w:spacing w:before="80" w:after="160"/>
      </w:pPr>
      <w:r>
        <w:rPr>
          <w:rFonts w:ascii="Times New Roman" w:hAnsi="Times New Roman"/>
          <w:i/>
          <w:sz w:val="20"/>
        </w:rPr>
        <w:t xml:space="preserve">Note. </w:t>
      </w:r>
      <w:r>
        <w:rPr>
          <w:rFonts w:ascii="Times New Roman" w:hAnsi="Times New Roman"/>
          <w:sz w:val="20"/>
        </w:rPr>
        <w:t>Loadings are correlations between standardized indicators and components. Component signs are mathematically arbitrary; interpretation depends on the pattern and relative magnitude of loadings.</w:t>
      </w:r>
    </w:p>
    <w:p>
      <w:pPr>
        <w:keepNext/>
        <w:spacing w:before="120" w:after="60"/>
        <w:jc w:val="center"/>
      </w:pPr>
      <w:r>
        <w:drawing>
          <wp:inline xmlns:a="http://schemas.openxmlformats.org/drawingml/2006/main" xmlns:pic="http://schemas.openxmlformats.org/drawingml/2006/picture">
            <wp:extent cx="5623560" cy="3749040"/>
            <wp:docPr id="3" name="Picture 3"/>
            <wp:cNvGraphicFramePr>
              <a:graphicFrameLocks noChangeAspect="1"/>
            </wp:cNvGraphicFramePr>
            <a:graphic>
              <a:graphicData uri="http://schemas.openxmlformats.org/drawingml/2006/picture">
                <pic:pic>
                  <pic:nvPicPr>
                    <pic:cNvPr id="0" name="pca_loading_plot.png"/>
                    <pic:cNvPicPr/>
                  </pic:nvPicPr>
                  <pic:blipFill>
                    <a:blip r:embed="rId16"/>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4.3. Indicator loadings on the first two principal components.</w:t>
      </w:r>
    </w:p>
    <w:p>
      <w:r>
        <w:t>PC1 was defined most strongly by heavy-rain exposure (.753), drought depth (.694), canopy cover (.694), and flood exposure in the opposite direction (-.653). It therefore describes a contrast between municipalities characterized by drought/heavy-rain exposure and canopy on one side, and flood exposure on the other. PC2 was dominated by heat exposure (.868) opposed to canopy cover (-.623), with smaller positive contributions from drought depth and heavy-rain exposure. PC2 consequently captures a heat-versus-canopy gradient. The components are descriptive axes and should not be interpreted as causal mechanisms.</w:t>
      </w:r>
    </w:p>
    <w:p>
      <w:pPr>
        <w:pStyle w:val="Heading1"/>
        <w:keepNext/>
      </w:pPr>
      <w:r>
        <w:t>4.5 Cluster Analysis</w:t>
      </w:r>
    </w:p>
    <w:p>
      <w:pPr>
        <w:pStyle w:val="Heading2"/>
        <w:keepNext/>
      </w:pPr>
      <w:r>
        <w:t>4.5.1 Selection of the Cluster Solution</w:t>
      </w:r>
    </w:p>
    <w:p>
      <w:r>
        <w:t>K-means solutions from two to ten clusters were compared using within-cluster sum of squares and average silhouette width. The elbow curve improved progressively as more clusters were added. Average silhouette width was highest for the two-cluster solution (.340), but the four-cluster solution was close (.328) and explained substantially more between-municipality variance (57.86% compared with 25.88%).</w:t>
      </w:r>
    </w:p>
    <w:p>
      <w:pPr>
        <w:keepNext/>
        <w:spacing w:before="160" w:after="80"/>
      </w:pPr>
      <w:r>
        <w:rPr>
          <w:rFonts w:ascii="Times New Roman" w:hAnsi="Times New Roman"/>
          <w:b/>
          <w:sz w:val="22"/>
        </w:rPr>
        <w:t>Table 4.6 Comparison of the two- and four-cluster solutions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Solution</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Average silhouette</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Variance explained (%)</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Cluster sizes</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Two clusters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.340</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25.88</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85, 252</w:t>
            </w:r>
          </w:p>
        </w:tc>
      </w:tr>
      <w:tr>
        <w:trPr>
          <w:cantSplit/>
        </w:trPr>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Four clusters</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.328</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57.86</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52, 133, 136, 16</w:t>
            </w:r>
          </w:p>
        </w:tc>
      </w:tr>
    </w:tbl>
    <w:p>
      <w:pPr>
        <w:keepLines/>
        <w:spacing w:before="80" w:after="160"/>
      </w:pPr>
      <w:r>
        <w:rPr>
          <w:rFonts w:ascii="Times New Roman" w:hAnsi="Times New Roman"/>
          <w:i/>
          <w:sz w:val="20"/>
        </w:rPr>
        <w:t xml:space="preserve">Note. </w:t>
      </w:r>
      <w:r>
        <w:rPr>
          <w:rFonts w:ascii="Times New Roman" w:hAnsi="Times New Roman"/>
          <w:sz w:val="20"/>
        </w:rPr>
        <w:t>The four-cluster solution was selected for substantive differentiation, not because it uniquely maximized every internal-validity criterion.</w:t>
      </w:r>
    </w:p>
    <w:p>
      <w:pPr>
        <w:keepNext/>
        <w:spacing w:before="120" w:after="60"/>
        <w:jc w:val="center"/>
      </w:pPr>
      <w:r>
        <w:drawing>
          <wp:inline xmlns:a="http://schemas.openxmlformats.org/drawingml/2006/main" xmlns:pic="http://schemas.openxmlformats.org/drawingml/2006/picture">
            <wp:extent cx="5623560" cy="3749040"/>
            <wp:docPr id="4" name="Picture 4"/>
            <wp:cNvGraphicFramePr>
              <a:graphicFrameLocks noChangeAspect="1"/>
            </wp:cNvGraphicFramePr>
            <a:graphic>
              <a:graphicData uri="http://schemas.openxmlformats.org/drawingml/2006/picture">
                <pic:pic>
                  <pic:nvPicPr>
                    <pic:cNvPr id="0" name="cluster_elbow_plot.png"/>
                    <pic:cNvPicPr/>
                  </pic:nvPicPr>
                  <pic:blipFill>
                    <a:blip r:embed="rId17"/>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4.4. Elbow diagnostic for two to ten clusters.</w:t>
      </w:r>
    </w:p>
    <w:p>
      <w:pPr>
        <w:keepNext/>
        <w:spacing w:before="120" w:after="60"/>
        <w:jc w:val="center"/>
      </w:pPr>
      <w:r>
        <w:drawing>
          <wp:inline xmlns:a="http://schemas.openxmlformats.org/drawingml/2006/main" xmlns:pic="http://schemas.openxmlformats.org/drawingml/2006/picture">
            <wp:extent cx="5623560" cy="3749040"/>
            <wp:docPr id="5" name="Picture 5"/>
            <wp:cNvGraphicFramePr>
              <a:graphicFrameLocks noChangeAspect="1"/>
            </wp:cNvGraphicFramePr>
            <a:graphic>
              <a:graphicData uri="http://schemas.openxmlformats.org/drawingml/2006/picture">
                <pic:pic>
                  <pic:nvPicPr>
                    <pic:cNvPr id="0" name="cluster_silhouette_plot.png"/>
                    <pic:cNvPicPr/>
                  </pic:nvPicPr>
                  <pic:blipFill>
                    <a:blip r:embed="rId18"/>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4.5. Average silhouette width for two to ten clusters.</w:t>
      </w:r>
    </w:p>
    <w:p>
      <w:r>
        <w:t>The four-cluster solution was retained because it provided four distinct and interpretable environmental profiles while sacrificing only .012 in average silhouette width relative to the two-cluster solution. This decision is best understood as a balance between parsimony, separation, and substantive resolution. The four-group solution is therefore useful, but it is not presented as the only defensible partition of the data.</w:t>
      </w:r>
    </w:p>
    <w:p>
      <w:pPr>
        <w:pStyle w:val="Heading2"/>
        <w:keepNext/>
      </w:pPr>
      <w:r>
        <w:t>4.5.2 Environmental Profiles of the Four Clusters</w:t>
      </w:r>
    </w:p>
    <w:p>
      <w:pPr>
        <w:keepNext/>
        <w:spacing w:before="160" w:after="80"/>
      </w:pPr>
      <w:r>
        <w:rPr>
          <w:rFonts w:ascii="Times New Roman" w:hAnsi="Times New Roman"/>
          <w:b/>
          <w:sz w:val="22"/>
        </w:rPr>
        <w:t>Table 4.7 Characteristics of the four-cluster solution in original units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Cluster profile</w:t>
            </w:r>
          </w:p>
        </w:tc>
        <w:tc>
          <w:tcPr>
            <w:tcW w:type="dxa" w:w="54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N</w:t>
            </w:r>
          </w:p>
        </w:tc>
        <w:tc>
          <w:tcPr>
            <w:tcW w:type="dxa" w:w="11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Drought (m)</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Canopy (%)</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Heat (%)</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Flood (%)</w:t>
            </w:r>
          </w:p>
        </w:tc>
        <w:tc>
          <w:tcPr>
            <w:tcW w:type="dxa" w:w="126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6"/>
              </w:rPr>
              <w:t>Heavy rain (%)</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6"/>
              </w:rPr>
              <w:t>1 High canopy, low heat</w:t>
            </w:r>
          </w:p>
        </w:tc>
        <w:tc>
          <w:tcPr>
            <w:tcW w:type="dxa" w:w="54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52</w:t>
            </w:r>
          </w:p>
        </w:tc>
        <w:tc>
          <w:tcPr>
            <w:tcW w:type="dxa" w:w="11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5.30</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20.81</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57.78</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19.18</w:t>
            </w:r>
          </w:p>
        </w:tc>
        <w:tc>
          <w:tcPr>
            <w:tcW w:type="dxa" w:w="126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3.83</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6"/>
              </w:rPr>
              <w:t>2 Low flood/rain</w:t>
            </w:r>
          </w:p>
        </w:tc>
        <w:tc>
          <w:tcPr>
            <w:tcW w:type="dxa" w:w="54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133</w:t>
            </w:r>
          </w:p>
        </w:tc>
        <w:tc>
          <w:tcPr>
            <w:tcW w:type="dxa" w:w="11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2.54</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12.94</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68.15</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11.28</w:t>
            </w:r>
          </w:p>
        </w:tc>
        <w:tc>
          <w:tcPr>
            <w:tcW w:type="dxa" w:w="126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2.77</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6"/>
              </w:rPr>
              <w:t>3 Flood exposure</w:t>
            </w:r>
          </w:p>
        </w:tc>
        <w:tc>
          <w:tcPr>
            <w:tcW w:type="dxa" w:w="54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136</w:t>
            </w:r>
          </w:p>
        </w:tc>
        <w:tc>
          <w:tcPr>
            <w:tcW w:type="dxa" w:w="11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1.86</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10.76</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65.24</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78.96</w:t>
            </w:r>
          </w:p>
        </w:tc>
        <w:tc>
          <w:tcPr>
            <w:tcW w:type="dxa" w:w="126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6"/>
              </w:rPr>
              <w:t>2.31</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6"/>
              </w:rPr>
              <w:t>4 Drought-heavy-rain extreme</w:t>
            </w:r>
          </w:p>
        </w:tc>
        <w:tc>
          <w:tcPr>
            <w:tcW w:type="dxa" w:w="54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16</w:t>
            </w:r>
          </w:p>
        </w:tc>
        <w:tc>
          <w:tcPr>
            <w:tcW w:type="dxa" w:w="11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28.99</w:t>
            </w:r>
          </w:p>
        </w:tc>
        <w:tc>
          <w:tcPr>
            <w:tcW w:type="dxa" w:w="1123"/>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13.34</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70.78</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8.62</w:t>
            </w:r>
          </w:p>
        </w:tc>
        <w:tc>
          <w:tcPr>
            <w:tcW w:type="dxa" w:w="126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6"/>
              </w:rPr>
              <w:t>6.59</w:t>
            </w:r>
          </w:p>
        </w:tc>
      </w:tr>
    </w:tbl>
    <w:p>
      <w:pPr>
        <w:keepLines/>
        <w:spacing w:before="80" w:after="160"/>
      </w:pPr>
      <w:r>
        <w:rPr>
          <w:rFonts w:ascii="Times New Roman" w:hAnsi="Times New Roman"/>
          <w:i/>
          <w:sz w:val="20"/>
        </w:rPr>
        <w:t xml:space="preserve">Note. </w:t>
      </w:r>
      <w:r>
        <w:rPr>
          <w:rFonts w:ascii="Times New Roman" w:hAnsi="Times New Roman"/>
          <w:sz w:val="20"/>
        </w:rPr>
        <w:t>Values are cluster means. Cluster shares were 15.43%, 39.47%, 40.36%, and 4.75%, respectively. Labels summarize relative profiles and do not imply absolute safety or vulnerability.</w:t>
      </w:r>
    </w:p>
    <w:p>
      <w:pPr>
        <w:keepNext/>
        <w:spacing w:before="120" w:after="60"/>
        <w:jc w:val="center"/>
      </w:pPr>
      <w:r>
        <w:drawing>
          <wp:inline xmlns:a="http://schemas.openxmlformats.org/drawingml/2006/main" xmlns:pic="http://schemas.openxmlformats.org/drawingml/2006/picture">
            <wp:extent cx="5715000" cy="4000500"/>
            <wp:docPr id="6" name="Picture 6"/>
            <wp:cNvGraphicFramePr>
              <a:graphicFrameLocks noChangeAspect="1"/>
            </wp:cNvGraphicFramePr>
            <a:graphic>
              <a:graphicData uri="http://schemas.openxmlformats.org/drawingml/2006/picture">
                <pic:pic>
                  <pic:nvPicPr>
                    <pic:cNvPr id="0" name="four_cluster_profile_plot.png"/>
                    <pic:cNvPicPr/>
                  </pic:nvPicPr>
                  <pic:blipFill>
                    <a:blip r:embed="rId19"/>
                    <a:stretch>
                      <a:fillRect/>
                    </a:stretch>
                  </pic:blipFill>
                  <pic:spPr>
                    <a:xfrm>
                      <a:off x="0" y="0"/>
                      <a:ext cx="5715000" cy="4000500"/>
                    </a:xfrm>
                    <a:prstGeom prst="rect"/>
                  </pic:spPr>
                </pic:pic>
              </a:graphicData>
            </a:graphic>
          </wp:inline>
        </w:drawing>
      </w:r>
    </w:p>
    <w:p>
      <w:pPr>
        <w:keepLines/>
        <w:spacing w:after="160"/>
        <w:jc w:val="center"/>
      </w:pPr>
      <w:r>
        <w:rPr>
          <w:rFonts w:ascii="Times New Roman" w:hAnsi="Times New Roman"/>
          <w:i/>
          <w:sz w:val="20"/>
        </w:rPr>
        <w:t>Figure 4.6. Standardized environmental profiles of the four municipality clusters.</w:t>
      </w:r>
    </w:p>
    <w:p>
      <w:r>
        <w:t>Cluster 1 contained 52 municipalities and combined the highest mean canopy cover (20.81%) with the lowest mean heat exposure (57.78%). Cluster 2 contained 133 municipalities and was distinguished by low flood exposure (11.28%) and below-average heavy-rain exposure (2.77%), although mean heat exposure was comparatively high (68.15%). Cluster 3 was the largest group, with 136 municipalities, and was dominated by flood exposure: its mean of 78.96% greatly exceeded the values in the other clusters.</w:t>
      </w:r>
    </w:p>
    <w:p>
      <w:r>
        <w:t>Cluster 4 was small (16 municipalities) but extreme. Mean drought depth reached 28.99 m and mean heavy-rain exposure reached 6.59%; the corresponding medians were 26.24 m and 6.35%, showing that the cluster profile was not produced by a single exceptional municipality. This group also had the highest mean heat exposure (70.78%) and the lowest mean flood exposure (8.62%). The four profiles therefore describe distinct combinations of exposures rather than a simple low-to-high continuum.</w:t>
      </w:r>
    </w:p>
    <w:p>
      <w:pPr>
        <w:pStyle w:val="Heading2"/>
        <w:keepNext/>
      </w:pPr>
      <w:r>
        <w:t>4.5.3 Geographic Distribution of the Profiles</w:t>
      </w:r>
    </w:p>
    <w:p>
      <w:pPr>
        <w:keepNext/>
        <w:spacing w:before="120" w:after="60"/>
        <w:jc w:val="center"/>
      </w:pPr>
      <w:r>
        <w:drawing>
          <wp:inline xmlns:a="http://schemas.openxmlformats.org/drawingml/2006/main" xmlns:pic="http://schemas.openxmlformats.org/drawingml/2006/picture">
            <wp:extent cx="5577840" cy="4056611"/>
            <wp:docPr id="7" name="Picture 7"/>
            <wp:cNvGraphicFramePr>
              <a:graphicFrameLocks noChangeAspect="1"/>
            </wp:cNvGraphicFramePr>
            <a:graphic>
              <a:graphicData uri="http://schemas.openxmlformats.org/drawingml/2006/picture">
                <pic:pic>
                  <pic:nvPicPr>
                    <pic:cNvPr id="0" name="municipality_cluster_map.png"/>
                    <pic:cNvPicPr/>
                  </pic:nvPicPr>
                  <pic:blipFill>
                    <a:blip r:embed="rId20"/>
                    <a:stretch>
                      <a:fillRect/>
                    </a:stretch>
                  </pic:blipFill>
                  <pic:spPr>
                    <a:xfrm>
                      <a:off x="0" y="0"/>
                      <a:ext cx="5577840" cy="4056611"/>
                    </a:xfrm>
                    <a:prstGeom prst="rect"/>
                  </pic:spPr>
                </pic:pic>
              </a:graphicData>
            </a:graphic>
          </wp:inline>
        </w:drawing>
      </w:r>
    </w:p>
    <w:p>
      <w:pPr>
        <w:keepLines/>
        <w:spacing w:after="160"/>
        <w:jc w:val="center"/>
      </w:pPr>
      <w:r>
        <w:rPr>
          <w:rFonts w:ascii="Times New Roman" w:hAnsi="Times New Roman"/>
          <w:i/>
          <w:sz w:val="20"/>
        </w:rPr>
        <w:t>Figure 4.7. Geographic distribution of the four environmental-profile clusters.</w:t>
      </w:r>
    </w:p>
    <w:p>
      <w:r>
        <w:t>The mapped profiles were geographically structured. Flood-exposure municipalities formed extensive contiguous areas, while the drought-heavy-rain extreme profile was concentrated in a small set of municipalities. The visible clustering motivated formal spatial tests later in this chapter. The map is descriptive: spatial proximity does not by itself establish a shared causal process.</w:t>
      </w:r>
    </w:p>
    <w:p>
      <w:r>
        <w:br w:type="page"/>
      </w:r>
    </w:p>
    <w:p>
      <w:pPr>
        <w:pStyle w:val="Heading2"/>
        <w:keepNext/>
      </w:pPr>
      <w:r>
        <w:t>4.5.4 Bootstrap Stability</w:t>
      </w:r>
    </w:p>
    <w:p>
      <w:pPr>
        <w:keepNext/>
        <w:spacing w:before="160" w:after="80"/>
      </w:pPr>
      <w:r>
        <w:rPr>
          <w:rFonts w:ascii="Times New Roman" w:hAnsi="Times New Roman"/>
          <w:b/>
          <w:sz w:val="22"/>
        </w:rPr>
        <w:t>Table 4.8 Bootstrap stability of the four-cluster solution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Cluster</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Mean Jaccard</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Dissolved runs</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Recovered runs</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Assessment</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1</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.816</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 (0.2%)</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357 (71.4%)</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Stable</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2</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.936</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 (0.0%)</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499 (99.8%)</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Highly stable</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3</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.978</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 (0.0%)</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500 (100.0%)</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Highly stable</w:t>
            </w:r>
          </w:p>
        </w:tc>
      </w:tr>
      <w:tr>
        <w:trPr>
          <w:cantSplit/>
        </w:trPr>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4</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.879</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 (1.8%)</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431 (86.2%)</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Highly stable</w:t>
            </w:r>
          </w:p>
        </w:tc>
      </w:tr>
    </w:tbl>
    <w:p>
      <w:pPr>
        <w:keepLines/>
        <w:spacing w:before="80" w:after="160"/>
      </w:pPr>
      <w:r>
        <w:rPr>
          <w:rFonts w:ascii="Times New Roman" w:hAnsi="Times New Roman"/>
          <w:i/>
          <w:sz w:val="20"/>
        </w:rPr>
        <w:t xml:space="preserve">Note. </w:t>
      </w:r>
      <w:r>
        <w:rPr>
          <w:rFonts w:ascii="Times New Roman" w:hAnsi="Times New Roman"/>
          <w:sz w:val="20"/>
        </w:rPr>
        <w:t>Results are based on 500 bootstrap samples. Jaccard similarity assesses the reproducibility of membership patterns after resampling.</w:t>
      </w:r>
    </w:p>
    <w:p>
      <w:pPr>
        <w:keepNext/>
        <w:spacing w:before="120" w:after="60"/>
        <w:jc w:val="center"/>
      </w:pPr>
      <w:r>
        <w:drawing>
          <wp:inline xmlns:a="http://schemas.openxmlformats.org/drawingml/2006/main" xmlns:pic="http://schemas.openxmlformats.org/drawingml/2006/picture">
            <wp:extent cx="5623560" cy="3749040"/>
            <wp:docPr id="8" name="Picture 8"/>
            <wp:cNvGraphicFramePr>
              <a:graphicFrameLocks noChangeAspect="1"/>
            </wp:cNvGraphicFramePr>
            <a:graphic>
              <a:graphicData uri="http://schemas.openxmlformats.org/drawingml/2006/picture">
                <pic:pic>
                  <pic:nvPicPr>
                    <pic:cNvPr id="0" name="cluster_bootstrap_stability.png"/>
                    <pic:cNvPicPr/>
                  </pic:nvPicPr>
                  <pic:blipFill>
                    <a:blip r:embed="rId21"/>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4.8. Bootstrap stability of the four-cluster solution.</w:t>
      </w:r>
    </w:p>
    <w:p>
      <w:r>
        <w:t>All four clusters exceeded the .75 stability threshold. Clusters 2 and 3 were especially reproducible, with mean Jaccard similarities of .936 and .978. Cluster 1 had the lowest value (.816) but still met the predefined stable criterion. The repeated colours in Figure 4.8 encode stability categories, not cluster identities: clusters 2, 3, and 4 share one colour because all three were classified as highly stable.</w:t>
      </w:r>
    </w:p>
    <w:p>
      <w:r>
        <w:br w:type="page"/>
      </w:r>
    </w:p>
    <w:p>
      <w:pPr>
        <w:pStyle w:val="Heading1"/>
        <w:keepNext/>
      </w:pPr>
      <w:r>
        <w:t>4.6 Multiple Linear Regression</w:t>
      </w:r>
    </w:p>
    <w:p>
      <w:pPr>
        <w:pStyle w:val="Heading2"/>
        <w:keepNext/>
      </w:pPr>
      <w:r>
        <w:t>4.6.1 Model Fit and HC3-Robust Estimates</w:t>
      </w:r>
    </w:p>
    <w:p>
      <w:r>
        <w:t>An ordinary least-squares model estimated the adjusted association of canopy cover, drought depth, flood exposure, and heavy-rain exposure with municipal heat exposure. The model was statistically significant, F(4, 332) = 70.38, p &lt; .001, and explained 45.89% of the observed variation in heat exposure (adjusted R-squared = .452). Because the residual-normality test was significant, HC3 robust standard errors and confidence intervals are used for coefficient inference.</w:t>
      </w:r>
    </w:p>
    <w:p>
      <w:pPr>
        <w:keepNext/>
        <w:spacing w:before="160" w:after="80"/>
      </w:pPr>
      <w:r>
        <w:rPr>
          <w:rFonts w:ascii="Times New Roman" w:hAnsi="Times New Roman"/>
          <w:b/>
          <w:sz w:val="22"/>
        </w:rPr>
        <w:t>Table 4.9 Fit statistics for the heat-exposure regression model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N</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R-squared</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Adjusted R-squared</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Residual SE</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F (4, 332)</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AIC</w:t>
            </w:r>
          </w:p>
        </w:tc>
      </w:tr>
      <w:tr>
        <w:trPr>
          <w:cantSplit/>
        </w:trPr>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337</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.459</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.452</w:t>
            </w:r>
          </w:p>
        </w:tc>
        <w:tc>
          <w:tcPr>
            <w:tcW w:type="dxa" w:w="151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4.458</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70.378***</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1970.742</w:t>
            </w:r>
          </w:p>
        </w:tc>
      </w:tr>
    </w:tbl>
    <w:p>
      <w:pPr>
        <w:keepLines/>
        <w:spacing w:before="80" w:after="160"/>
      </w:pPr>
      <w:r>
        <w:rPr>
          <w:rFonts w:ascii="Times New Roman" w:hAnsi="Times New Roman"/>
          <w:i/>
          <w:sz w:val="20"/>
        </w:rPr>
        <w:t xml:space="preserve">Note. </w:t>
      </w:r>
      <w:r>
        <w:rPr>
          <w:rFonts w:ascii="Times New Roman" w:hAnsi="Times New Roman"/>
          <w:sz w:val="20"/>
        </w:rPr>
        <w:t>*** p &lt; .001. The dependent variable is municipal heat exposure (%).</w:t>
      </w:r>
    </w:p>
    <w:p>
      <w:pPr>
        <w:keepNext/>
        <w:spacing w:before="160" w:after="80"/>
      </w:pPr>
      <w:r>
        <w:rPr>
          <w:rFonts w:ascii="Times New Roman" w:hAnsi="Times New Roman"/>
          <w:b/>
          <w:sz w:val="22"/>
        </w:rPr>
        <w:t>Table 4.10 HC3-robust coefficients for municipal heat exposure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Predictor</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B</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Robust SE</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t</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95% CI</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Intercept</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77.613</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.981</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79.10</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[75.683, 79.543]</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Canopy cover</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-.943</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.047</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-20.24</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[-1.035, -.852]</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Drought depth</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.054</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.046</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1.16</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.246</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[-.037, .144]</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Flood exposure</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-.047</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.007</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-6.40</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[-.061, -.032]</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Heavy-rain exposure</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.705</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.213</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3.31</w:t>
            </w:r>
          </w:p>
        </w:tc>
        <w:tc>
          <w:tcPr>
            <w:tcW w:type="dxa" w:w="103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[.286, 1.125]</w:t>
            </w:r>
          </w:p>
        </w:tc>
      </w:tr>
    </w:tbl>
    <w:p>
      <w:pPr>
        <w:keepLines/>
        <w:spacing w:before="80" w:after="160"/>
      </w:pPr>
      <w:r>
        <w:rPr>
          <w:rFonts w:ascii="Times New Roman" w:hAnsi="Times New Roman"/>
          <w:i/>
          <w:sz w:val="20"/>
        </w:rPr>
        <w:t xml:space="preserve">Note. </w:t>
      </w:r>
      <w:r>
        <w:rPr>
          <w:rFonts w:ascii="Times New Roman" w:hAnsi="Times New Roman"/>
          <w:sz w:val="20"/>
        </w:rPr>
        <w:t>B values are unstandardized coefficients. For percentage predictors, B is the adjusted percentage-point difference in heat exposure associated with a one-percentage-point difference in the predictor. For drought depth, the unit is one metre.</w:t>
      </w:r>
    </w:p>
    <w:p>
      <w:pPr>
        <w:keepNext/>
        <w:spacing w:before="120" w:after="60"/>
        <w:jc w:val="center"/>
      </w:pPr>
      <w:r>
        <w:drawing>
          <wp:inline xmlns:a="http://schemas.openxmlformats.org/drawingml/2006/main" xmlns:pic="http://schemas.openxmlformats.org/drawingml/2006/picture">
            <wp:extent cx="5669280" cy="3779520"/>
            <wp:docPr id="9" name="Picture 9"/>
            <wp:cNvGraphicFramePr>
              <a:graphicFrameLocks noChangeAspect="1"/>
            </wp:cNvGraphicFramePr>
            <a:graphic>
              <a:graphicData uri="http://schemas.openxmlformats.org/drawingml/2006/picture">
                <pic:pic>
                  <pic:nvPicPr>
                    <pic:cNvPr id="0" name="regression_coefficient_plot.png"/>
                    <pic:cNvPicPr/>
                  </pic:nvPicPr>
                  <pic:blipFill>
                    <a:blip r:embed="rId22"/>
                    <a:stretch>
                      <a:fillRect/>
                    </a:stretch>
                  </pic:blipFill>
                  <pic:spPr>
                    <a:xfrm>
                      <a:off x="0" y="0"/>
                      <a:ext cx="5669280" cy="3779520"/>
                    </a:xfrm>
                    <a:prstGeom prst="rect"/>
                  </pic:spPr>
                </pic:pic>
              </a:graphicData>
            </a:graphic>
          </wp:inline>
        </w:drawing>
      </w:r>
    </w:p>
    <w:p>
      <w:pPr>
        <w:keepLines/>
        <w:spacing w:after="160"/>
        <w:jc w:val="center"/>
      </w:pPr>
      <w:r>
        <w:rPr>
          <w:rFonts w:ascii="Times New Roman" w:hAnsi="Times New Roman"/>
          <w:i/>
          <w:sz w:val="20"/>
        </w:rPr>
        <w:t>Figure 4.9. HC3-robust adjusted associations with municipal heat exposure.</w:t>
      </w:r>
    </w:p>
    <w:p>
      <w:r>
        <w:t>Holding the other indicators constant, a one-percentage-point increase in canopy cover was associated with a 0.943-percentage-point lower heat-exposure value (95% CI [-1.035, -.852], p &lt; .001). Flood exposure also had a negative adjusted coefficient (-.047, p &lt; .001), while heavy-rain exposure had a positive coefficient (.705, p = .001). Drought depth was not statistically distinguishable from zero in the non-spatial model (p = .246). These estimates describe adjusted associations and do not demonstrate causation.</w:t>
      </w:r>
    </w:p>
    <w:p>
      <w:r>
        <w:br w:type="page"/>
      </w:r>
    </w:p>
    <w:p>
      <w:pPr>
        <w:pStyle w:val="Heading2"/>
        <w:keepNext/>
      </w:pPr>
      <w:r>
        <w:t>4.6.2 Diagnostics and Influence Sensitivity</w:t>
      </w:r>
    </w:p>
    <w:p>
      <w:pPr>
        <w:keepNext/>
        <w:spacing w:before="160" w:after="80"/>
      </w:pPr>
      <w:r>
        <w:rPr>
          <w:rFonts w:ascii="Times New Roman" w:hAnsi="Times New Roman"/>
          <w:b/>
          <w:sz w:val="22"/>
        </w:rPr>
        <w:t>Table 4.11 Regression diagnostic tests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Diagnostic</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Statistic</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Interpretation</w:t>
            </w:r>
          </w:p>
        </w:tc>
      </w:tr>
      <w:tr>
        <w:trPr>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Shapiro-Wilk residual normality</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 = .990, p = .021</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Departure from normality</w:t>
            </w:r>
          </w:p>
        </w:tc>
      </w:tr>
      <w:tr>
        <w:trPr>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Breusch-Pagan heteroskedasticity</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Chi-square(4) = 4.416, p = .353</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No evidence detected</w:t>
            </w:r>
          </w:p>
        </w:tc>
      </w:tr>
      <w:tr>
        <w:trPr>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RESET functional form</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F(2, 330) = 1.724, p = .180</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No evidence detected</w:t>
            </w:r>
          </w:p>
        </w:tc>
      </w:tr>
      <w:tr>
        <w:trPr>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Variance inflation factors</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1.244-1.659</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No problematic collinearity</w:t>
            </w:r>
          </w:p>
        </w:tc>
      </w:tr>
      <w:tr>
        <w:trPr>
          <w:cantSplit/>
        </w:trPr>
        <w:tc>
          <w:tcPr>
            <w:tcW w:type="dxa" w:w="33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Cook's-distance screening</w:t>
            </w:r>
          </w:p>
        </w:tc>
        <w:tc>
          <w:tcPr>
            <w:tcW w:type="dxa" w:w="28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12 cases above 4/N</w:t>
            </w:r>
          </w:p>
        </w:tc>
        <w:tc>
          <w:tcPr>
            <w:tcW w:type="dxa" w:w="252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Sensitivity check required</w:t>
            </w:r>
          </w:p>
        </w:tc>
      </w:tr>
    </w:tbl>
    <w:p>
      <w:pPr>
        <w:keepLines/>
        <w:spacing w:before="80" w:after="160"/>
      </w:pPr>
      <w:r>
        <w:rPr>
          <w:rFonts w:ascii="Times New Roman" w:hAnsi="Times New Roman"/>
          <w:i/>
          <w:sz w:val="20"/>
        </w:rPr>
        <w:t xml:space="preserve">Note. </w:t>
      </w:r>
      <w:r>
        <w:rPr>
          <w:rFonts w:ascii="Times New Roman" w:hAnsi="Times New Roman"/>
          <w:sz w:val="20"/>
        </w:rPr>
        <w:t>The Shapiro-Wilk result motivated HC3 robust inference. The Cook's-distance threshold was 4/337 = .0119; the maximum was .0542.</w:t>
      </w:r>
    </w:p>
    <w:p>
      <w:pPr>
        <w:keepNext/>
        <w:spacing w:before="120" w:after="60"/>
        <w:jc w:val="center"/>
      </w:pPr>
      <w:r>
        <w:drawing>
          <wp:inline xmlns:a="http://schemas.openxmlformats.org/drawingml/2006/main" xmlns:pic="http://schemas.openxmlformats.org/drawingml/2006/picture">
            <wp:extent cx="5623560" cy="3749040"/>
            <wp:docPr id="10" name="Picture 10"/>
            <wp:cNvGraphicFramePr>
              <a:graphicFrameLocks noChangeAspect="1"/>
            </wp:cNvGraphicFramePr>
            <a:graphic>
              <a:graphicData uri="http://schemas.openxmlformats.org/drawingml/2006/picture">
                <pic:pic>
                  <pic:nvPicPr>
                    <pic:cNvPr id="0" name="regression_residuals_fitted.png"/>
                    <pic:cNvPicPr/>
                  </pic:nvPicPr>
                  <pic:blipFill>
                    <a:blip r:embed="rId23"/>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4.10. Residuals versus fitted values for the OLS model.</w:t>
      </w:r>
    </w:p>
    <w:p>
      <w:pPr>
        <w:keepNext/>
        <w:spacing w:before="120" w:after="60"/>
        <w:jc w:val="center"/>
      </w:pPr>
      <w:r>
        <w:drawing>
          <wp:inline xmlns:a="http://schemas.openxmlformats.org/drawingml/2006/main" xmlns:pic="http://schemas.openxmlformats.org/drawingml/2006/picture">
            <wp:extent cx="5623560" cy="3749040"/>
            <wp:docPr id="11" name="Picture 11"/>
            <wp:cNvGraphicFramePr>
              <a:graphicFrameLocks noChangeAspect="1"/>
            </wp:cNvGraphicFramePr>
            <a:graphic>
              <a:graphicData uri="http://schemas.openxmlformats.org/drawingml/2006/picture">
                <pic:pic>
                  <pic:nvPicPr>
                    <pic:cNvPr id="0" name="regression_qq_plot.png"/>
                    <pic:cNvPicPr/>
                  </pic:nvPicPr>
                  <pic:blipFill>
                    <a:blip r:embed="rId24"/>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4.11. Normal Q-Q plot of OLS residuals.</w:t>
      </w:r>
    </w:p>
    <w:p>
      <w:pPr>
        <w:keepNext/>
        <w:spacing w:before="120" w:after="60"/>
        <w:jc w:val="center"/>
      </w:pPr>
      <w:r>
        <w:drawing>
          <wp:inline xmlns:a="http://schemas.openxmlformats.org/drawingml/2006/main" xmlns:pic="http://schemas.openxmlformats.org/drawingml/2006/picture">
            <wp:extent cx="5715000" cy="3429000"/>
            <wp:docPr id="12" name="Picture 12"/>
            <wp:cNvGraphicFramePr>
              <a:graphicFrameLocks noChangeAspect="1"/>
            </wp:cNvGraphicFramePr>
            <a:graphic>
              <a:graphicData uri="http://schemas.openxmlformats.org/drawingml/2006/picture">
                <pic:pic>
                  <pic:nvPicPr>
                    <pic:cNvPr id="0" name="regression_cooks_distance.png"/>
                    <pic:cNvPicPr/>
                  </pic:nvPicPr>
                  <pic:blipFill>
                    <a:blip r:embed="rId25"/>
                    <a:stretch>
                      <a:fillRect/>
                    </a:stretch>
                  </pic:blipFill>
                  <pic:spPr>
                    <a:xfrm>
                      <a:off x="0" y="0"/>
                      <a:ext cx="5715000" cy="3429000"/>
                    </a:xfrm>
                    <a:prstGeom prst="rect"/>
                  </pic:spPr>
                </pic:pic>
              </a:graphicData>
            </a:graphic>
          </wp:inline>
        </w:drawing>
      </w:r>
    </w:p>
    <w:p>
      <w:pPr>
        <w:keepLines/>
        <w:spacing w:after="160"/>
        <w:jc w:val="center"/>
      </w:pPr>
      <w:r>
        <w:rPr>
          <w:rFonts w:ascii="Times New Roman" w:hAnsi="Times New Roman"/>
          <w:i/>
          <w:sz w:val="20"/>
        </w:rPr>
        <w:t>Figure 4.12. Cook's distances for the OLS model.</w:t>
      </w:r>
    </w:p>
    <w:p>
      <w:pPr>
        <w:keepNext/>
        <w:spacing w:before="160" w:after="80"/>
      </w:pPr>
      <w:r>
        <w:rPr>
          <w:rFonts w:ascii="Times New Roman" w:hAnsi="Times New Roman"/>
          <w:b/>
          <w:sz w:val="22"/>
        </w:rPr>
        <w:t>Table 4.12 Coefficient sensitivity after excluding influential observations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Predictor</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Full-sample B</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Reduced-sample B</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Reduced p</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Conclusion</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Canopy cover</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-.943</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-.941</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&lt; .001</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Stable negative association</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Drought depth</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.054</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.027</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.708</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Remains non-significant</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Flood exposure</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-.047</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-.049</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&lt; .001</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Stable negative association</w:t>
            </w:r>
          </w:p>
        </w:tc>
      </w:tr>
      <w:tr>
        <w:trPr>
          <w:cantSplit/>
        </w:trPr>
        <w:tc>
          <w:tcPr>
            <w:tcW w:type="dxa" w:w="230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Heavy-rain exposure</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.705</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.644</w:t>
            </w:r>
          </w:p>
        </w:tc>
        <w:tc>
          <w:tcPr>
            <w:tcW w:type="dxa" w:w="115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.006</w:t>
            </w:r>
          </w:p>
        </w:tc>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Stable positive association</w:t>
            </w:r>
          </w:p>
        </w:tc>
      </w:tr>
    </w:tbl>
    <w:p>
      <w:pPr>
        <w:keepLines/>
        <w:spacing w:before="80" w:after="160"/>
      </w:pPr>
      <w:r>
        <w:rPr>
          <w:rFonts w:ascii="Times New Roman" w:hAnsi="Times New Roman"/>
          <w:i/>
          <w:sz w:val="20"/>
        </w:rPr>
        <w:t xml:space="preserve">Note. </w:t>
      </w:r>
      <w:r>
        <w:rPr>
          <w:rFonts w:ascii="Times New Roman" w:hAnsi="Times New Roman"/>
          <w:sz w:val="20"/>
        </w:rPr>
        <w:t>The sensitivity model excluded the 12 observations above the Cook's-distance screening threshold. Simpelveld had the largest Cook's distance, but no single case drove the principal conclusions.</w:t>
      </w:r>
    </w:p>
    <w:p>
      <w:r>
        <w:t>The diagnostic plots show modest curvature and tail departures, consistent with the significant normality test, but the Breusch-Pagan and RESET tests did not detect heteroskedasticity or major functional-form misspecification. All variance inflation factors were below 1.66. Most importantly, excluding the 12 screened observations left the signs and substantive conclusions unchanged. The OLS associations were therefore not dependent on the identified influential cases.</w:t>
      </w:r>
    </w:p>
    <w:p>
      <w:r>
        <w:br w:type="page"/>
      </w:r>
    </w:p>
    <w:p>
      <w:pPr>
        <w:pStyle w:val="Heading1"/>
        <w:keepNext/>
      </w:pPr>
      <w:r>
        <w:t>4.7 Spatial Analysis</w:t>
      </w:r>
    </w:p>
    <w:p>
      <w:pPr>
        <w:pStyle w:val="Heading2"/>
        <w:keepNext/>
      </w:pPr>
      <w:r>
        <w:t>4.7.1 Neighbour Structure and Residual Spatial Dependence</w:t>
      </w:r>
    </w:p>
    <w:p>
      <w:r>
        <w:t>A row-standardized queen-contiguity weights matrix was constructed for the 337 municipalities. Municipalities had an average of 5.22 neighbours, with a range from one to 17 and no zero-neighbour municipalities. The graph contained two connected components, a topological feature considered in the weights-sensitivity analysis.</w:t>
      </w:r>
    </w:p>
    <w:p>
      <w:pPr>
        <w:keepNext/>
        <w:spacing w:before="160" w:after="80"/>
      </w:pPr>
      <w:r>
        <w:rPr>
          <w:rFonts w:ascii="Times New Roman" w:hAnsi="Times New Roman"/>
          <w:b/>
          <w:sz w:val="22"/>
        </w:rPr>
        <w:t>Table 4.13 Spatial-neighbour structure and residual Moran's I</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Measure/model</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Value</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z</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Municipalities</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337</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Mean neighbours</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5.223</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Neighbour range</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1-17</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OLS residual Moran's I</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.356</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10.241</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&lt; .001</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Spatial-lag residual Moran's I</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.027</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.866</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.387</w:t>
            </w:r>
          </w:p>
        </w:tc>
      </w:tr>
      <w:tr>
        <w:trPr>
          <w:cantSplit/>
        </w:trPr>
        <w:tc>
          <w:tcPr>
            <w:tcW w:type="dxa" w:w="396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Spatial-error residual Moran's I</w:t>
            </w:r>
          </w:p>
        </w:tc>
        <w:tc>
          <w:tcPr>
            <w:tcW w:type="dxa" w:w="1655"/>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-.062</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-1.698</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.090</w:t>
            </w:r>
          </w:p>
        </w:tc>
      </w:tr>
    </w:tbl>
    <w:p>
      <w:pPr>
        <w:keepLines/>
        <w:spacing w:before="80" w:after="160"/>
      </w:pPr>
      <w:r>
        <w:rPr>
          <w:rFonts w:ascii="Times New Roman" w:hAnsi="Times New Roman"/>
          <w:i/>
          <w:sz w:val="20"/>
        </w:rPr>
        <w:t xml:space="preserve">Note. </w:t>
      </w:r>
      <w:r>
        <w:rPr>
          <w:rFonts w:ascii="Times New Roman" w:hAnsi="Times New Roman"/>
          <w:sz w:val="20"/>
        </w:rPr>
        <w:t>Moran tests use row-standardized queen-contiguity weights. The OLS expected Moran's I was -.003.</w:t>
      </w:r>
    </w:p>
    <w:p>
      <w:r>
        <w:t>OLS residuals were positively and strongly spatially autocorrelated (Moran's I = .356, z = 10.24, p &lt; .001), violating the independence assumption of the non-spatial regression. In contrast, residual autocorrelation was not statistically significant after fitting either the spatial-lag model (p = .387) or the spatial-error model (p = .090). Spatial modelling was therefore necessary for defensible inference.</w:t>
      </w:r>
    </w:p>
    <w:p>
      <w:pPr>
        <w:pStyle w:val="Heading2"/>
        <w:keepNext/>
      </w:pPr>
      <w:r>
        <w:t>4.7.2 Spatial-Model Comparison</w:t>
      </w:r>
    </w:p>
    <w:p>
      <w:pPr>
        <w:keepNext/>
        <w:spacing w:before="160" w:after="80"/>
      </w:pPr>
      <w:r>
        <w:rPr>
          <w:rFonts w:ascii="Times New Roman" w:hAnsi="Times New Roman"/>
          <w:b/>
          <w:sz w:val="22"/>
        </w:rPr>
        <w:t>Table 4.14 Comparison of non-spatial and spatial regression models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Model</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Log likelihood</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AIC</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Spatial parameter</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Estimate</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OLS</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-979.371</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1970.742</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None</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Spatial lag</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-941.127</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1896.253</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rho</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.454</w:t>
            </w:r>
          </w:p>
        </w:tc>
      </w:tr>
      <w:tr>
        <w:trPr>
          <w:cantSplit/>
        </w:trPr>
        <w:tc>
          <w:tcPr>
            <w:tcW w:type="dxa" w:w="2232"/>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Spatial error</w:t>
            </w:r>
          </w:p>
        </w:tc>
        <w:tc>
          <w:tcPr>
            <w:tcW w:type="dxa" w:w="180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-933.937</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1881.874</w:t>
            </w:r>
          </w:p>
        </w:tc>
        <w:tc>
          <w:tcPr>
            <w:tcW w:type="dxa" w:w="194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lambda</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.616</w:t>
            </w:r>
          </w:p>
        </w:tc>
      </w:tr>
    </w:tbl>
    <w:p>
      <w:pPr>
        <w:keepLines/>
        <w:spacing w:before="80" w:after="160"/>
      </w:pPr>
      <w:r>
        <w:rPr>
          <w:rFonts w:ascii="Times New Roman" w:hAnsi="Times New Roman"/>
          <w:i/>
          <w:sz w:val="20"/>
        </w:rPr>
        <w:t xml:space="preserve">Note. </w:t>
      </w:r>
      <w:r>
        <w:rPr>
          <w:rFonts w:ascii="Times New Roman" w:hAnsi="Times New Roman"/>
          <w:sz w:val="20"/>
        </w:rPr>
        <w:t>Lower AIC indicates better relative fit among models estimated on the same observations and outcome.</w:t>
      </w:r>
    </w:p>
    <w:p>
      <w:r>
        <w:t>The spatial-error model provided the best fit, with an AIC of 1881.87 compared with 1896.25 for the spatial-lag model and 1970.74 for OLS. Its AIC was 14.38 points lower than that of the lag model and 88.87 points lower than that of OLS. Combined with the residual Moran test, this evidence favoured the spatial-error specification for the final model.</w:t>
      </w:r>
    </w:p>
    <w:p>
      <w:pPr>
        <w:pStyle w:val="Heading2"/>
        <w:keepNext/>
      </w:pPr>
      <w:r>
        <w:t>4.7.3 Spatial-Error Model</w:t>
      </w:r>
    </w:p>
    <w:p>
      <w:pPr>
        <w:keepNext/>
        <w:spacing w:before="160" w:after="80"/>
      </w:pPr>
      <w:r>
        <w:rPr>
          <w:rFonts w:ascii="Times New Roman" w:hAnsi="Times New Roman"/>
          <w:b/>
          <w:sz w:val="22"/>
        </w:rPr>
        <w:t>Table 4.15 Spatial-error model for municipal heat exposure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Term</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B</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SE</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z</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p</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95% CI</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Intercept</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76.549</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1.143</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66.99</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[74.309, 78.788]</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Canopy cover</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-.818</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.051</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-16.04</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[-.917, -.718]</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Drought depth</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.160</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.052</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3.08</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.002</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[.058, .261]</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Flood exposure</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-.011</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.009</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-1.27</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.205</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[-.029, .006]</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Heavy-rain exposure</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-.140</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.241</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-.58</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.563</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[-.613, .333]</w:t>
            </w:r>
          </w:p>
        </w:tc>
      </w:tr>
      <w:tr>
        <w:trPr>
          <w:cantSplit/>
        </w:trPr>
        <w:tc>
          <w:tcPr>
            <w:tcW w:type="dxa" w:w="237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Spatial error lambda</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.616</w:t>
            </w:r>
          </w:p>
        </w:tc>
        <w:tc>
          <w:tcPr>
            <w:tcW w:type="dxa" w:w="1007"/>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.052</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11.78</w:t>
            </w:r>
          </w:p>
        </w:tc>
        <w:tc>
          <w:tcPr>
            <w:tcW w:type="dxa" w:w="108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&lt; .001</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[.513, .718]</w:t>
            </w:r>
          </w:p>
        </w:tc>
      </w:tr>
    </w:tbl>
    <w:p>
      <w:pPr>
        <w:keepLines/>
        <w:spacing w:before="80" w:after="160"/>
      </w:pPr>
      <w:r>
        <w:rPr>
          <w:rFonts w:ascii="Times New Roman" w:hAnsi="Times New Roman"/>
          <w:i/>
          <w:sz w:val="20"/>
        </w:rPr>
        <w:t xml:space="preserve">Note. </w:t>
      </w:r>
      <w:r>
        <w:rPr>
          <w:rFonts w:ascii="Times New Roman" w:hAnsi="Times New Roman"/>
          <w:sz w:val="20"/>
        </w:rPr>
        <w:t>B values are unstandardized. Lambda measures spatial dependence in the disturbance process. Coefficients are conditional associations and should not be interpreted causally.</w:t>
      </w:r>
    </w:p>
    <w:p>
      <w:pPr>
        <w:keepNext/>
        <w:spacing w:before="120" w:after="60"/>
        <w:jc w:val="center"/>
      </w:pPr>
      <w:r>
        <w:drawing>
          <wp:inline xmlns:a="http://schemas.openxmlformats.org/drawingml/2006/main" xmlns:pic="http://schemas.openxmlformats.org/drawingml/2006/picture">
            <wp:extent cx="5623560" cy="3749040"/>
            <wp:docPr id="13" name="Picture 13"/>
            <wp:cNvGraphicFramePr>
              <a:graphicFrameLocks noChangeAspect="1"/>
            </wp:cNvGraphicFramePr>
            <a:graphic>
              <a:graphicData uri="http://schemas.openxmlformats.org/drawingml/2006/picture">
                <pic:pic>
                  <pic:nvPicPr>
                    <pic:cNvPr id="0" name="spatial_error_coefficient_plot.png"/>
                    <pic:cNvPicPr/>
                  </pic:nvPicPr>
                  <pic:blipFill>
                    <a:blip r:embed="rId26"/>
                    <a:stretch>
                      <a:fillRect/>
                    </a:stretch>
                  </pic:blipFill>
                  <pic:spPr>
                    <a:xfrm>
                      <a:off x="0" y="0"/>
                      <a:ext cx="5623560" cy="3749040"/>
                    </a:xfrm>
                    <a:prstGeom prst="rect"/>
                  </pic:spPr>
                </pic:pic>
              </a:graphicData>
            </a:graphic>
          </wp:inline>
        </w:drawing>
      </w:r>
    </w:p>
    <w:p>
      <w:pPr>
        <w:keepLines/>
        <w:spacing w:after="160"/>
        <w:jc w:val="center"/>
      </w:pPr>
      <w:r>
        <w:rPr>
          <w:rFonts w:ascii="Times New Roman" w:hAnsi="Times New Roman"/>
          <w:i/>
          <w:sz w:val="20"/>
        </w:rPr>
        <w:t>Figure 4.13. Coefficients and 95% confidence intervals from the spatial-error model.</w:t>
      </w:r>
    </w:p>
    <w:p>
      <w:r>
        <w:t>After accounting for spatially structured errors, canopy cover remained strongly negatively associated with heat exposure (B = -.818, p &lt; .001). Drought depth became positively associated with heat exposure (B = .160, p = .002). The flood and heavy-rain coefficients were no longer statistically significant. Lambda was positive and large (.616, p &lt; .001), confirming that unmeasured spatially patterned factors remained in the disturbance process. The change from the OLS coefficients demonstrates why the non-spatial model cannot be treated as the final inferential specification.</w:t>
      </w:r>
    </w:p>
    <w:p>
      <w:pPr>
        <w:keepNext/>
        <w:spacing w:before="120" w:after="60"/>
        <w:jc w:val="center"/>
      </w:pPr>
      <w:r>
        <w:drawing>
          <wp:inline xmlns:a="http://schemas.openxmlformats.org/drawingml/2006/main" xmlns:pic="http://schemas.openxmlformats.org/drawingml/2006/picture">
            <wp:extent cx="5486400" cy="4267200"/>
            <wp:docPr id="14" name="Picture 14"/>
            <wp:cNvGraphicFramePr>
              <a:graphicFrameLocks noChangeAspect="1"/>
            </wp:cNvGraphicFramePr>
            <a:graphic>
              <a:graphicData uri="http://schemas.openxmlformats.org/drawingml/2006/picture">
                <pic:pic>
                  <pic:nvPicPr>
                    <pic:cNvPr id="0" name="spatial_error_residual_map.png"/>
                    <pic:cNvPicPr/>
                  </pic:nvPicPr>
                  <pic:blipFill>
                    <a:blip r:embed="rId27"/>
                    <a:stretch>
                      <a:fillRect/>
                    </a:stretch>
                  </pic:blipFill>
                  <pic:spPr>
                    <a:xfrm>
                      <a:off x="0" y="0"/>
                      <a:ext cx="5486400" cy="4267200"/>
                    </a:xfrm>
                    <a:prstGeom prst="rect"/>
                  </pic:spPr>
                </pic:pic>
              </a:graphicData>
            </a:graphic>
          </wp:inline>
        </w:drawing>
      </w:r>
    </w:p>
    <w:p>
      <w:pPr>
        <w:keepLines/>
        <w:spacing w:after="160"/>
        <w:jc w:val="center"/>
      </w:pPr>
      <w:r>
        <w:rPr>
          <w:rFonts w:ascii="Times New Roman" w:hAnsi="Times New Roman"/>
          <w:i/>
          <w:sz w:val="20"/>
        </w:rPr>
        <w:t>Figure 4.14. Geographic distribution of residuals from the spatial-error model.</w:t>
      </w:r>
    </w:p>
    <w:p>
      <w:r>
        <w:t>The residual map shows localized positive and negative prediction errors, but no broad residual pattern comparable with that detected under OLS. This visual evidence is consistent with the non-significant residual Moran's I for the spatial-error model.</w:t>
      </w:r>
    </w:p>
    <w:p>
      <w:pPr>
        <w:pStyle w:val="Heading2"/>
        <w:keepNext/>
      </w:pPr>
      <w:r>
        <w:t>4.7.4 Spatial-Weights Sensitivity</w:t>
      </w:r>
    </w:p>
    <w:p>
      <w:pPr>
        <w:keepNext/>
        <w:spacing w:before="160" w:after="80"/>
      </w:pPr>
      <w:r>
        <w:rPr>
          <w:rFonts w:ascii="Times New Roman" w:hAnsi="Times New Roman"/>
          <w:b/>
          <w:sz w:val="22"/>
        </w:rPr>
        <w:t>Table 4.16 Sensitivity of the spatial-error model to the weights definition</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Weights</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AIC</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Lambda</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Residual Moran's I</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2" w:lineRule="auto"/>
              <w:jc w:val="center"/>
              <w:keepNext/>
            </w:pPr>
            <w:r/>
            <w:r>
              <w:rPr>
                <w:rFonts w:ascii="Times New Roman" w:hAnsi="Times New Roman"/>
                <w:b/>
                <w:color w:val="FFFFFF"/>
                <w:sz w:val="18"/>
              </w:rPr>
              <w:t>Residual p</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left"/>
            </w:pPr>
            <w:r/>
            <w:r>
              <w:rPr>
                <w:rFonts w:ascii="Times New Roman" w:hAnsi="Times New Roman"/>
                <w:b w:val="0"/>
                <w:color w:val="000000"/>
                <w:sz w:val="18"/>
              </w:rPr>
              <w:t>Queen contiguity</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1881.874</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.616</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-.062</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jc w:val="center"/>
            </w:pPr>
            <w:r/>
            <w:r>
              <w:rPr>
                <w:rFonts w:ascii="Times New Roman" w:hAnsi="Times New Roman"/>
                <w:b w:val="0"/>
                <w:color w:val="000000"/>
                <w:sz w:val="18"/>
              </w:rPr>
              <w:t>.090</w:t>
            </w:r>
          </w:p>
        </w:tc>
      </w:tr>
      <w:tr>
        <w:trPr>
          <w:cantSplit/>
        </w:trPr>
        <w:tc>
          <w:tcPr>
            <w:tcW w:type="dxa" w:w="244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left"/>
            </w:pPr>
            <w:r/>
            <w:r>
              <w:rPr>
                <w:rFonts w:ascii="Times New Roman" w:hAnsi="Times New Roman"/>
                <w:b w:val="0"/>
                <w:color w:val="000000"/>
                <w:sz w:val="18"/>
              </w:rPr>
              <w:t>Five-nearest neighbours</w:t>
            </w:r>
          </w:p>
        </w:tc>
        <w:tc>
          <w:tcPr>
            <w:tcW w:type="dxa" w:w="1584"/>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1888.348</w:t>
            </w:r>
          </w:p>
        </w:tc>
        <w:tc>
          <w:tcPr>
            <w:tcW w:type="dxa" w:w="1440"/>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.632</w:t>
            </w:r>
          </w:p>
        </w:tc>
        <w:tc>
          <w:tcPr>
            <w:tcW w:type="dxa" w:w="2088"/>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-.062</w:t>
            </w:r>
          </w:p>
        </w:tc>
        <w:tc>
          <w:tcPr>
            <w:tcW w:type="dxa" w:w="1296"/>
            <w:vAlign w:val="center"/>
            <w:tcMar>
              <w:top w:w="100" w:type="dxa"/>
              <w:start w:w="100" w:type="dxa"/>
              <w:bottom w:w="10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2" w:lineRule="auto"/>
              <w:jc w:val="center"/>
            </w:pPr>
            <w:r/>
            <w:r>
              <w:rPr>
                <w:rFonts w:ascii="Times New Roman" w:hAnsi="Times New Roman"/>
                <w:b w:val="0"/>
                <w:color w:val="000000"/>
                <w:sz w:val="18"/>
              </w:rPr>
              <w:t>.071</w:t>
            </w:r>
          </w:p>
        </w:tc>
      </w:tr>
    </w:tbl>
    <w:p>
      <w:pPr>
        <w:keepLines/>
        <w:spacing w:before="80" w:after="160"/>
      </w:pPr>
      <w:r>
        <w:rPr>
          <w:rFonts w:ascii="Times New Roman" w:hAnsi="Times New Roman"/>
          <w:i/>
          <w:sz w:val="20"/>
        </w:rPr>
        <w:t xml:space="preserve">Note. </w:t>
      </w:r>
      <w:r>
        <w:rPr>
          <w:rFonts w:ascii="Times New Roman" w:hAnsi="Times New Roman"/>
          <w:sz w:val="20"/>
        </w:rPr>
        <w:t>Both models use row-standardized weights. The five-nearest-neighbour specification provides a connected alternative to the two-component queen graph.</w:t>
      </w:r>
    </w:p>
    <w:p>
      <w:r>
        <w:t>The five-nearest-neighbour model produced the same substantive pattern as the queen-contiguity model. Canopy remained negative and statistically significant (B = -.849, p &lt; .001), drought remained positive (B = .129, p = .016), and flood and heavy-rain exposure remained non-significant. Residual Moran's I remained close to -.062 and non-significant under both definitions. The principal spatial conclusions are therefore robust to this alternative specification, although the queen model retained the lower AIC.</w:t>
      </w:r>
    </w:p>
    <w:p>
      <w:pPr>
        <w:pStyle w:val="Heading1"/>
        <w:keepNext/>
      </w:pPr>
      <w:r>
        <w:t>4.8 Summary of Findings</w:t>
      </w:r>
    </w:p>
    <w:p>
      <w:r>
        <w:t>The results answer the study's empirical questions in four stages. First, the environmental indicators were related but not interchangeable. Canopy cover was moderately negatively correlated with heat exposure, while drought depth and heavy-rain exposure were positively correlated. PCA reduced these relationships to two components explaining 70.53% of total variance: a drought/heavy-rain/canopy versus flood contrast and a heat-versus-canopy gradient.</w:t>
      </w:r>
    </w:p>
    <w:p>
      <w:r>
        <w:t>Second, the four-cluster solution identified substantively distinct municipal profiles: high-canopy/low-heat, low-flood/rain, flood-exposure, and drought-heavy-rain extreme. All four profiles met the bootstrap stability criterion, although the selection of four clusters represents a reasoned trade-off because the two-cluster solution had a slightly higher silhouette score.</w:t>
      </w:r>
    </w:p>
    <w:p>
      <w:r>
        <w:t>Third, the non-spatial regression explained 45.89% of municipal heat-exposure variation. Its HC3-robust results showed negative adjusted associations for canopy and flood exposure and a positive association for heavy-rain exposure. Those estimates were stable to the exclusion of screened influential cases. However, the strong Moran's I of the OLS residuals showed that spatial dependence remained.</w:t>
      </w:r>
    </w:p>
    <w:p>
      <w:r>
        <w:t>Finally, the spatial-error model offered the strongest fit and removed statistically detectable residual spatial autocorrelation. In that model, canopy cover remained negatively associated with heat exposure, drought depth was positively associated, and flood and heavy-rain exposure were not statistically significant. These findings were stable under a five-nearest-neighbour weights matrix. Chapter Five interprets these results in relation to the study's conceptual framework and relevant literature, while maintaining the distinction between statistical association and causal explanation.</w:t>
      </w:r>
    </w:p>
    <w:p>
      <w:pPr>
        <w:pStyle w:val="Heading1"/>
        <w:keepNext/>
        <w:pageBreakBefore/>
      </w:pPr>
      <w:bookmarkStart w:id="805" w:name="chapter_5"/>
      <w:r>
        <w:t>5 Discussion Conclusions and Recommendations</w:t>
      </w:r>
      <w:bookmarkEnd w:id="805"/>
    </w:p>
    <w:p>
      <w:r>
        <w:t>This chapter interprets the empirical findings reported in Chapter Four and explains their significance for understanding environmental vulnerability across Dutch municipalities. The central conclusion is that municipal environmental vulnerability is multidimensional and spatially structured. Canopy cover showed the most consistent relationship with heat exposure, but the other associations changed after spatial dependence was modelled. The four-cluster solution provided a useful planning typology, although it should be treated as an analytical classification rather than a set of fixed or naturally occurring municipal categories. The chapter answers the five research questions, identifies the study's contribution, considers implications for climate adaptation, evaluates methodological strengths and limitations, and presents recommendations for research and practice.</w:t>
      </w:r>
    </w:p>
    <w:p>
      <w:pPr>
        <w:pStyle w:val="Heading1"/>
        <w:keepNext/>
      </w:pPr>
      <w:r>
        <w:t>5.1 Overview of the Study</w:t>
      </w:r>
    </w:p>
    <w:p>
      <w:r>
        <w:t>The study examined five municipality-level indicators obtained from the Dutch Climate Impact Atlas Buurtdashboard: canopy cover, drought depth, heat exposure, flood exposure and heavy-rain exposure. The assembled dataset contained 342 municipalities. Five municipalities lacked drought-depth observations, leaving 337 complete cases for the multivariate and spatial analyses. The analytical sequence combined descriptive statistics and correlations with principal component analysis, cluster analysis, multiple linear regression and spatial regression. This sequence made it possible to examine environmental exposure as a system of related indicators rather than as isolated measures.</w:t>
      </w:r>
    </w:p>
    <w:p>
      <w:r>
        <w:t>The main research question asked how environmental vulnerability indicators vary, interact and form distinct profiles across Dutch municipalities. Five sub-questions addressed the distributions and relationships among the indicators; their underlying multivariate dimensions; the identification and stability of municipal profiles; the adjusted associations with heat exposure; and the consequences of spatial dependence. Table 5.1 summarizes the direct answer to each question before the results are discussed in greater depth.</w:t>
      </w:r>
    </w:p>
    <w:p>
      <w:r>
        <w:br w:type="page"/>
      </w:r>
    </w:p>
    <w:p>
      <w:pPr>
        <w:keepNext/>
        <w:spacing w:before="160" w:after="80"/>
      </w:pPr>
      <w:r>
        <w:rPr>
          <w:rFonts w:ascii="Times New Roman" w:hAnsi="Times New Roman"/>
          <w:b/>
          <w:sz w:val="22"/>
        </w:rPr>
        <w:t>Table 5.1 Summary of answers to the research questions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Research question</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Principal evidence</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Conclusion</w:t>
            </w:r>
          </w:p>
        </w:tc>
      </w:tr>
      <w:tr>
        <w:trPr>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RQ1 Indicator distributions and relationships</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N = 337 complete cases; strongest correlations: drought-heavy rain r = .602 and canopy-heat r = -.578</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The indicators were related but not interchangeable, confirming a multidimensional exposure structure.</w:t>
            </w:r>
          </w:p>
        </w:tc>
      </w:tr>
      <w:tr>
        <w:trPr>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RQ2 Underlying dimensions</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Two retained principal components explained 70.53% of total variance</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Municipal differences were organized mainly around a drought/heavy-rain/canopy versus flood contrast and a heat-versus-canopy gradient.</w:t>
            </w:r>
          </w:p>
        </w:tc>
      </w:tr>
      <w:tr>
        <w:trPr>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RQ3 Municipal profiles</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Four clusters explained 57.86% of standardized variation; Jaccard values .816-.978</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Four substantively distinct and reproducible profiles were identified, although k = 2 had a slightly higher silhouette value.</w:t>
            </w:r>
          </w:p>
        </w:tc>
      </w:tr>
      <w:tr>
        <w:trPr>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RQ4 Associations with heat exposure</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OLS R-squared = .459; spatial-error canopy B = -.818 and drought B = .160</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Canopy was consistently negatively associated with heat; several non-spatial coefficients were sensitive to spatial adjustment.</w:t>
            </w:r>
          </w:p>
        </w:tc>
      </w:tr>
      <w:tr>
        <w:trPr>
          <w:cantSplit/>
        </w:trPr>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RQ5 Spatial dependence</w:t>
            </w:r>
          </w:p>
        </w:tc>
        <w:tc>
          <w:tcPr>
            <w:tcW w:type="dxa" w:w="324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OLS residual Moran's I = .356, p &lt; .001; spatial-error AIC = 1881.874; lambda = .616</w:t>
            </w:r>
          </w:p>
        </w:tc>
        <w:tc>
          <w:tcPr>
            <w:tcW w:type="dxa" w:w="374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Municipal heat patterns were strongly spatially structured, and the spatial-error model gave the best fit among the tested models.</w:t>
            </w:r>
          </w:p>
        </w:tc>
      </w:tr>
    </w:tbl>
    <w:p>
      <w:pPr>
        <w:keepLines/>
        <w:spacing w:before="80" w:after="160"/>
      </w:pPr>
      <w:r>
        <w:rPr>
          <w:rFonts w:ascii="Times New Roman" w:hAnsi="Times New Roman"/>
          <w:i/>
          <w:sz w:val="20"/>
        </w:rPr>
        <w:t xml:space="preserve">Note. </w:t>
      </w:r>
      <w:r>
        <w:rPr>
          <w:rFonts w:ascii="Times New Roman" w:hAnsi="Times New Roman"/>
          <w:sz w:val="20"/>
        </w:rPr>
        <w:t>The table condenses the verified results from Chapter Four. Coefficients describe associations at the municipal level and are not causal effects.</w:t>
      </w:r>
    </w:p>
    <w:p>
      <w:pPr>
        <w:pStyle w:val="Heading1"/>
        <w:keepNext/>
      </w:pPr>
      <w:r>
        <w:t>5.2 Discussion of the Findings</w:t>
      </w:r>
    </w:p>
    <w:p>
      <w:pPr>
        <w:pStyle w:val="Heading2"/>
        <w:keepNext/>
      </w:pPr>
      <w:r>
        <w:t>5.2.1 Variation and Relationships Among Environmental Indicators</w:t>
      </w:r>
    </w:p>
    <w:p>
      <w:r>
        <w:t>The first research question examined the distributions and relationships among the five indicators. The descriptive results showed substantial differences in both scale and dispersion. Flood exposure varied from 0.00% to 98.89% and had the largest absolute standard deviation among the percentage indicators. Drought depth was strongly right-skewed: its mean was 3.95 m, its median was 2.17 m and its maximum was 59.80 m. This distribution indicates that a small number of municipalities occupied the upper tail. These differences justified standardization before PCA and clustering because analysis in the original units would otherwise have allowed variables with wider numerical ranges to dominate the distance calculations.</w:t>
      </w:r>
    </w:p>
    <w:p>
      <w:r>
        <w:t>The correlation pattern demonstrates why a single indicator cannot adequately represent municipal environmental vulnerability. Canopy cover and heat exposure were moderately negatively correlated (r = -.578), while canopy cover and flood exposure were also negatively related (r = -.405). Drought depth and heavy-rain exposure had the strongest positive correlation (r = .602). Heat and flood exposure were almost unrelated (r = -.037). The coexistence of drought and intense-rainfall exposure is not inherently contradictory: the two indicators describe different forms of climate pressure and can be elevated in the same broad geographic setting. However, their correlation alone does not reveal the physical mechanism producing the relationship.</w:t>
      </w:r>
    </w:p>
    <w:p>
      <w:r>
        <w:t>The negative canopy-heat relationship is consistent with evidence that urban vegetation can moderate local thermal conditions through shading and evapotranspiration. In Amsterdam, Rafiee, Dias and Koomen (2016) found that tree volume contributed to variation in nocturnal urban heat. Research in Rotterdam has likewise demonstrated marked spatial and temporal variation in urban heat and thermal comfort (van Hove et al., 2015). The present study extends the relevance of this relationship beyond individual urban case studies by showing that the negative association is visible across municipalities. Nevertheless, the indicator used here is municipal canopy percentage, not a direct estimate of cooling at a specific street or neighbourhood.</w:t>
      </w:r>
    </w:p>
    <w:p>
      <w:r>
        <w:t>The weak heat-flood correlation is equally important. It indicates that municipalities with high heat exposure are not automatically those with high flood exposure. A vulnerability assessment based on heat alone would therefore miss a major part of the national environmental-risk pattern. Dutch adaptation policy recognizes this plurality by addressing heat, drought, extreme precipitation and flooding as related but distinct challenges (Climate Adaptation Platform Netherlands, n.d.; Delta Programme, 2026). The empirical findings support that integrated orientation while showing that the relative importance of each hazard differs considerably across municipalities.</w:t>
      </w:r>
    </w:p>
    <w:p>
      <w:pPr>
        <w:pStyle w:val="Heading2"/>
        <w:keepNext/>
      </w:pPr>
      <w:r>
        <w:t>5.2.2 Latent Dimensions of Municipal Environmental Vulnerability</w:t>
      </w:r>
    </w:p>
    <w:p>
      <w:r>
        <w:t>The second research question asked whether a smaller number of underlying dimensions could summarize the five indicators. Parallel analysis retained two components, which together explained 70.53% of the total standardized variance. This is a substantial reduction: two axes preserved more than two-thirds of the information contained in five original indicators. The decision was not based only on the conventional eigenvalue-greater-than-one rule; the observed eigenvalues were compared with the 95th percentiles from 1,000 permuted datasets. This makes the retention decision more defensible than visual inspection of a scree plot alone.</w:t>
      </w:r>
    </w:p>
    <w:p>
      <w:r>
        <w:t>PC1 was characterized by positive loadings for heavy-rain exposure (.753), drought depth (.694) and canopy cover (.694), with flood exposure loading in the opposite direction (-.653). It is best interpreted as a contrast between a drought/heavy-rain/canopy pattern and a flood-exposure pattern. PC2 was dominated by heat exposure (.868) opposed to canopy cover (-.623), producing a clearer heat-versus-canopy gradient. These axes show that vulnerability did not collapse into a simple scale from low to high. Municipalities could instead occupy different positions depending on which hazards or environmental characteristics were dominant.</w:t>
      </w:r>
    </w:p>
    <w:p>
      <w:r>
        <w:t>The second component reinforces the descriptive canopy-heat relationship, but PCA remains an exploratory transformation. The sign of a component is arbitrary, and a loading does not establish that one variable causes another. Moreover, the first component combines canopy with drought and heavy rain while opposing flood exposure. It should therefore not be labelled simply as 'resilience' or 'risk'. Such a label would impose a normative interpretation that the loadings do not support. The defensible conclusion is narrower: two reproducible statistical contrasts summarized most of the covariance in the selected indicators.</w:t>
      </w:r>
    </w:p>
    <w:p>
      <w:r>
        <w:t>This dimensional structure also supports the use of multivariate rather than univariate planning tools. A single composite score would require strong and contestable decisions about weighting and direction. By retaining two components and subsequently examining cluster profiles in the original units, the study preserved meaningful differences between hazard types. This is especially relevant because heat vulnerability can change with spatial scale and with the way exposure and built-environment characteristics are represented (Ahmed, van Esch, &amp; van der Hoeven, 2023).</w:t>
      </w:r>
    </w:p>
    <w:p>
      <w:pPr>
        <w:pStyle w:val="Heading2"/>
        <w:keepNext/>
      </w:pPr>
      <w:r>
        <w:t>5.2.3 Environmental Profiles and Cluster Stability</w:t>
      </w:r>
    </w:p>
    <w:p>
      <w:r>
        <w:t>The third research question concerned the existence, interpretation and stability of municipal profiles. The four-cluster solution identified a high-canopy/low-heat profile (52 municipalities), a low-flood/rain profile (133), a flood-exposure profile (136), and a drought-heavy-rain extreme profile (16). The profiles were substantively distinct in the original measurement units. The flood-exposure cluster averaged 78.96% flood exposure, whereas the drought-heavy-rain extreme cluster averaged 28.99 m drought depth and 6.59% heavy-rain exposure. The high-canopy/low-heat cluster combined the greatest mean canopy cover (20.81%) with the lowest mean heat exposure (57.78%).</w:t>
      </w:r>
    </w:p>
    <w:p>
      <w:r>
        <w:t>The selection of four clusters involves a transparent trade-off. The two-cluster solution produced a slightly higher average silhouette value (.340 versus .328), indicating marginally stronger separation. The four-cluster solution, however, explained 57.86% of the standardized variation compared with 25.88% for two clusters and yielded profiles with clearer policy meaning. Four clusters should therefore be described as the preferred substantive solution, not as the uniquely optimal number of clusters. The relatively modest silhouette value also warns against treating the cluster boundaries as sharp. Municipalities near a boundary may resemble more than one profile.</w:t>
      </w:r>
    </w:p>
    <w:p>
      <w:r>
        <w:t>Bootstrap results strengthened confidence in the solution. Mean Jaccard similarities ranged from .816 to .978 across 500 samples. All clusters met the adopted stability threshold, and three were classified as highly stable. The small drought-heavy-rain extreme cluster remained highly stable despite nine dissolved runs, while the high-canopy/low-heat cluster was stable rather than highly stable. Stability indicates that broadly similar groups reappeared under resampling; it does not prove that the profiles are permanent, causally generated or immune to different indicator choices.</w:t>
      </w:r>
    </w:p>
    <w:p>
      <w:r>
        <w:t>The profiles are most useful as a screening and communication device. They translate complex multivariate patterns into groups that can guide further investigation. They are less suitable as a rigid league table. A municipality assigned to the low-flood/rain cluster, for example, still had relatively high mean heat exposure and should not be described as generally low risk. Similarly, the flood-exposure cluster was defined by one dominant hazard pattern rather than uniformly elevated values across all five indicators.</w:t>
      </w:r>
    </w:p>
    <w:p>
      <w:pPr>
        <w:pStyle w:val="Heading2"/>
        <w:keepNext/>
      </w:pPr>
      <w:r>
        <w:t>5.2.4 Adjusted Associations With Heat Exposure</w:t>
      </w:r>
    </w:p>
    <w:p>
      <w:r>
        <w:t>The fourth research question examined whether canopy cover, drought depth, flood exposure and heavy-rain exposure were associated with heat exposure after mutual adjustment. The non-spatial model explained 45.89% of municipal heat-exposure variation. HC3-robust inference was used because the Shapiro-Wilk test indicated a departure from residual normality, even though the Breusch-Pagan and RESET tests did not detect heteroskedasticity or functional-form misspecification. Canopy cover had the largest and most stable non-spatial coefficient: a one-percentage-point increase in canopy was associated with a .943-percentage-point reduction in heat exposure, holding the other included indicators constant.</w:t>
      </w:r>
    </w:p>
    <w:p>
      <w:r>
        <w:t>The negative canopy estimate remained almost unchanged after the twelve observations above the Cook's-distance screening threshold were excluded. This robustness, together with the correlation and PCA results, makes the canopy-heat association the most consistent finding in the study. It also accords with Dutch research showing that vegetation amount and urban form contribute to local heat variation (Rafiee et al., 2016; van Hove et al., 2015). Recent high-resolution heat datasets covering 99 Dutch municipalities further emphasize the importance of vegetation and urban morphology for representing heat vulnerability at fine spatial scales (Habib et al., 2025).</w:t>
      </w:r>
    </w:p>
    <w:p>
      <w:r>
        <w:t>The other OLS coefficients require more caution. Flood exposure had a statistically significant negative coefficient and heavy-rain exposure a significant positive coefficient, while drought depth was not significant. After spatial dependence was modelled, flood and heavy-rain exposure were no longer significant, and drought depth became positively associated with heat exposure. This change is substantively important: it shows that conventional OLS mixed local covariation with broader geographic structure. The OLS coefficients should not be reported as the final evidence when the residuals were strongly spatially autocorrelated.</w:t>
      </w:r>
    </w:p>
    <w:p>
      <w:r>
        <w:t>In the spatial-error model, canopy cover remained negatively associated with heat exposure (B = -.818, p &lt; .001), while drought depth was positively associated (B = .160, p = .002). Flood exposure and heavy-rain exposure were not statistically significant. These coefficients are the preferred adjusted estimates among the tested specifications. Even so, they remain cross-sectional ecological associations. Canopy may represent vegetation, but it may also correlate with urban density, land use, building form, income or municipal planning history. The model did not contain these potential confounders, so a causal claim that increasing canopy by one point will mechanically reduce the heat indicator by .818 points is not justified.</w:t>
      </w:r>
    </w:p>
    <w:p>
      <w:pPr>
        <w:pStyle w:val="Heading2"/>
        <w:keepNext/>
      </w:pPr>
      <w:r>
        <w:t>5.2.5 Spatial Dependence and Model Choice</w:t>
      </w:r>
    </w:p>
    <w:p>
      <w:r>
        <w:t>The fifth research question asked whether spatial dependence affected the findings. The answer is unequivocally yes. OLS residuals had a Moran's I of .356 (p &lt; .001), showing that unexplained heat-exposure values clustered geographically. This violated the independence assumption underlying conventional OLS inference and indicated that municipalities could not be treated as unrelated observational units. Neighbouring municipalities share climatic conditions, landscape structure, urban systems and policy environments, any of which may generate correlated outcomes.</w:t>
      </w:r>
    </w:p>
    <w:p>
      <w:r>
        <w:t>Both spatial alternatives improved model fit, but the spatial-error model performed best. Its AIC was 1881.874, compared with 1896.253 for the spatial-lag model and 1970.742 for OLS. The estimated error-dependence parameter was large and statistically significant (lambda = .616, p &lt; .001). Residual Moran's I fell to -.062 and was not statistically significant at the .05 level. The model therefore accounted effectively for the detectable residual spatial pattern. The result does not mean that neighbouring heat exposure has no substantive relevance; rather, among the tested specifications, the remaining dependence was represented more convincingly through spatially correlated unobserved factors than through a direct lag of the dependent variable.</w:t>
      </w:r>
    </w:p>
    <w:p>
      <w:r>
        <w:t>The sensitivity analysis supports the stability of this conclusion. Replacing queen-contiguity weights with five-nearest-neighbour weights produced a similar lambda (.632), the same residual Moran's I to three decimals and the same coefficient-significance pattern. The queen model retained the lower AIC and therefore remained preferred. The queen graph contained two connected components, which is a minor structural limitation; the nearest-neighbour check was valuable because it guaranteed a more uniformly connected spatial structure.</w:t>
      </w:r>
    </w:p>
    <w:p>
      <w:r>
        <w:t>Spatial dependence also has a practical implication. Municipal adaptation cannot be planned entirely in isolation. Environmental conditions and unmeasured drivers operate across administrative boundaries. The Dutch Delta Programme already frames climate resilience as a task shared by municipalities, water authorities, provinces and the national government. The modelling results provide empirical support for that regional orientation, although they do not identify which specific cross-boundary mechanism produced the spatial error dependence.</w:t>
      </w:r>
    </w:p>
    <w:p>
      <w:pPr>
        <w:pStyle w:val="Heading1"/>
        <w:keepNext/>
      </w:pPr>
      <w:r>
        <w:t>5.3 Integrated Interpretation and Contribution</w:t>
      </w:r>
    </w:p>
    <w:p>
      <w:r>
        <w:t>Taken together, the findings establish three central points. First, environmental vulnerability across Dutch municipalities is multidimensional. Heat, flood, drought, heavy rainfall and canopy do not form a single uniform continuum. Second, municipalities can be grouped into recognizable profiles, but those profiles overlap and represent a practical simplification of continuous variation. Third, geographic structure is not a peripheral technical issue. It materially changes the regression results and therefore changes the substantive conclusions drawn about the correlates of heat exposure.</w:t>
      </w:r>
    </w:p>
    <w:p>
      <w:r>
        <w:t>The study's main empirical contribution is the integration of exploratory multivariate methods with confirmatory and spatial diagnostics in one municipality-level workflow. PCA identified the principal covariance structure; cluster analysis translated that structure into profiles; bootstrap analysis evaluated the profiles' reproducibility; OLS estimated conditional associations; and spatial models tested whether those associations survived geographic adjustment. This layered approach is stronger than relying on a single composite index or a single regression model.</w:t>
      </w:r>
    </w:p>
    <w:p>
      <w:r>
        <w:t>The results also demonstrate why statistical significance should not be interpreted in isolation. Flood and heavy-rain exposure appeared significant in the non-spatial model but not in the preferred spatial-error specification. Conversely, drought depth became significant after spatial adjustment. A conclusion based only on the OLS p-values would therefore have been incomplete and potentially misleading. The stability of the canopy coefficient across descriptive, multivariate, influence and spatial analyses gives it greater evidential weight than a result appearing in only one model.</w:t>
      </w:r>
    </w:p>
    <w:p>
      <w:r>
        <w:t>The term vulnerability must nevertheless be used precisely. The analysis measures environmental hazard and a limited element of environmental capacity through canopy cover. It does not measure population sensitivity, socioeconomic disadvantage, health status, age structure, housing quality or institutional adaptive capacity. The profiles are therefore environmental-vulnerability profiles within the operational scope of the selected indicators, not comprehensive measures of total municipal climate vulnerability.</w:t>
      </w:r>
    </w:p>
    <w:p>
      <w:pPr>
        <w:pStyle w:val="Heading1"/>
        <w:keepNext/>
      </w:pPr>
      <w:r>
        <w:t>5.4 Implications for Climate Adaptation and Municipal Planning</w:t>
      </w:r>
    </w:p>
    <w:p>
      <w:r>
        <w:t>The findings favour differentiated rather than uniform adaptation. The four profiles point to different priorities, while the spatial results indicate that neighbouring municipalities and regional authorities should coordinate interventions. Table 5.2 translates the empirical profiles into cautious planning implications. These are screening recommendations, not prescriptions: each municipality would still require neighbourhood-level assessment, feasibility analysis and consultation before investment decisions were made.</w:t>
      </w:r>
    </w:p>
    <w:p>
      <w:pPr>
        <w:keepNext/>
        <w:spacing w:before="160" w:after="80"/>
      </w:pPr>
      <w:r>
        <w:rPr>
          <w:rFonts w:ascii="Times New Roman" w:hAnsi="Times New Roman"/>
          <w:b/>
          <w:sz w:val="22"/>
        </w:rPr>
        <w:t>Table 5.2 Profile-specific implications for further assessment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80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Profile</w:t>
            </w:r>
          </w:p>
        </w:tc>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Observed pattern</w:t>
            </w:r>
          </w:p>
        </w:tc>
        <w:tc>
          <w:tcPr>
            <w:tcW w:type="dxa" w:w="2951"/>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Priority for further assessment</w:t>
            </w:r>
          </w:p>
        </w:tc>
        <w:tc>
          <w:tcPr>
            <w:tcW w:type="dxa" w:w="2232"/>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Important caution</w:t>
            </w:r>
          </w:p>
        </w:tc>
      </w:tr>
      <w:tr>
        <w:trPr>
          <w:cantSplit/>
        </w:trPr>
        <w:tc>
          <w:tcPr>
            <w:tcW w:type="dxa" w:w="180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High canopy, low heat</w:t>
            </w:r>
          </w:p>
        </w:tc>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Highest canopy and lowest heat means</w:t>
            </w:r>
          </w:p>
        </w:tc>
        <w:tc>
          <w:tcPr>
            <w:tcW w:type="dxa" w:w="2951"/>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Protect mature canopy; examine whether coverage and cooling are equitably distributed</w:t>
            </w:r>
          </w:p>
        </w:tc>
        <w:tc>
          <w:tcPr>
            <w:tcW w:type="dxa" w:w="2232"/>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The profile still contains drought, rainfall and flood exposure; it is not universally low risk.</w:t>
            </w:r>
          </w:p>
        </w:tc>
      </w:tr>
      <w:tr>
        <w:trPr>
          <w:cantSplit/>
        </w:trPr>
        <w:tc>
          <w:tcPr>
            <w:tcW w:type="dxa" w:w="180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Low flood/rain</w:t>
            </w:r>
          </w:p>
        </w:tc>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Low mean flood and heavy-rain exposure but relatively high heat</w:t>
            </w:r>
          </w:p>
        </w:tc>
        <w:tc>
          <w:tcPr>
            <w:tcW w:type="dxa" w:w="2951"/>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Investigate shade, surface materials, building form and cooling access</w:t>
            </w:r>
          </w:p>
        </w:tc>
        <w:tc>
          <w:tcPr>
            <w:tcW w:type="dxa" w:w="2232"/>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Low values for two hazards do not imply low overall vulnerability.</w:t>
            </w:r>
          </w:p>
        </w:tc>
      </w:tr>
      <w:tr>
        <w:trPr>
          <w:cantSplit/>
        </w:trPr>
        <w:tc>
          <w:tcPr>
            <w:tcW w:type="dxa" w:w="180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Flood exposure</w:t>
            </w:r>
          </w:p>
        </w:tc>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Very high mean flood exposure</w:t>
            </w:r>
          </w:p>
        </w:tc>
        <w:tc>
          <w:tcPr>
            <w:tcW w:type="dxa" w:w="2951"/>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Prioritize water storage, drainage, flood-resilient land use and emergency accessibility</w:t>
            </w:r>
          </w:p>
        </w:tc>
        <w:tc>
          <w:tcPr>
            <w:tcW w:type="dxa" w:w="2232"/>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Municipal averages can conceal neighbourhood hotspots and infrastructure dependencies.</w:t>
            </w:r>
          </w:p>
        </w:tc>
      </w:tr>
      <w:tr>
        <w:trPr>
          <w:cantSplit/>
        </w:trPr>
        <w:tc>
          <w:tcPr>
            <w:tcW w:type="dxa" w:w="1800"/>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Drought-heavy-rain extreme</w:t>
            </w:r>
          </w:p>
        </w:tc>
        <w:tc>
          <w:tcPr>
            <w:tcW w:type="dxa" w:w="2376"/>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Highest drought, heavy rain and heat means; only 16 municipalities</w:t>
            </w:r>
          </w:p>
        </w:tc>
        <w:tc>
          <w:tcPr>
            <w:tcW w:type="dxa" w:w="2951"/>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Use integrated drought, water-retention, drainage and heat strategies</w:t>
            </w:r>
          </w:p>
        </w:tc>
        <w:tc>
          <w:tcPr>
            <w:tcW w:type="dxa" w:w="2232"/>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Small cluster size and extreme values require case-by-case validation.</w:t>
            </w:r>
          </w:p>
        </w:tc>
      </w:tr>
    </w:tbl>
    <w:p>
      <w:pPr>
        <w:keepLines/>
        <w:spacing w:before="80" w:after="160"/>
      </w:pPr>
      <w:r>
        <w:rPr>
          <w:rFonts w:ascii="Times New Roman" w:hAnsi="Times New Roman"/>
          <w:i/>
          <w:sz w:val="20"/>
        </w:rPr>
        <w:t xml:space="preserve">Note. </w:t>
      </w:r>
      <w:r>
        <w:rPr>
          <w:rFonts w:ascii="Times New Roman" w:hAnsi="Times New Roman"/>
          <w:sz w:val="20"/>
        </w:rPr>
        <w:t>The recommendations follow from the observed profiles but require validation with local exposure, population and infrastructure data before implementation.</w:t>
      </w:r>
    </w:p>
    <w:p>
      <w:r>
        <w:t>Canopy deserves particular attention because its negative association with heat survived every major analytical check. Municipalities should therefore assess where canopy is absent, where existing mature trees are at risk, and whether cooling benefits reach heat-exposed populations. However, increasing canopy is not a cost-free or universally sufficient intervention. Species suitability, water availability, maintenance, underground infrastructure, allergenic effects and competition for space must be considered. The result supports canopy as a priority for evaluation, not a claim that canopy alone can resolve municipal heat risk.</w:t>
      </w:r>
    </w:p>
    <w:p>
      <w:r>
        <w:t>The flood-exposure and drought-heavy-rain profiles demonstrate the need for integrated water planning. Measures that retain water, increase infiltration or create multifunctional green-blue space may address more than one pressure, but their suitability depends on soil, hydrology, land use and local design. The disappearance of flood and heavy-rain coefficients from the spatial heat model also means that these hazards should not be justified mainly as heat predictors. They remain important adaptation domains in their own right.</w:t>
      </w:r>
    </w:p>
    <w:p>
      <w:r>
        <w:t>Finally, the strong spatial structure supports coordination at scales larger than the municipality. Regional climate, catchments, infrastructure networks and continuous urban areas cross administrative boundaries. Shared monitoring standards and compatible geospatial data would make it easier to distinguish genuine local change from differences in measurement or modelling procedures.</w:t>
      </w:r>
    </w:p>
    <w:p>
      <w:pPr>
        <w:pStyle w:val="Heading1"/>
        <w:keepNext/>
      </w:pPr>
      <w:r>
        <w:t>5.5 Methodological Strengths</w:t>
      </w:r>
    </w:p>
    <w:p>
      <w:r>
        <w:t>The study has several methodological strengths. It used near-national municipal coverage and retained 98.54% of the source observations in the complete-case analysis. It standardized indicators before distance-based analyses, evaluated PCA retention with parallel analysis, compared alternative cluster solutions, and assessed cluster stability using 500 bootstrap samples. The regression stage used HC3-robust standard errors, examined normality, heteroskedasticity, functional form, multicollinearity and influential observations, and tested the sensitivity of coefficients after screened cases were removed.</w:t>
      </w:r>
    </w:p>
    <w:p>
      <w:r>
        <w:t>The most important strength was the explicit treatment of spatial dependence. Rather than presenting the OLS model as final, the analysis tested residual autocorrelation, compared spatial-lag and spatial-error models, checked the residuals of both, and repeated the preferred model with a different spatial-weights definition. This prevented the study from interpreting geographically patterned residuals as independent evidence.</w:t>
      </w:r>
    </w:p>
    <w:p>
      <w:r>
        <w:t>A further strength is the separation between exploratory and explanatory claims. PCA and clustering were used to describe structure and profiles, while regression quantified adjusted associations. Bootstrap stability was not misrepresented as causal validation, and sensitivity analysis was used to evaluate robustness rather than to search selectively for significance. This distinction improves the transparency and reproducibility of the conclusions.</w:t>
      </w:r>
    </w:p>
    <w:p>
      <w:pPr>
        <w:pStyle w:val="Heading1"/>
        <w:keepNext/>
      </w:pPr>
      <w:r>
        <w:t>5.6 Limitations</w:t>
      </w:r>
    </w:p>
    <w:p>
      <w:r>
        <w:t>The findings must be interpreted within several limitations. These limitations do not invalidate the analysis, but they restrict what can be concluded. Table 5.3 identifies each limitation and its consequence for interpretation.</w:t>
      </w:r>
    </w:p>
    <w:p>
      <w:pPr>
        <w:keepNext/>
        <w:spacing w:before="160" w:after="80"/>
      </w:pPr>
      <w:r>
        <w:rPr>
          <w:rFonts w:ascii="Times New Roman" w:hAnsi="Times New Roman"/>
          <w:b/>
          <w:sz w:val="22"/>
        </w:rPr>
        <w:t>Table 5.3 Study limitations and interpretive consequences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Limitation</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Consequence</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after="0" w:line="259" w:lineRule="auto"/>
              <w:jc w:val="center"/>
              <w:keepNext/>
            </w:pPr>
            <w:r/>
            <w:r>
              <w:rPr>
                <w:rFonts w:ascii="Times New Roman" w:hAnsi="Times New Roman"/>
                <w:b/>
                <w:color w:val="FFFFFF"/>
                <w:sz w:val="17"/>
              </w:rPr>
              <w:t>Appropriate response</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Cross-sectional design</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Temporal order and causal effects cannot be established</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Describe coefficients as associations and use longitudinal or quasi-experimental designs in future work.</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Municipal aggregation</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Within-municipality inequalities and neighbourhood hotspots are concealed</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Replicate at neighbourhood or grid level and assess sensitivity to spatial scale.</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Restricted indicator set</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Social sensitivity and adaptive capacity are not measured</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Add demographic, health, housing, income and institutional-capacity indicators.</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Source-derived measures</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Results depend on the definitions, models and dates embedded in the Buurtdashboard indicators</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Document metadata and validate against independent observations where possible.</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Complete-case analysis</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Five municipalities were excluded because drought depth was missing</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Investigate missingness and compare with principled imputation if additional data become available.</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Cluster choice</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center"/>
            </w:pPr>
            <w:r/>
            <w:r>
              <w:rPr>
                <w:rFonts w:ascii="Times New Roman" w:hAnsi="Times New Roman"/>
                <w:b w:val="0"/>
                <w:color w:val="000000"/>
                <w:sz w:val="17"/>
              </w:rPr>
              <w:t>The four-cluster solution traded slightly lower separation for greater substantive detail</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after="0" w:line="259" w:lineRule="auto"/>
              <w:jc w:val="left"/>
            </w:pPr>
            <w:r/>
            <w:r>
              <w:rPr>
                <w:rFonts w:ascii="Times New Roman" w:hAnsi="Times New Roman"/>
                <w:b w:val="0"/>
                <w:color w:val="000000"/>
                <w:sz w:val="17"/>
              </w:rPr>
              <w:t>Treat clusters as a useful typology, report the k = 2 comparison and avoid rigid classification.</w:t>
            </w:r>
          </w:p>
        </w:tc>
      </w:tr>
      <w:tr>
        <w:trPr>
          <w:cantSplit/>
        </w:trPr>
        <w:tc>
          <w:tcPr>
            <w:tcW w:type="dxa" w:w="20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Spatial specification</w:t>
            </w:r>
          </w:p>
        </w:tc>
        <w:tc>
          <w:tcPr>
            <w:tcW w:type="dxa" w:w="3384"/>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center"/>
            </w:pPr>
            <w:r/>
            <w:r>
              <w:rPr>
                <w:rFonts w:ascii="Times New Roman" w:hAnsi="Times New Roman"/>
                <w:b w:val="0"/>
                <w:color w:val="000000"/>
                <w:sz w:val="17"/>
              </w:rPr>
              <w:t>Results can depend on the weights matrix and omitted regional processes</w:t>
            </w:r>
          </w:p>
        </w:tc>
        <w:tc>
          <w:tcPr>
            <w:tcW w:type="dxa" w:w="3888"/>
            <w:vAlign w:val="center"/>
            <w:tcMar>
              <w:top w:w="105" w:type="dxa"/>
              <w:start w:w="110" w:type="dxa"/>
              <w:bottom w:w="10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9" w:lineRule="auto"/>
              <w:jc w:val="left"/>
            </w:pPr>
            <w:r/>
            <w:r>
              <w:rPr>
                <w:rFonts w:ascii="Times New Roman" w:hAnsi="Times New Roman"/>
                <w:b w:val="0"/>
                <w:color w:val="000000"/>
                <w:sz w:val="17"/>
              </w:rPr>
              <w:t>Retain the sensitivity analysis and test additional defensible spatial structures in future research.</w:t>
            </w:r>
          </w:p>
        </w:tc>
      </w:tr>
    </w:tbl>
    <w:p>
      <w:pPr>
        <w:keepLines/>
        <w:spacing w:before="80" w:after="160"/>
      </w:pPr>
      <w:r>
        <w:rPr>
          <w:rFonts w:ascii="Times New Roman" w:hAnsi="Times New Roman"/>
          <w:i/>
          <w:sz w:val="20"/>
        </w:rPr>
        <w:t xml:space="preserve">Note. </w:t>
      </w:r>
      <w:r>
        <w:rPr>
          <w:rFonts w:ascii="Times New Roman" w:hAnsi="Times New Roman"/>
          <w:sz w:val="20"/>
        </w:rPr>
        <w:t>The limitations define the boundary of the study's claims and should be reported alongside its substantive findings.</w:t>
      </w:r>
    </w:p>
    <w:p>
      <w:r>
        <w:t>The ecological nature of the data is particularly important. A municipality with high average canopy and low average heat does not establish that every neighbourhood or resident receives the same benefit. Nor can municipal results be translated directly into individual health outcomes. Ahmed et al. (2023) showed that heatwave-vulnerability assessments can produce different insights at different spatial scales, while Habib et al. (2025) demonstrated the value of high-resolution data for representing urban heat conditions. The municipal scale is suitable for national comparison and governance, but insufficient for identifying street-level intervention sites.</w:t>
      </w:r>
    </w:p>
    <w:p>
      <w:r>
        <w:t>Measurement uncertainty is another limitation. The analysis treated the exported indicators as observed values, yet several appear to derive from spatial models or threshold-based summaries. Without incorporating confidence intervals or error surfaces for the source indicators, the downstream PCA, clusters and regression estimates may appear more precise than the underlying data justify. Future versions should preserve complete metadata on reference periods, spatial resolution, denominators and modelling assumptions for every indicator.</w:t>
      </w:r>
    </w:p>
    <w:p>
      <w:r>
        <w:t>Finally, the spatial-error model indicates omitted spatially patterned influences but does not identify them. Urban density, building geometry, surface sealing, proximity to water, coastal conditions and regional climate could contribute to the remaining structure. The significant lambda should therefore be interpreted as evidence of spatially correlated unobserved factors, not as a substantive explanation by itself.</w:t>
      </w:r>
    </w:p>
    <w:p>
      <w:pPr>
        <w:pStyle w:val="Heading1"/>
        <w:keepNext/>
      </w:pPr>
      <w:r>
        <w:t>5.7 Recommendations</w:t>
      </w:r>
    </w:p>
    <w:p>
      <w:pPr>
        <w:pStyle w:val="Heading2"/>
        <w:keepNext/>
      </w:pPr>
      <w:r>
        <w:t>5.7.1 Recommendations for Practice</w:t>
      </w:r>
    </w:p>
    <w:p>
      <w:r>
        <w:t>Municipalities should use the four profiles as an initial diagnostic tool and verify them with local data before selecting interventions. High-heat municipalities should assess canopy preservation and expansion alongside building form, shade, surface materials and access to cooling. Flood-dominant municipalities should prioritize water management without assuming that flood interventions automatically address heat. The drought-heavy-rain extreme group requires integrated planning because measures designed for water scarcity and short-duration excess rainfall can interact.</w:t>
      </w:r>
    </w:p>
    <w:p>
      <w:r>
        <w:t>Regional authorities should coordinate municipalities displaying similar or adjacent exposure patterns. Shared monitoring, consistent definitions and cross-boundary planning are justified by the strong residual spatial dependence. Policy evaluation should track both environmental outcomes and distributional effects so that improvements in municipal averages do not conceal persistent vulnerability in particular neighbourhoods or population groups.</w:t>
      </w:r>
    </w:p>
    <w:p>
      <w:pPr>
        <w:pStyle w:val="Heading2"/>
        <w:keepNext/>
      </w:pPr>
      <w:r>
        <w:t>5.7.2 Recommendations for Further Research</w:t>
      </w:r>
    </w:p>
    <w:p>
      <w:r>
        <w:t>Future research should extend the study in five directions. First, repeated observations should be assembled to determine whether municipal profiles and coefficients remain stable over time. Second, the environmental indicators should be combined with measures of population sensitivity and adaptive capacity, including age, health, income, housing and access to services. Third, the analysis should be replicated at neighbourhood or grid level to quantify the effect of spatial aggregation. Fourth, indicator uncertainty and alternative definitions should be propagated through the multivariate analysis. Fifth, explanatory models should include defensible urban-form and land-use variables and test nonlinearities where theory supports them.</w:t>
      </w:r>
    </w:p>
    <w:p>
      <w:r>
        <w:t>External validation of the cluster solution is also needed. The profiles could be compared with observed heat measurements, flood incidents, damage records or municipal adaptation plans that were not used to construct the clusters. A profile that is statistically stable but unrelated to independent outcomes would have limited practical value. Conversely, reproducible links with external outcomes would strengthen the typology's usefulness.</w:t>
      </w:r>
    </w:p>
    <w:p>
      <w:r>
        <w:t>Further spatial work could compare contiguity, distance-band and nearest-neighbour specifications using prespecified criteria. Local models may be considered if there is a substantive reason to expect coefficients to vary geographically, but they should not replace the national model merely because they produce more detailed maps. Increased complexity should be justified by improved inference, validation and interpretability.</w:t>
      </w:r>
    </w:p>
    <w:p>
      <w:pPr>
        <w:pStyle w:val="Heading1"/>
        <w:keepNext/>
      </w:pPr>
      <w:r>
        <w:t>5.8 Conclusion</w:t>
      </w:r>
    </w:p>
    <w:p>
      <w:r>
        <w:t>This study shows that environmental vulnerability across Dutch municipalities cannot be summarized adequately by a single hazard or a non-spatial regression. The five indicators formed a multidimensional structure represented by two principal components and four interpretable municipal profiles. The profiles were stable under bootstrap resampling, although their selection involved a deliberate trade-off between statistical separation and substantive detail.</w:t>
      </w:r>
    </w:p>
    <w:p>
      <w:r>
        <w:t>Canopy cover emerged as the most consistent correlate of heat exposure. Its negative relationship appeared in the correlation matrix, the heat-versus-canopy principal component, the cluster profiles, the robust OLS model, the influence analysis and both spatial-weights specifications. Drought depth was positively associated with heat in the preferred spatial-error model. By contrast, the apparent OLS associations for flood and heavy-rain exposure did not survive spatial adjustment.</w:t>
      </w:r>
    </w:p>
    <w:p>
      <w:r>
        <w:t>The strong spatial autocorrelation in the OLS residuals and the superior fit of the spatial-error model demonstrate that geographic dependence materially shaped the results. Municipalities should therefore be viewed as parts of connected regional systems rather than independent units. The findings support differentiated and coordinated climate adaptation, while the study's cross-sectional, aggregated and environmentally restricted design requires cautious interpretation. The profiles and coefficients provide evidence for prioritizing further assessment; they do not establish causal effects or a comprehensive ranking of municipal climate vulnerability.</w:t>
      </w:r>
    </w:p>
    <w:p>
      <w:pPr>
        <w:pStyle w:val="Heading1"/>
        <w:keepNext/>
        <w:pageBreakBefore/>
      </w:pPr>
      <w:bookmarkStart w:id="900" w:name="references"/>
      <w:r>
        <w:t>References</w:t>
      </w:r>
      <w:bookmarkEnd w:id="900"/>
    </w:p>
    <w:p>
      <w:pPr>
        <w:spacing w:line="276" w:lineRule="auto" w:after="120"/>
        <w:ind w:left="504" w:hanging="504"/>
      </w:pPr>
      <w:r>
        <w:t>Ahmed, I., van Esch, M. M. E., &amp; van der Hoeven, F. D. (2023). Heatwave vulnerability across different spatial scales: Insights from the Dutch built environment. Urban Climate, 51, 101614. https://doi.org/10.1016/j.uclim.2023.101614</w:t>
      </w:r>
    </w:p>
    <w:p>
      <w:pPr>
        <w:spacing w:line="276" w:lineRule="auto" w:after="120"/>
        <w:ind w:left="504" w:hanging="504"/>
      </w:pPr>
      <w:r>
        <w:t>Anselin, L. (1988). Spatial econometrics: Methods and models. Kluwer Academic Publishers.</w:t>
      </w:r>
    </w:p>
    <w:p>
      <w:pPr>
        <w:spacing w:line="276" w:lineRule="auto" w:after="120"/>
        <w:ind w:left="504" w:hanging="504"/>
      </w:pPr>
      <w:r>
        <w:t>Birkmann, J. (2007). Risk and vulnerability indicators at different scales: Applicability, usefulness and policy implications. Environmental Hazards, 7(1), 20–31. https://doi.org/10.1016/j.envhaz.2007.04.002</w:t>
      </w:r>
    </w:p>
    <w:p>
      <w:pPr>
        <w:spacing w:line="276" w:lineRule="auto" w:after="120"/>
        <w:ind w:left="504" w:hanging="504"/>
      </w:pPr>
      <w:r>
        <w:t>Breusch, T. S., &amp; Pagan, A. R. (1979). A simple test for heteroscedasticity and random coefficient variation. Econometrica, 47(5), 1287–1294. https://doi.org/10.2307/1911963</w:t>
      </w:r>
    </w:p>
    <w:p>
      <w:pPr>
        <w:spacing w:line="276" w:lineRule="auto" w:after="120"/>
        <w:ind w:left="504" w:hanging="504"/>
      </w:pPr>
      <w:r>
        <w:t>Climate Adaptation Platform Netherlands. (n.d.). Climate adaptation in the Netherlands. https://klimaatadaptatienederland.nl/</w:t>
      </w:r>
    </w:p>
    <w:p>
      <w:pPr>
        <w:spacing w:line="276" w:lineRule="auto" w:after="120"/>
        <w:ind w:left="504" w:hanging="504"/>
      </w:pPr>
      <w:r>
        <w:t>Climate Adaptation Platform Netherlands. (2026). National Climate Adaptation Strategy. https://klimaatadaptatienederland.nl/en/policy-programmes/national-climate-adaptation-strategy/</w:t>
      </w:r>
    </w:p>
    <w:p>
      <w:pPr>
        <w:spacing w:line="276" w:lineRule="auto" w:after="120"/>
        <w:ind w:left="504" w:hanging="504"/>
      </w:pPr>
      <w:r>
        <w:t>Cook, R. D. (1977). Detection of influential observation in linear regression. Technometrics, 19(1), 15–18. https://doi.org/10.2307/1268249</w:t>
      </w:r>
    </w:p>
    <w:p>
      <w:pPr>
        <w:spacing w:line="276" w:lineRule="auto" w:after="120"/>
        <w:ind w:left="504" w:hanging="504"/>
      </w:pPr>
      <w:r>
        <w:t>Cutter, S. L., Boruff, B. J., &amp; Shirley, W. L. (2003). Social vulnerability to environmental hazards. Social Science Quarterly, 84(2), 242–261. https://doi.org/10.1111/1540-6237.8402002</w:t>
      </w:r>
    </w:p>
    <w:p>
      <w:pPr>
        <w:spacing w:line="276" w:lineRule="auto" w:after="120"/>
        <w:ind w:left="504" w:hanging="504"/>
      </w:pPr>
      <w:r>
        <w:t>Delta Programme. (2026). National Delta Programme. https://english.deltaprogramma.nl/</w:t>
      </w:r>
    </w:p>
    <w:p>
      <w:pPr>
        <w:spacing w:line="276" w:lineRule="auto" w:after="120"/>
        <w:ind w:left="504" w:hanging="504"/>
      </w:pPr>
      <w:r>
        <w:t>European Environment Agency. (2024). European climate risk assessment (EEA Report No. 01/2024). Publications Office of the European Union. https://www.eea.europa.eu/en/analysis/publications/european-climate-risk-assessment</w:t>
      </w:r>
    </w:p>
    <w:p>
      <w:pPr>
        <w:spacing w:line="276" w:lineRule="auto" w:after="120"/>
        <w:ind w:left="504" w:hanging="504"/>
      </w:pPr>
      <w:r>
        <w:t>Habib, M. M., van Esch, M., van Ham, M., &amp; Timmermans, W. J. (2025). High-resolution datasets for urban heat vulnerability assessment in urbanized areas of the Netherlands. Data in Brief, 60, 111525. https://doi.org/10.1016/j.dib.2025.111525</w:t>
      </w:r>
    </w:p>
    <w:p>
      <w:pPr>
        <w:spacing w:line="276" w:lineRule="auto" w:after="120"/>
        <w:ind w:left="504" w:hanging="504"/>
      </w:pPr>
      <w:r>
        <w:t>Hennig, C. (2007). Cluster-wise assessment of cluster stability. Computational Statistics &amp; Data Analysis, 52(1), 258–271. https://doi.org/10.1016/j.csda.2006.11.025</w:t>
      </w:r>
    </w:p>
    <w:p>
      <w:pPr>
        <w:spacing w:line="276" w:lineRule="auto" w:after="120"/>
        <w:ind w:left="504" w:hanging="504"/>
      </w:pPr>
      <w:r>
        <w:t>Horn, J. L. (1965). A rationale and test for the number of factors in factor analysis. Psychometrika, 30, 179–185. https://doi.org/10.1007/BF02289447</w:t>
      </w:r>
    </w:p>
    <w:p>
      <w:pPr>
        <w:spacing w:line="276" w:lineRule="auto" w:after="120"/>
        <w:ind w:left="504" w:hanging="504"/>
      </w:pPr>
      <w:r>
        <w:t>IPCC. (2022). Climate change 2022: Impacts, adaptation and vulnerability. Contribution of Working Group II to the Sixth Assessment Report of the Intergovernmental Panel on Climate Change. Cambridge University Press. https://doi.org/10.1017/9781009325844</w:t>
      </w:r>
    </w:p>
    <w:p>
      <w:pPr>
        <w:spacing w:line="276" w:lineRule="auto" w:after="120"/>
        <w:ind w:left="504" w:hanging="504"/>
      </w:pPr>
      <w:r>
        <w:t>Jolliffe, I. T., &amp; Cadima, J. (2016). Principal component analysis: A review and recent developments. Philosophical Transactions of the Royal Society A, 374(2065), 20150202. https://doi.org/10.1098/rsta.2015.0202</w:t>
      </w:r>
    </w:p>
    <w:p>
      <w:pPr>
        <w:spacing w:line="276" w:lineRule="auto" w:after="120"/>
        <w:ind w:left="504" w:hanging="504"/>
      </w:pPr>
      <w:r>
        <w:t>Klimaateffectatlas. (2026). Buurtdashboard and associated metadata workbook. https://www.klimaateffectatlas.nl/nl/buurtdashboard</w:t>
      </w:r>
    </w:p>
    <w:p>
      <w:pPr>
        <w:spacing w:line="276" w:lineRule="auto" w:after="120"/>
        <w:ind w:left="504" w:hanging="504"/>
      </w:pPr>
      <w:r>
        <w:t>Lloyd, S. (1982). Least squares quantization in PCM. IEEE Transactions on Information Theory, 28(2), 129–137. https://doi.org/10.1109/TIT.1982.1056489</w:t>
      </w:r>
    </w:p>
    <w:p>
      <w:pPr>
        <w:spacing w:line="276" w:lineRule="auto" w:after="120"/>
        <w:ind w:left="504" w:hanging="504"/>
      </w:pPr>
      <w:r>
        <w:t>MacKinnon, J. G., &amp; White, H. (1985). Some heteroskedasticity-consistent covariance matrix estimators with improved finite sample properties. Journal of Econometrics, 29(3), 305–325. https://doi.org/10.1016/0304-4076(85)90158-7</w:t>
      </w:r>
    </w:p>
    <w:p>
      <w:pPr>
        <w:spacing w:line="276" w:lineRule="auto" w:after="120"/>
        <w:ind w:left="504" w:hanging="504"/>
      </w:pPr>
      <w:r>
        <w:t>Moran, P. A. P. (1950). Notes on continuous stochastic phenomena. Biometrika, 37(1–2), 17–23. https://doi.org/10.1093/biomet/37.1-2.17</w:t>
      </w:r>
    </w:p>
    <w:p>
      <w:pPr>
        <w:spacing w:line="276" w:lineRule="auto" w:after="120"/>
        <w:ind w:left="504" w:hanging="504"/>
      </w:pPr>
      <w:r>
        <w:t>OECD &amp; European Union. (2008). Handbook on constructing composite indicators: Methodology and user guide. OECD Publishing. https://doi.org/10.1787/9789264043466-en</w:t>
      </w:r>
    </w:p>
    <w:p>
      <w:pPr>
        <w:spacing w:line="276" w:lineRule="auto" w:after="120"/>
        <w:ind w:left="504" w:hanging="504"/>
      </w:pPr>
      <w:r>
        <w:t>R Core Team. (2026). R: A language and environment for statistical computing. R Foundation for Statistical Computing.</w:t>
      </w:r>
    </w:p>
    <w:p>
      <w:pPr>
        <w:spacing w:line="276" w:lineRule="auto" w:after="120"/>
        <w:ind w:left="504" w:hanging="504"/>
      </w:pPr>
      <w:r>
        <w:t>Rafiee, A., Dias, E. S., &amp; Koomen, E. (2016). Local impact of tree volume on nocturnal urban heat island: A case study in Amsterdam. Urban Forestry &amp; Urban Greening, 16, 50–61. https://doi.org/10.1016/j.ufug.2016.01.008</w:t>
      </w:r>
    </w:p>
    <w:p>
      <w:pPr>
        <w:spacing w:line="276" w:lineRule="auto" w:after="120"/>
        <w:ind w:left="504" w:hanging="504"/>
      </w:pPr>
      <w:r>
        <w:t>Ramsey, J. B. (1969). Tests for specification errors in classical linear least-squares regression analysis. Journal of the Royal Statistical Society Series B, 31(2), 350–371.</w:t>
      </w:r>
    </w:p>
    <w:p>
      <w:pPr>
        <w:spacing w:line="276" w:lineRule="auto" w:after="120"/>
        <w:ind w:left="504" w:hanging="504"/>
      </w:pPr>
      <w:r>
        <w:t>Rousseeuw, P. J. (1987). Silhouettes: A graphical aid to the interpretation and validation of cluster analysis. Journal of Computational and Applied Mathematics, 20, 53–65. https://doi.org/10.1016/0377-0427(87)90125-7</w:t>
      </w:r>
    </w:p>
    <w:p>
      <w:pPr>
        <w:spacing w:line="276" w:lineRule="auto" w:after="120"/>
        <w:ind w:left="504" w:hanging="504"/>
      </w:pPr>
      <w:r>
        <w:t>Shapiro, S. S., &amp; Wilk, M. B. (1965). An analysis of variance test for normality. Biometrika, 52(3–4), 591–611. https://doi.org/10.1093/biomet/52.3-4.591</w:t>
      </w:r>
    </w:p>
    <w:p>
      <w:pPr>
        <w:spacing w:line="276" w:lineRule="auto" w:after="120"/>
        <w:ind w:left="504" w:hanging="504"/>
      </w:pPr>
      <w:r>
        <w:t>Theeuwes, N. E., Steeneveld, G. J., Ronda, R. J., &amp; Holtslag, A. A. M. (2017). A diagnostic equation for the daily maximum urban heat island effect for cities in northwestern Europe. International Journal of Climatology, 37(1), 443–454. https://doi.org/10.1002/joc.4717</w:t>
      </w:r>
    </w:p>
    <w:p>
      <w:pPr>
        <w:spacing w:line="276" w:lineRule="auto" w:after="120"/>
        <w:ind w:left="504" w:hanging="504"/>
      </w:pPr>
      <w:r>
        <w:t>van Dorland, R., Beersma, J., Bessembinder, J., Bloemendaal, N., van den Brink, H., Brotons Blanes, M., Drijfhout, S., Haarsma, R., Keizer, I., Krikken, F., Le Bars, D., Lenderink, G., van Meijgaard, E., Meirink, J. F., Reerink, T., Selten, F., Severijns, C., Siegmund, P., Sterl, A., Overbeek, B., de Vries, H., Wichers Schreur, B., &amp; van der Wiel, K. (2023). KNMI National Climate Scenarios 2023 for the Netherlands (WR-23-02). Royal Netherlands Meteorological Institute. https://www.knmi.nl/kennis-en-datacentrum/publicatie/knmi-national-climate-scenarios-2023-for-the-netherlands</w:t>
      </w:r>
    </w:p>
    <w:p>
      <w:pPr>
        <w:spacing w:line="276" w:lineRule="auto" w:after="120"/>
        <w:ind w:left="504" w:hanging="504"/>
      </w:pPr>
      <w:r>
        <w:t>van Hove, L. W. A., Jacobs, C. M. J., Heusinkveld, B. G., Elbers, J. A., van Driel, B. L., &amp; Holtslag, A. A. M. (2015). Temporal and spatial variability of urban heat island and thermal comfort within the Rotterdam agglomeration. Building and Environment, 83, 91–103. https://doi.org/10.1016/j.buildenv.2014.08.029</w:t>
      </w:r>
    </w:p>
    <w:sectPr w:rsidR="00FC693F" w:rsidRPr="0006063C" w:rsidSect="00034616">
      <w:headerReference w:type="default" r:id="rId11"/>
      <w:footerReference w:type="default" r:id="rId12"/>
      <w:pgSz w:w="12240" w:h="15840"/>
      <w:pgMar w:top="1152" w:right="1440" w:bottom="1080" w:left="144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5A5A"/>
        <w:sz w:val="18"/>
      </w:rPr>
      <w:t>Dutch Municipal Environmental Vulnerability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line="360" w:lineRule="auto" w:after="140"/>
      <w:jc w:val="both"/>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60" w:line="252" w:lineRule="auto"/>
      <w:ind w:left="0"/>
    </w:pPr>
    <w:rPr>
      <w:rFonts w:ascii="Times New Roman" w:hAnsi="Times New Roman" w:eastAsia="Times New Roman"/>
      <w:b/>
      <w:color w:val="000000"/>
      <w:sz w:val="20"/>
    </w:rPr>
  </w:style>
  <w:style w:type="paragraph" w:customStyle="1" w:styleId="TOC2">
    <w:name w:val="TOC 2"/>
    <w:pPr>
      <w:spacing w:after="60" w:line="252" w:lineRule="auto"/>
      <w:ind w:left="432"/>
    </w:pPr>
    <w:rPr>
      <w:rFonts w:ascii="Times New Roman" w:hAnsi="Times New Roman" w:eastAsia="Times New Roman"/>
      <w:b w:val="0"/>
      <w:color w:val="000000"/>
      <w:sz w:val="19"/>
    </w:rPr>
  </w:style>
  <w:style w:type="paragraph" w:customStyle="1" w:styleId="TableText">
    <w:name w:val="Table Text"/>
    <w:pPr>
      <w:spacing w:line="252" w:lineRule="auto" w:after="40"/>
    </w:pPr>
    <w:rPr>
      <w:rFonts w:ascii="Times New Roman" w:hAnsi="Times New Roman" w:eastAsia="Times New Roman"/>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and Spatial Analysis of Environmental Vulnerability Across Dutch Municipalities Using R</dc:title>
  <dc:subject>Complete thesis on environmental vulnerability across Dutch municipalities</dc:subject>
  <dc:creator>Joshua Aguele</dc:creator>
  <cp:keywords>environmental vulnerability, Dutch municipalities, R, PCA, clustering, spatial econometrics</cp:keywords>
  <dc:description>generated by python-docx</dc:description>
  <cp:lastModifiedBy/>
  <cp:revision>1</cp:revision>
  <dcterms:created xsi:type="dcterms:W3CDTF">2013-12-23T23:15:00Z</dcterms:created>
  <dcterms:modified xsi:type="dcterms:W3CDTF">2013-12-23T23:15:00Z</dcterms:modified>
  <cp:category/>
</cp:coreProperties>
</file>