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ay-1092-telecom-customer-churn-analysis"/>
    <w:p>
      <w:pPr>
        <w:pStyle w:val="Heading1"/>
      </w:pPr>
      <w:r>
        <w:t xml:space="preserve">DAY 10/92 — TELECOM CUSTOMER CHURN ANALYSIS</w:t>
      </w:r>
    </w:p>
    <w:bookmarkStart w:id="9" w:name="project-overview"/>
    <w:p>
      <w:pPr>
        <w:pStyle w:val="Heading2"/>
      </w:pPr>
      <w:r>
        <w:t xml:space="preserve">1. Project Overview</w:t>
      </w:r>
    </w:p>
    <w:p>
      <w:pPr>
        <w:pStyle w:val="FirstParagraph"/>
      </w:pPr>
      <w:r>
        <w:rPr>
          <w:b/>
          <w:bCs/>
        </w:rPr>
        <w:t xml:space="preserve">Challenge:</w:t>
      </w:r>
      <w:r>
        <w:t xml:space="preserve"> </w:t>
      </w:r>
      <w:r>
        <w:t xml:space="preserve">92-Day Data Analysis Challenge</w:t>
      </w:r>
      <w:r>
        <w:br/>
      </w:r>
      <w:r>
        <w:rPr>
          <w:b/>
          <w:bCs/>
        </w:rPr>
        <w:t xml:space="preserve">Day:</w:t>
      </w:r>
      <w:r>
        <w:t xml:space="preserve"> </w:t>
      </w:r>
      <w:r>
        <w:t xml:space="preserve">10 of 92</w:t>
      </w:r>
      <w:r>
        <w:br/>
      </w:r>
      <w:r>
        <w:rPr>
          <w:b/>
          <w:bCs/>
        </w:rPr>
        <w:t xml:space="preserve">Month:</w:t>
      </w:r>
      <w:r>
        <w:t xml:space="preserve"> </w:t>
      </w:r>
      <w:r>
        <w:t xml:space="preserve">October — Advanced Excel</w:t>
      </w:r>
      <w:r>
        <w:br/>
      </w:r>
      <w:r>
        <w:rPr>
          <w:b/>
          <w:bCs/>
        </w:rPr>
        <w:t xml:space="preserve">Dataset:</w:t>
      </w:r>
      <w:r>
        <w:t xml:space="preserve"> </w:t>
      </w:r>
      <w:r>
        <w:t xml:space="preserve">Maven Analytics Telecom Customer Churn</w:t>
      </w:r>
      <w:r>
        <w:br/>
      </w:r>
      <w:r>
        <w:rPr>
          <w:b/>
          <w:bCs/>
        </w:rPr>
        <w:t xml:space="preserve">Tool:</w:t>
      </w:r>
      <w:r>
        <w:t xml:space="preserve"> </w:t>
      </w:r>
      <w:r>
        <w:t xml:space="preserve">Microsoft Excel</w:t>
      </w:r>
      <w:r>
        <w:br/>
      </w:r>
      <w:r>
        <w:rPr>
          <w:b/>
          <w:bCs/>
        </w:rPr>
        <w:t xml:space="preserve">Analysis Focus:</w:t>
      </w:r>
      <w:r>
        <w:t xml:space="preserve"> </w:t>
      </w:r>
      <w:r>
        <w:t xml:space="preserve">Customer Tenure and Churn Rate</w:t>
      </w:r>
    </w:p>
    <w:bookmarkEnd w:id="9"/>
    <w:bookmarkStart w:id="10" w:name="objective"/>
    <w:p>
      <w:pPr>
        <w:pStyle w:val="Heading2"/>
      </w:pPr>
      <w:r>
        <w:t xml:space="preserve">2. Objective</w:t>
      </w:r>
    </w:p>
    <w:p>
      <w:pPr>
        <w:pStyle w:val="FirstParagraph"/>
      </w:pPr>
      <w:r>
        <w:t xml:space="preserve">The objective of today’s analysis was to investigate the relationship between customer tenure and churn. The analysis aimed to determine whether churn rates differ among customers who have been with the company for different lengths of time.</w:t>
      </w:r>
    </w:p>
    <w:bookmarkEnd w:id="10"/>
    <w:bookmarkStart w:id="11" w:name="preparation-and-data-organization"/>
    <w:p>
      <w:pPr>
        <w:pStyle w:val="Heading2"/>
      </w:pPr>
      <w:r>
        <w:t xml:space="preserve">3. Preparation and Data Organization</w:t>
      </w:r>
    </w:p>
    <w:p>
      <w:pPr>
        <w:pStyle w:val="FirstParagraph"/>
      </w:pPr>
      <w:r>
        <w:t xml:space="preserve">Before conducting the analysis, I confirmed that the dataset contained a</w:t>
      </w:r>
      <w:r>
        <w:t xml:space="preserve"> </w:t>
      </w:r>
      <w:r>
        <w:rPr>
          <w:rStyle w:val="VerbatimChar"/>
        </w:rPr>
        <w:t xml:space="preserve">Tenure in Months</w:t>
      </w:r>
      <w:r>
        <w:t xml:space="preserve"> </w:t>
      </w:r>
      <w:r>
        <w:t xml:space="preserve">column and checked the minimum and maximum tenure values.</w:t>
      </w:r>
    </w:p>
    <w:p>
      <w:pPr>
        <w:pStyle w:val="BodyText"/>
      </w:pPr>
      <w:r>
        <w:t xml:space="preserve">The results were:</w:t>
      </w:r>
    </w:p>
    <w:p>
      <w:pPr>
        <w:pStyle w:val="Compact"/>
        <w:numPr>
          <w:ilvl w:val="0"/>
          <w:numId w:val="1001"/>
        </w:numPr>
      </w:pPr>
      <w:r>
        <w:t xml:space="preserve">Minimum customer tenure: 1 month</w:t>
      </w:r>
    </w:p>
    <w:p>
      <w:pPr>
        <w:pStyle w:val="Compact"/>
        <w:numPr>
          <w:ilvl w:val="0"/>
          <w:numId w:val="1001"/>
        </w:numPr>
      </w:pPr>
      <w:r>
        <w:t xml:space="preserve">Maximum customer tenure: 72 months</w:t>
      </w:r>
    </w:p>
    <w:p>
      <w:pPr>
        <w:pStyle w:val="FirstParagraph"/>
      </w:pPr>
      <w:r>
        <w:t xml:space="preserve">I then created a new calculated column named</w:t>
      </w:r>
      <w:r>
        <w:t xml:space="preserve"> </w:t>
      </w:r>
      <w:r>
        <w:rPr>
          <w:rStyle w:val="VerbatimChar"/>
        </w:rPr>
        <w:t xml:space="preserve">Tenure Group</w:t>
      </w:r>
      <w:r>
        <w:t xml:space="preserve"> </w:t>
      </w:r>
      <w:r>
        <w:t xml:space="preserve">in the Excel table</w:t>
      </w:r>
      <w:r>
        <w:t xml:space="preserve"> </w:t>
      </w:r>
      <w:r>
        <w:rPr>
          <w:rStyle w:val="VerbatimChar"/>
        </w:rPr>
        <w:t xml:space="preserve">tbl_Churn</w:t>
      </w:r>
      <w:r>
        <w:t xml:space="preserve">.</w:t>
      </w:r>
    </w:p>
    <w:p>
      <w:pPr>
        <w:pStyle w:val="BodyText"/>
      </w:pPr>
      <w:r>
        <w:t xml:space="preserve">The formula used was:</w:t>
      </w:r>
    </w:p>
    <w:p>
      <w:pPr>
        <w:pStyle w:val="BodyText"/>
      </w:pPr>
      <w:r>
        <w:rPr>
          <w:rStyle w:val="VerbatimChar"/>
        </w:rPr>
        <w:t xml:space="preserve">=IF([@[Tenure in Months]]&lt;=12,"0-12 Months",IF([@[Tenure in Months]]&lt;=24,"13-24 Months",IF([@[Tenure in Months]]&lt;=48,"25-48 Months","49-72 Months")))</w:t>
      </w:r>
    </w:p>
    <w:p>
      <w:pPr>
        <w:pStyle w:val="BodyText"/>
      </w:pPr>
      <w:r>
        <w:t xml:space="preserve">This formula classified customers into four tenure groups:</w:t>
      </w:r>
    </w:p>
    <w:p>
      <w:pPr>
        <w:pStyle w:val="Compact"/>
        <w:numPr>
          <w:ilvl w:val="0"/>
          <w:numId w:val="1002"/>
        </w:numPr>
      </w:pPr>
      <w:r>
        <w:t xml:space="preserve">0–12 Months</w:t>
      </w:r>
    </w:p>
    <w:p>
      <w:pPr>
        <w:pStyle w:val="Compact"/>
        <w:numPr>
          <w:ilvl w:val="0"/>
          <w:numId w:val="1002"/>
        </w:numPr>
      </w:pPr>
      <w:r>
        <w:t xml:space="preserve">13–24 Months</w:t>
      </w:r>
    </w:p>
    <w:p>
      <w:pPr>
        <w:pStyle w:val="Compact"/>
        <w:numPr>
          <w:ilvl w:val="0"/>
          <w:numId w:val="1002"/>
        </w:numPr>
      </w:pPr>
      <w:r>
        <w:t xml:space="preserve">25–48 Months</w:t>
      </w:r>
    </w:p>
    <w:p>
      <w:pPr>
        <w:pStyle w:val="Compact"/>
        <w:numPr>
          <w:ilvl w:val="0"/>
          <w:numId w:val="1002"/>
        </w:numPr>
      </w:pPr>
      <w:r>
        <w:t xml:space="preserve">49–72 Months</w:t>
      </w:r>
    </w:p>
    <w:p>
      <w:pPr>
        <w:pStyle w:val="FirstParagraph"/>
      </w:pPr>
      <w:r>
        <w:t xml:space="preserve">The formula populated the entire column successfully.</w:t>
      </w:r>
    </w:p>
    <w:bookmarkEnd w:id="11"/>
    <w:bookmarkStart w:id="12" w:name="customer-status-by-tenure-group"/>
    <w:p>
      <w:pPr>
        <w:pStyle w:val="Heading2"/>
      </w:pPr>
      <w:r>
        <w:t xml:space="preserve">4. Customer Status by Tenure Group</w:t>
      </w:r>
    </w:p>
    <w:p>
      <w:pPr>
        <w:pStyle w:val="FirstParagraph"/>
      </w:pPr>
      <w:r>
        <w:t xml:space="preserve">A PivotTable was created to examine the distribution of customer status across the four tenure groups.</w:t>
      </w:r>
    </w:p>
    <w:p>
      <w:pPr>
        <w:pStyle w:val="BodyText"/>
      </w:pPr>
      <w:r>
        <w:t xml:space="preserve">The dataset distinguishes between three customer statuses: Churned, Joined, and Stayed.</w:t>
      </w:r>
    </w:p>
    <w:p>
      <w:pPr>
        <w:pStyle w:val="BodyText"/>
      </w:pPr>
      <w:r>
        <w:t xml:space="preserve">The resulting figures were: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Tenure Group</w:t>
            </w:r>
          </w:p>
        </w:tc>
        <w:tc>
          <w:tcPr/>
          <w:p>
            <w:pPr>
              <w:pStyle w:val="Compact"/>
              <w:jc w:val="right"/>
            </w:pPr>
            <w:r>
              <w:t xml:space="preserve">Churned</w:t>
            </w:r>
          </w:p>
        </w:tc>
        <w:tc>
          <w:tcPr/>
          <w:p>
            <w:pPr>
              <w:pStyle w:val="Compact"/>
              <w:jc w:val="right"/>
            </w:pPr>
            <w:r>
              <w:t xml:space="preserve">Joined</w:t>
            </w:r>
          </w:p>
        </w:tc>
        <w:tc>
          <w:tcPr/>
          <w:p>
            <w:pPr>
              <w:pStyle w:val="Compact"/>
              <w:jc w:val="right"/>
            </w:pPr>
            <w:r>
              <w:t xml:space="preserve">Stayed</w:t>
            </w:r>
          </w:p>
        </w:tc>
        <w:tc>
          <w:tcPr/>
          <w:p>
            <w:pPr>
              <w:pStyle w:val="Compact"/>
              <w:jc w:val="right"/>
            </w:pPr>
            <w:r>
              <w:t xml:space="preserve">Total Customers</w:t>
            </w:r>
          </w:p>
        </w:tc>
      </w:tr>
      <w:tr>
        <w:tc>
          <w:tcPr/>
          <w:p>
            <w:pPr>
              <w:pStyle w:val="Compact"/>
            </w:pPr>
            <w:r>
              <w:t xml:space="preserve">0–12 Months</w:t>
            </w:r>
          </w:p>
        </w:tc>
        <w:tc>
          <w:tcPr/>
          <w:p>
            <w:pPr>
              <w:pStyle w:val="Compact"/>
              <w:jc w:val="right"/>
            </w:pPr>
            <w:r>
              <w:t xml:space="preserve">1,037</w:t>
            </w:r>
          </w:p>
        </w:tc>
        <w:tc>
          <w:tcPr/>
          <w:p>
            <w:pPr>
              <w:pStyle w:val="Compact"/>
              <w:jc w:val="right"/>
            </w:pPr>
            <w:r>
              <w:t xml:space="preserve">454</w:t>
            </w:r>
          </w:p>
        </w:tc>
        <w:tc>
          <w:tcPr/>
          <w:p>
            <w:pPr>
              <w:pStyle w:val="Compact"/>
              <w:jc w:val="right"/>
            </w:pPr>
            <w:r>
              <w:t xml:space="preserve">695</w:t>
            </w:r>
          </w:p>
        </w:tc>
        <w:tc>
          <w:tcPr/>
          <w:p>
            <w:pPr>
              <w:pStyle w:val="Compact"/>
              <w:jc w:val="right"/>
            </w:pPr>
            <w:r>
              <w:t xml:space="preserve">2,186</w:t>
            </w:r>
          </w:p>
        </w:tc>
      </w:tr>
      <w:tr>
        <w:tc>
          <w:tcPr/>
          <w:p>
            <w:pPr>
              <w:pStyle w:val="Compact"/>
            </w:pPr>
            <w:r>
              <w:t xml:space="preserve">13–24 Months</w:t>
            </w:r>
          </w:p>
        </w:tc>
        <w:tc>
          <w:tcPr/>
          <w:p>
            <w:pPr>
              <w:pStyle w:val="Compact"/>
              <w:jc w:val="right"/>
            </w:pPr>
            <w:r>
              <w:t xml:space="preserve">294</w:t>
            </w:r>
          </w:p>
        </w:tc>
        <w:tc>
          <w:tcPr/>
          <w:p>
            <w:pPr>
              <w:pStyle w:val="Compact"/>
              <w:jc w:val="right"/>
            </w:pPr>
            <w:r>
              <w:t xml:space="preserve">0</w:t>
            </w:r>
          </w:p>
        </w:tc>
        <w:tc>
          <w:tcPr/>
          <w:p>
            <w:pPr>
              <w:pStyle w:val="Compact"/>
              <w:jc w:val="right"/>
            </w:pPr>
            <w:r>
              <w:t xml:space="preserve">730</w:t>
            </w:r>
          </w:p>
        </w:tc>
        <w:tc>
          <w:tcPr/>
          <w:p>
            <w:pPr>
              <w:pStyle w:val="Compact"/>
              <w:jc w:val="right"/>
            </w:pPr>
            <w:r>
              <w:t xml:space="preserve">1,024</w:t>
            </w:r>
          </w:p>
        </w:tc>
      </w:tr>
      <w:tr>
        <w:tc>
          <w:tcPr/>
          <w:p>
            <w:pPr>
              <w:pStyle w:val="Compact"/>
            </w:pPr>
            <w:r>
              <w:t xml:space="preserve">25–48 Months</w:t>
            </w:r>
          </w:p>
        </w:tc>
        <w:tc>
          <w:tcPr/>
          <w:p>
            <w:pPr>
              <w:pStyle w:val="Compact"/>
              <w:jc w:val="right"/>
            </w:pPr>
            <w:r>
              <w:t xml:space="preserve">325</w:t>
            </w:r>
          </w:p>
        </w:tc>
        <w:tc>
          <w:tcPr/>
          <w:p>
            <w:pPr>
              <w:pStyle w:val="Compact"/>
              <w:jc w:val="right"/>
            </w:pPr>
            <w:r>
              <w:t xml:space="preserve">0</w:t>
            </w:r>
          </w:p>
        </w:tc>
        <w:tc>
          <w:tcPr/>
          <w:p>
            <w:pPr>
              <w:pStyle w:val="Compact"/>
              <w:jc w:val="right"/>
            </w:pPr>
            <w:r>
              <w:t xml:space="preserve">1,269</w:t>
            </w:r>
          </w:p>
        </w:tc>
        <w:tc>
          <w:tcPr/>
          <w:p>
            <w:pPr>
              <w:pStyle w:val="Compact"/>
              <w:jc w:val="right"/>
            </w:pPr>
            <w:r>
              <w:t xml:space="preserve">1,594</w:t>
            </w:r>
          </w:p>
        </w:tc>
      </w:tr>
      <w:tr>
        <w:tc>
          <w:tcPr/>
          <w:p>
            <w:pPr>
              <w:pStyle w:val="Compact"/>
            </w:pPr>
            <w:r>
              <w:t xml:space="preserve">49–72 Months</w:t>
            </w:r>
          </w:p>
        </w:tc>
        <w:tc>
          <w:tcPr/>
          <w:p>
            <w:pPr>
              <w:pStyle w:val="Compact"/>
              <w:jc w:val="right"/>
            </w:pPr>
            <w:r>
              <w:t xml:space="preserve">213</w:t>
            </w:r>
          </w:p>
        </w:tc>
        <w:tc>
          <w:tcPr/>
          <w:p>
            <w:pPr>
              <w:pStyle w:val="Compact"/>
              <w:jc w:val="right"/>
            </w:pPr>
            <w:r>
              <w:t xml:space="preserve">0</w:t>
            </w:r>
          </w:p>
        </w:tc>
        <w:tc>
          <w:tcPr/>
          <w:p>
            <w:pPr>
              <w:pStyle w:val="Compact"/>
              <w:jc w:val="right"/>
            </w:pPr>
            <w:r>
              <w:t xml:space="preserve">2,026</w:t>
            </w:r>
          </w:p>
        </w:tc>
        <w:tc>
          <w:tcPr/>
          <w:p>
            <w:pPr>
              <w:pStyle w:val="Compact"/>
              <w:jc w:val="right"/>
            </w:pPr>
            <w:r>
              <w:t xml:space="preserve">2,239</w:t>
            </w:r>
          </w:p>
        </w:tc>
      </w:tr>
      <w:tr>
        <w:tc>
          <w:tcPr/>
          <w:p>
            <w:pPr>
              <w:pStyle w:val="Compact"/>
            </w:pPr>
            <w:r>
              <w:rPr>
                <w:b/>
                <w:bCs/>
              </w:rPr>
              <w:t xml:space="preserve">Grand Total</w:t>
            </w:r>
          </w:p>
        </w:tc>
        <w:tc>
          <w:tcPr/>
          <w:p>
            <w:pPr>
              <w:pStyle w:val="Compact"/>
              <w:jc w:val="right"/>
            </w:pPr>
            <w:r>
              <w:rPr>
                <w:b/>
                <w:bCs/>
              </w:rPr>
              <w:t xml:space="preserve">1,869</w:t>
            </w:r>
          </w:p>
        </w:tc>
        <w:tc>
          <w:tcPr/>
          <w:p>
            <w:pPr>
              <w:pStyle w:val="Compact"/>
              <w:jc w:val="right"/>
            </w:pPr>
            <w:r>
              <w:rPr>
                <w:b/>
                <w:bCs/>
              </w:rPr>
              <w:t xml:space="preserve">454</w:t>
            </w:r>
          </w:p>
        </w:tc>
        <w:tc>
          <w:tcPr/>
          <w:p>
            <w:pPr>
              <w:pStyle w:val="Compact"/>
              <w:jc w:val="right"/>
            </w:pPr>
            <w:r>
              <w:rPr>
                <w:b/>
                <w:bCs/>
              </w:rPr>
              <w:t xml:space="preserve">4,720</w:t>
            </w:r>
          </w:p>
        </w:tc>
        <w:tc>
          <w:tcPr/>
          <w:p>
            <w:pPr>
              <w:pStyle w:val="Compact"/>
              <w:jc w:val="right"/>
            </w:pPr>
            <w:r>
              <w:rPr>
                <w:b/>
                <w:bCs/>
              </w:rPr>
              <w:t xml:space="preserve">7,043</w:t>
            </w:r>
          </w:p>
        </w:tc>
      </w:tr>
    </w:tbl>
    <w:p>
      <w:pPr>
        <w:pStyle w:val="BodyText"/>
      </w:pPr>
      <w:r>
        <w:t xml:space="preserve">The Joined values for the last three tenure groups are zero. They may appear as blank cells in the PivotTable because those groups contain no customers with that status.</w:t>
      </w:r>
    </w:p>
    <w:p>
      <w:pPr>
        <w:pStyle w:val="BodyText"/>
      </w:pPr>
      <w:r>
        <w:t xml:space="preserve">The totals reconcile with the overall dataset: 7,043 customers, including 1,869 churned customers, 454 joined customers, and 4,720 customers who stayed.</w:t>
      </w:r>
    </w:p>
    <w:bookmarkEnd w:id="12"/>
    <w:bookmarkStart w:id="13" w:name="churn-rate-calculation"/>
    <w:p>
      <w:pPr>
        <w:pStyle w:val="Heading2"/>
      </w:pPr>
      <w:r>
        <w:t xml:space="preserve">5. Churn Rate Calculation</w:t>
      </w:r>
    </w:p>
    <w:p>
      <w:pPr>
        <w:pStyle w:val="FirstParagraph"/>
      </w:pPr>
      <w:r>
        <w:t xml:space="preserve">The churn rate for each tenure group was calculated by dividing the number of churned customers by the total number of customers in that group.</w:t>
      </w:r>
    </w:p>
    <w:p>
      <w:pPr>
        <w:pStyle w:val="BodyText"/>
      </w:pPr>
      <w:r>
        <w:rPr>
          <w:b/>
          <w:bCs/>
        </w:rPr>
        <w:t xml:space="preserve">Formula:</w:t>
      </w:r>
    </w:p>
    <w:p>
      <w:pPr>
        <w:pStyle w:val="BodyText"/>
      </w:pPr>
      <w:r>
        <w:t xml:space="preserve">Churn Rate = (Number of Churned Customers ÷ Total Customers in the Tenure Group) × 100</w:t>
      </w:r>
    </w:p>
    <w:p>
      <w:pPr>
        <w:pStyle w:val="BodyText"/>
      </w:pPr>
      <w:r>
        <w:t xml:space="preserve">The results were: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Tenure Group</w:t>
            </w:r>
          </w:p>
        </w:tc>
        <w:tc>
          <w:tcPr/>
          <w:p>
            <w:pPr>
              <w:pStyle w:val="Compact"/>
              <w:jc w:val="right"/>
            </w:pPr>
            <w:r>
              <w:t xml:space="preserve">Churned Customers</w:t>
            </w:r>
          </w:p>
        </w:tc>
        <w:tc>
          <w:tcPr/>
          <w:p>
            <w:pPr>
              <w:pStyle w:val="Compact"/>
              <w:jc w:val="right"/>
            </w:pPr>
            <w:r>
              <w:t xml:space="preserve">Total Customers</w:t>
            </w:r>
          </w:p>
        </w:tc>
        <w:tc>
          <w:tcPr/>
          <w:p>
            <w:pPr>
              <w:pStyle w:val="Compact"/>
              <w:jc w:val="right"/>
            </w:pPr>
            <w:r>
              <w:t xml:space="preserve">Churn Rate</w:t>
            </w:r>
          </w:p>
        </w:tc>
      </w:tr>
      <w:tr>
        <w:tc>
          <w:tcPr/>
          <w:p>
            <w:pPr>
              <w:pStyle w:val="Compact"/>
            </w:pPr>
            <w:r>
              <w:t xml:space="preserve">0–12 Months</w:t>
            </w:r>
          </w:p>
        </w:tc>
        <w:tc>
          <w:tcPr/>
          <w:p>
            <w:pPr>
              <w:pStyle w:val="Compact"/>
              <w:jc w:val="right"/>
            </w:pPr>
            <w:r>
              <w:t xml:space="preserve">1,037</w:t>
            </w:r>
          </w:p>
        </w:tc>
        <w:tc>
          <w:tcPr/>
          <w:p>
            <w:pPr>
              <w:pStyle w:val="Compact"/>
              <w:jc w:val="right"/>
            </w:pPr>
            <w:r>
              <w:t xml:space="preserve">2,186</w:t>
            </w:r>
          </w:p>
        </w:tc>
        <w:tc>
          <w:tcPr/>
          <w:p>
            <w:pPr>
              <w:pStyle w:val="Compact"/>
              <w:jc w:val="right"/>
            </w:pPr>
            <w:r>
              <w:t xml:space="preserve">47.44%</w:t>
            </w:r>
          </w:p>
        </w:tc>
      </w:tr>
      <w:tr>
        <w:tc>
          <w:tcPr/>
          <w:p>
            <w:pPr>
              <w:pStyle w:val="Compact"/>
            </w:pPr>
            <w:r>
              <w:t xml:space="preserve">13–24 Months</w:t>
            </w:r>
          </w:p>
        </w:tc>
        <w:tc>
          <w:tcPr/>
          <w:p>
            <w:pPr>
              <w:pStyle w:val="Compact"/>
              <w:jc w:val="right"/>
            </w:pPr>
            <w:r>
              <w:t xml:space="preserve">294</w:t>
            </w:r>
          </w:p>
        </w:tc>
        <w:tc>
          <w:tcPr/>
          <w:p>
            <w:pPr>
              <w:pStyle w:val="Compact"/>
              <w:jc w:val="right"/>
            </w:pPr>
            <w:r>
              <w:t xml:space="preserve">1,024</w:t>
            </w:r>
          </w:p>
        </w:tc>
        <w:tc>
          <w:tcPr/>
          <w:p>
            <w:pPr>
              <w:pStyle w:val="Compact"/>
              <w:jc w:val="right"/>
            </w:pPr>
            <w:r>
              <w:t xml:space="preserve">28.71%</w:t>
            </w:r>
          </w:p>
        </w:tc>
      </w:tr>
      <w:tr>
        <w:tc>
          <w:tcPr/>
          <w:p>
            <w:pPr>
              <w:pStyle w:val="Compact"/>
            </w:pPr>
            <w:r>
              <w:t xml:space="preserve">25–48 Months</w:t>
            </w:r>
          </w:p>
        </w:tc>
        <w:tc>
          <w:tcPr/>
          <w:p>
            <w:pPr>
              <w:pStyle w:val="Compact"/>
              <w:jc w:val="right"/>
            </w:pPr>
            <w:r>
              <w:t xml:space="preserve">325</w:t>
            </w:r>
          </w:p>
        </w:tc>
        <w:tc>
          <w:tcPr/>
          <w:p>
            <w:pPr>
              <w:pStyle w:val="Compact"/>
              <w:jc w:val="right"/>
            </w:pPr>
            <w:r>
              <w:t xml:space="preserve">1,594</w:t>
            </w:r>
          </w:p>
        </w:tc>
        <w:tc>
          <w:tcPr/>
          <w:p>
            <w:pPr>
              <w:pStyle w:val="Compact"/>
              <w:jc w:val="right"/>
            </w:pPr>
            <w:r>
              <w:t xml:space="preserve">20.39%</w:t>
            </w:r>
          </w:p>
        </w:tc>
      </w:tr>
      <w:tr>
        <w:tc>
          <w:tcPr/>
          <w:p>
            <w:pPr>
              <w:pStyle w:val="Compact"/>
            </w:pPr>
            <w:r>
              <w:t xml:space="preserve">49–72 Months</w:t>
            </w:r>
          </w:p>
        </w:tc>
        <w:tc>
          <w:tcPr/>
          <w:p>
            <w:pPr>
              <w:pStyle w:val="Compact"/>
              <w:jc w:val="right"/>
            </w:pPr>
            <w:r>
              <w:t xml:space="preserve">213</w:t>
            </w:r>
          </w:p>
        </w:tc>
        <w:tc>
          <w:tcPr/>
          <w:p>
            <w:pPr>
              <w:pStyle w:val="Compact"/>
              <w:jc w:val="right"/>
            </w:pPr>
            <w:r>
              <w:t xml:space="preserve">2,239</w:t>
            </w:r>
          </w:p>
        </w:tc>
        <w:tc>
          <w:tcPr/>
          <w:p>
            <w:pPr>
              <w:pStyle w:val="Compact"/>
              <w:jc w:val="right"/>
            </w:pPr>
            <w:r>
              <w:t xml:space="preserve">9.51%</w:t>
            </w:r>
          </w:p>
        </w:tc>
      </w:tr>
      <w:tr>
        <w:tc>
          <w:tcPr/>
          <w:p>
            <w:pPr>
              <w:pStyle w:val="Compact"/>
            </w:pPr>
            <w:r>
              <w:rPr>
                <w:b/>
                <w:bCs/>
              </w:rPr>
              <w:t xml:space="preserve">Overall</w:t>
            </w:r>
          </w:p>
        </w:tc>
        <w:tc>
          <w:tcPr/>
          <w:p>
            <w:pPr>
              <w:pStyle w:val="Compact"/>
              <w:jc w:val="right"/>
            </w:pPr>
            <w:r>
              <w:rPr>
                <w:b/>
                <w:bCs/>
              </w:rPr>
              <w:t xml:space="preserve">1,869</w:t>
            </w:r>
          </w:p>
        </w:tc>
        <w:tc>
          <w:tcPr/>
          <w:p>
            <w:pPr>
              <w:pStyle w:val="Compact"/>
              <w:jc w:val="right"/>
            </w:pPr>
            <w:r>
              <w:rPr>
                <w:b/>
                <w:bCs/>
              </w:rPr>
              <w:t xml:space="preserve">7,043</w:t>
            </w:r>
          </w:p>
        </w:tc>
        <w:tc>
          <w:tcPr/>
          <w:p>
            <w:pPr>
              <w:pStyle w:val="Compact"/>
              <w:jc w:val="right"/>
            </w:pPr>
            <w:r>
              <w:rPr>
                <w:b/>
                <w:bCs/>
              </w:rPr>
              <w:t xml:space="preserve">26.54%</w:t>
            </w:r>
          </w:p>
        </w:tc>
      </w:tr>
    </w:tbl>
    <w:p>
      <w:pPr>
        <w:pStyle w:val="BodyText"/>
      </w:pPr>
      <w:r>
        <w:t xml:space="preserve">The overall churn rate was calculated using all 7,043 customers, including those whose status was Joined or Stayed, to remain consistent with the other churn-rate calculations in this analysis.</w:t>
      </w:r>
    </w:p>
    <w:bookmarkEnd w:id="13"/>
    <w:bookmarkStart w:id="17" w:name="key-findings"/>
    <w:p>
      <w:pPr>
        <w:pStyle w:val="Heading2"/>
      </w:pPr>
      <w:r>
        <w:t xml:space="preserve">6. Key Findings</w:t>
      </w:r>
    </w:p>
    <w:bookmarkStart w:id="14" w:name="highest-churn-rate"/>
    <w:p>
      <w:pPr>
        <w:pStyle w:val="Heading3"/>
      </w:pPr>
      <w:r>
        <w:t xml:space="preserve">6.1 Highest Churn Rate</w:t>
      </w:r>
    </w:p>
    <w:p>
      <w:pPr>
        <w:pStyle w:val="FirstParagraph"/>
      </w:pPr>
      <w:r>
        <w:t xml:space="preserve">The 0–12-month tenure group had the highest churn rate at 47.44%.</w:t>
      </w:r>
    </w:p>
    <w:p>
      <w:pPr>
        <w:pStyle w:val="BodyText"/>
      </w:pPr>
      <w:r>
        <w:t xml:space="preserve">This indicates that churn was most prevalent among customers in their first year with the company.</w:t>
      </w:r>
    </w:p>
    <w:bookmarkEnd w:id="14"/>
    <w:bookmarkStart w:id="15" w:name="lowest-churn-rate"/>
    <w:p>
      <w:pPr>
        <w:pStyle w:val="Heading3"/>
      </w:pPr>
      <w:r>
        <w:t xml:space="preserve">6.2 Lowest Churn Rate</w:t>
      </w:r>
    </w:p>
    <w:p>
      <w:pPr>
        <w:pStyle w:val="FirstParagraph"/>
      </w:pPr>
      <w:r>
        <w:t xml:space="preserve">The 49–72-month tenure group had the lowest churn rate at 9.51%.</w:t>
      </w:r>
    </w:p>
    <w:p>
      <w:pPr>
        <w:pStyle w:val="BodyText"/>
      </w:pPr>
      <w:r>
        <w:t xml:space="preserve">Customers in this group had been with the company for four to six years.</w:t>
      </w:r>
    </w:p>
    <w:bookmarkEnd w:id="15"/>
    <w:bookmarkStart w:id="16" w:name="relationship-between-tenure-and-churn"/>
    <w:p>
      <w:pPr>
        <w:pStyle w:val="Heading3"/>
      </w:pPr>
      <w:r>
        <w:t xml:space="preserve">6.3 Relationship Between Tenure and Churn</w:t>
      </w:r>
    </w:p>
    <w:p>
      <w:pPr>
        <w:pStyle w:val="FirstParagraph"/>
      </w:pPr>
      <w:r>
        <w:t xml:space="preserve">The calculated churn rates decreased across the four tenure groups:</w:t>
      </w:r>
    </w:p>
    <w:p>
      <w:pPr>
        <w:pStyle w:val="Compact"/>
        <w:numPr>
          <w:ilvl w:val="0"/>
          <w:numId w:val="1003"/>
        </w:numPr>
      </w:pPr>
      <w:r>
        <w:t xml:space="preserve">0–12 months: 47.44%</w:t>
      </w:r>
    </w:p>
    <w:p>
      <w:pPr>
        <w:pStyle w:val="Compact"/>
        <w:numPr>
          <w:ilvl w:val="0"/>
          <w:numId w:val="1003"/>
        </w:numPr>
      </w:pPr>
      <w:r>
        <w:t xml:space="preserve">13–24 months: 28.71%</w:t>
      </w:r>
    </w:p>
    <w:p>
      <w:pPr>
        <w:pStyle w:val="Compact"/>
        <w:numPr>
          <w:ilvl w:val="0"/>
          <w:numId w:val="1003"/>
        </w:numPr>
      </w:pPr>
      <w:r>
        <w:t xml:space="preserve">25–48 months: 20.39%</w:t>
      </w:r>
    </w:p>
    <w:p>
      <w:pPr>
        <w:pStyle w:val="Compact"/>
        <w:numPr>
          <w:ilvl w:val="0"/>
          <w:numId w:val="1003"/>
        </w:numPr>
      </w:pPr>
      <w:r>
        <w:t xml:space="preserve">49–72 months: 9.51%</w:t>
      </w:r>
    </w:p>
    <w:p>
      <w:pPr>
        <w:pStyle w:val="FirstParagraph"/>
      </w:pPr>
      <w:r>
        <w:t xml:space="preserve">This pattern suggests an association between longer customer tenure and lower churn rates in the dataset.</w:t>
      </w:r>
    </w:p>
    <w:p>
      <w:pPr>
        <w:pStyle w:val="BodyText"/>
      </w:pPr>
      <w:r>
        <w:t xml:space="preserve">However, these results alone do not establish why customers leave or prove that tenure itself causes churn.</w:t>
      </w:r>
    </w:p>
    <w:bookmarkEnd w:id="16"/>
    <w:bookmarkEnd w:id="17"/>
    <w:bookmarkStart w:id="18" w:name="business-implications"/>
    <w:p>
      <w:pPr>
        <w:pStyle w:val="Heading2"/>
      </w:pPr>
      <w:r>
        <w:t xml:space="preserve">7. Business Implications</w:t>
      </w:r>
    </w:p>
    <w:p>
      <w:pPr>
        <w:pStyle w:val="FirstParagraph"/>
      </w:pPr>
      <w:r>
        <w:t xml:space="preserve">The findings suggest that the early stages of the customer relationship deserve further investigation.</w:t>
      </w:r>
    </w:p>
    <w:p>
      <w:pPr>
        <w:pStyle w:val="BodyText"/>
      </w:pPr>
      <w:r>
        <w:t xml:space="preserve">Potential areas for a business to examine include:</w:t>
      </w:r>
    </w:p>
    <w:p>
      <w:pPr>
        <w:pStyle w:val="Compact"/>
        <w:numPr>
          <w:ilvl w:val="0"/>
          <w:numId w:val="1004"/>
        </w:numPr>
      </w:pPr>
      <w:r>
        <w:t xml:space="preserve">The quality of the initial customer experience.</w:t>
      </w:r>
    </w:p>
    <w:p>
      <w:pPr>
        <w:pStyle w:val="Compact"/>
        <w:numPr>
          <w:ilvl w:val="0"/>
          <w:numId w:val="1004"/>
        </w:numPr>
      </w:pPr>
      <w:r>
        <w:t xml:space="preserve">Whether customers receive sufficient support during their first year.</w:t>
      </w:r>
    </w:p>
    <w:p>
      <w:pPr>
        <w:pStyle w:val="Compact"/>
        <w:numPr>
          <w:ilvl w:val="0"/>
          <w:numId w:val="1004"/>
        </w:numPr>
      </w:pPr>
      <w:r>
        <w:t xml:space="preserve">Whether service expectations match the actual customer experience.</w:t>
      </w:r>
    </w:p>
    <w:p>
      <w:pPr>
        <w:pStyle w:val="Compact"/>
        <w:numPr>
          <w:ilvl w:val="0"/>
          <w:numId w:val="1004"/>
        </w:numPr>
      </w:pPr>
      <w:r>
        <w:t xml:space="preserve">Whether pricing, contract terms, or service reliability influence early customer decisions.</w:t>
      </w:r>
    </w:p>
    <w:p>
      <w:pPr>
        <w:pStyle w:val="FirstParagraph"/>
      </w:pPr>
      <w:r>
        <w:t xml:space="preserve">These are possible areas for further investigation, not confirmed reasons for churn in this analysis.</w:t>
      </w:r>
    </w:p>
    <w:bookmarkEnd w:id="18"/>
    <w:bookmarkStart w:id="19" w:name="visualization-status"/>
    <w:p>
      <w:pPr>
        <w:pStyle w:val="Heading2"/>
      </w:pPr>
      <w:r>
        <w:t xml:space="preserve">8. Visualization Status</w:t>
      </w:r>
    </w:p>
    <w:p>
      <w:pPr>
        <w:pStyle w:val="FirstParagraph"/>
      </w:pPr>
      <w:r>
        <w:t xml:space="preserve">A chart was attempted to visualize churn rates across the four tenure groups.</w:t>
      </w:r>
    </w:p>
    <w:p>
      <w:pPr>
        <w:pStyle w:val="BodyText"/>
      </w:pPr>
      <w:r>
        <w:t xml:space="preserve">However, the chart continued to display customer counts on its vertical axis rather than the intended churn-rate percentages.</w:t>
      </w:r>
    </w:p>
    <w:p>
      <w:pPr>
        <w:pStyle w:val="BodyText"/>
      </w:pPr>
      <w:r>
        <w:t xml:space="preserve">The underlying tenure analysis and calculated rates were completed and verified, but the chart was not finalized.</w:t>
      </w:r>
    </w:p>
    <w:p>
      <w:pPr>
        <w:pStyle w:val="BodyText"/>
      </w:pPr>
      <w:r>
        <w:rPr>
          <w:b/>
          <w:bCs/>
        </w:rPr>
        <w:t xml:space="preserve">Pending task:</w:t>
      </w:r>
      <w:r>
        <w:t xml:space="preserve"> </w:t>
      </w:r>
      <w:r>
        <w:t xml:space="preserve">Correct the chart’s data source so that it displays the four churn rates: 47.44%, 28.71%, 20.39%, and 9.51%.</w:t>
      </w:r>
    </w:p>
    <w:bookmarkEnd w:id="19"/>
    <w:bookmarkStart w:id="20" w:name="conclusion"/>
    <w:p>
      <w:pPr>
        <w:pStyle w:val="Heading2"/>
      </w:pPr>
      <w:r>
        <w:t xml:space="preserve">9. Conclusion</w:t>
      </w:r>
    </w:p>
    <w:p>
      <w:pPr>
        <w:pStyle w:val="FirstParagraph"/>
      </w:pPr>
      <w:r>
        <w:t xml:space="preserve">Today’s analysis revealed a clear difference in churn rates across customer tenure groups. The highest rate was observed among customers with 12 months or less of tenure, while the lowest was observed among customers with 49–72 months of tenure.</w:t>
      </w:r>
    </w:p>
    <w:p>
      <w:pPr>
        <w:pStyle w:val="BodyText"/>
      </w:pPr>
      <w:r>
        <w:t xml:space="preserve">The results provide a useful starting point for investigating customer retention and identifying factors that may contribute to early customer departures.</w:t>
      </w:r>
    </w:p>
    <w:p>
      <w:pPr>
        <w:pStyle w:val="BodyText"/>
      </w:pPr>
      <w:r>
        <w:t xml:space="preserve">The next stage of the project will involve examining additional customer characteristics to gain a broader understanding of churn.</w:t>
      </w:r>
    </w:p>
    <w:bookmarkEnd w:id="20"/>
    <w:bookmarkStart w:id="21" w:name="day-10-progress-status"/>
    <w:p>
      <w:pPr>
        <w:pStyle w:val="Heading2"/>
      </w:pPr>
      <w:r>
        <w:t xml:space="preserve">10. Day 10 Progress Status</w:t>
      </w:r>
    </w:p>
    <w:p>
      <w:pPr>
        <w:pStyle w:val="FirstParagraph"/>
      </w:pPr>
      <w:r>
        <w:rPr>
          <w:b/>
          <w:bCs/>
        </w:rPr>
        <w:t xml:space="preserve">Completed:</w:t>
      </w:r>
    </w:p>
    <w:p>
      <w:pPr>
        <w:pStyle w:val="Compact"/>
        <w:numPr>
          <w:ilvl w:val="0"/>
          <w:numId w:val="1005"/>
        </w:numPr>
      </w:pPr>
      <w:r>
        <w:t xml:space="preserve">Confirmed the minimum and maximum tenure values.</w:t>
      </w:r>
    </w:p>
    <w:p>
      <w:pPr>
        <w:pStyle w:val="Compact"/>
        <w:numPr>
          <w:ilvl w:val="0"/>
          <w:numId w:val="1005"/>
        </w:numPr>
      </w:pPr>
      <w:r>
        <w:t xml:space="preserve">Created the Tenure Group calculated column.</w:t>
      </w:r>
    </w:p>
    <w:p>
      <w:pPr>
        <w:pStyle w:val="Compact"/>
        <w:numPr>
          <w:ilvl w:val="0"/>
          <w:numId w:val="1005"/>
        </w:numPr>
      </w:pPr>
      <w:r>
        <w:t xml:space="preserve">Created the Customer Status by Tenure Group PivotTable.</w:t>
      </w:r>
    </w:p>
    <w:p>
      <w:pPr>
        <w:pStyle w:val="Compact"/>
        <w:numPr>
          <w:ilvl w:val="0"/>
          <w:numId w:val="1005"/>
        </w:numPr>
      </w:pPr>
      <w:r>
        <w:t xml:space="preserve">Verified the customer counts and group totals.</w:t>
      </w:r>
    </w:p>
    <w:p>
      <w:pPr>
        <w:pStyle w:val="Compact"/>
        <w:numPr>
          <w:ilvl w:val="0"/>
          <w:numId w:val="1005"/>
        </w:numPr>
      </w:pPr>
      <w:r>
        <w:t xml:space="preserve">Calculated and verified the churn rates.</w:t>
      </w:r>
    </w:p>
    <w:p>
      <w:pPr>
        <w:pStyle w:val="Compact"/>
        <w:numPr>
          <w:ilvl w:val="0"/>
          <w:numId w:val="1005"/>
        </w:numPr>
      </w:pPr>
      <w:r>
        <w:t xml:space="preserve">Identified the highest- and lowest-churn tenure groups.</w:t>
      </w:r>
    </w:p>
    <w:p>
      <w:pPr>
        <w:pStyle w:val="Compact"/>
        <w:numPr>
          <w:ilvl w:val="0"/>
          <w:numId w:val="1005"/>
        </w:numPr>
      </w:pPr>
      <w:r>
        <w:t xml:space="preserve">Interpreted the results and documented the potential business implications.</w:t>
      </w:r>
    </w:p>
    <w:p>
      <w:pPr>
        <w:pStyle w:val="FirstParagraph"/>
      </w:pPr>
      <w:r>
        <w:rPr>
          <w:b/>
          <w:bCs/>
        </w:rPr>
        <w:t xml:space="preserve">Pending:</w:t>
      </w:r>
    </w:p>
    <w:p>
      <w:pPr>
        <w:pStyle w:val="Compact"/>
        <w:numPr>
          <w:ilvl w:val="0"/>
          <w:numId w:val="1006"/>
        </w:numPr>
      </w:pPr>
      <w:r>
        <w:t xml:space="preserve">Correct and finalize the churn-rate chart.</w:t>
      </w:r>
    </w:p>
    <w:p>
      <w:pPr>
        <w:pStyle w:val="Compact"/>
        <w:numPr>
          <w:ilvl w:val="0"/>
          <w:numId w:val="1006"/>
        </w:numPr>
      </w:pPr>
      <w:r>
        <w:t xml:space="preserve">Save the final visualization in the workbook.</w:t>
      </w:r>
    </w:p>
    <w:p>
      <w:pPr>
        <w:pStyle w:val="Compact"/>
        <w:numPr>
          <w:ilvl w:val="0"/>
          <w:numId w:val="1006"/>
        </w:numPr>
      </w:pPr>
      <w:r>
        <w:t xml:space="preserve">Continue the remaining analyses for the Telecom Customer Churn dataset.</w:t>
      </w:r>
    </w:p>
    <w:p>
      <w:pPr>
        <w:pStyle w:val="FirstParagraph"/>
      </w:pPr>
      <w:r>
        <w:rPr>
          <w:b/>
          <w:bCs/>
        </w:rPr>
        <w:t xml:space="preserve">Day 10/92: Tenure analysis calculations completed. Chart formatting remains outstanding.</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