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day-1292-daily-progress-report"/>
    <w:p>
      <w:pPr>
        <w:pStyle w:val="Heading1"/>
      </w:pPr>
      <w:r>
        <w:t xml:space="preserve">DAY 12/92 — DAILY PROGRESS REPORT</w:t>
      </w:r>
    </w:p>
    <w:bookmarkStart w:id="9" w:name="project-title"/>
    <w:p>
      <w:pPr>
        <w:pStyle w:val="Heading2"/>
      </w:pPr>
      <w:r>
        <w:t xml:space="preserve">Project Title</w:t>
      </w:r>
    </w:p>
    <w:p>
      <w:pPr>
        <w:pStyle w:val="FirstParagraph"/>
      </w:pPr>
      <w:r>
        <w:t xml:space="preserve">Maven Telecom Customer Churn Analysis</w:t>
      </w:r>
    </w:p>
    <w:bookmarkEnd w:id="9"/>
    <w:bookmarkStart w:id="10" w:name="challenge"/>
    <w:p>
      <w:pPr>
        <w:pStyle w:val="Heading2"/>
      </w:pPr>
      <w:r>
        <w:t xml:space="preserve">Challenge</w:t>
      </w:r>
    </w:p>
    <w:p>
      <w:pPr>
        <w:pStyle w:val="FirstParagraph"/>
      </w:pPr>
      <w:r>
        <w:t xml:space="preserve">92-Day Data Analysis Challenge</w:t>
      </w:r>
    </w:p>
    <w:bookmarkEnd w:id="10"/>
    <w:bookmarkStart w:id="11" w:name="date"/>
    <w:p>
      <w:pPr>
        <w:pStyle w:val="Heading2"/>
      </w:pPr>
      <w:r>
        <w:t xml:space="preserve">Date</w:t>
      </w:r>
    </w:p>
    <w:p>
      <w:pPr>
        <w:pStyle w:val="FirstParagraph"/>
      </w:pPr>
      <w:r>
        <w:t xml:space="preserve">October 12, 2026</w:t>
      </w:r>
    </w:p>
    <w:bookmarkEnd w:id="11"/>
    <w:bookmarkStart w:id="25" w:name="focus"/>
    <w:p>
      <w:pPr>
        <w:pStyle w:val="Heading2"/>
      </w:pPr>
      <w:r>
        <w:t xml:space="preserve">Focus</w:t>
      </w:r>
    </w:p>
    <w:p>
      <w:pPr>
        <w:pStyle w:val="FirstParagraph"/>
      </w:pPr>
      <w:r>
        <w:t xml:space="preserve">Customer Segment Analysis, Churn Rate Calculations, PivotTables, and PivotCharts</w:t>
      </w:r>
    </w:p>
    <w:bookmarkStart w:id="12" w:name="objective"/>
    <w:p>
      <w:pPr>
        <w:pStyle w:val="Heading3"/>
      </w:pPr>
      <w:r>
        <w:t xml:space="preserve">1. Objective</w:t>
      </w:r>
    </w:p>
    <w:p>
      <w:pPr>
        <w:pStyle w:val="FirstParagraph"/>
      </w:pPr>
      <w:r>
        <w:t xml:space="preserve">The objective of the session was to investigate customer churn across different demographic and behavioural segments using Microsoft Excel.</w:t>
      </w:r>
    </w:p>
    <w:p>
      <w:pPr>
        <w:pStyle w:val="BodyText"/>
      </w:pPr>
      <w:r>
        <w:t xml:space="preserve">The analysis focused on gender, age groups, payment methods, and internet service types. PivotTables and PivotCharts were used to summarise the results and communicate the findings visually.</w:t>
      </w:r>
    </w:p>
    <w:p>
      <w:pPr>
        <w:pStyle w:val="BodyText"/>
      </w:pPr>
      <w:r>
        <w:t xml:space="preserve">The session also involved correcting the approach used to calculate churn rates so that the resulting charts represented the percentage of customers who churned rather than simply displaying customer counts.</w:t>
      </w:r>
    </w:p>
    <w:bookmarkEnd w:id="12"/>
    <w:bookmarkStart w:id="13" w:name="working-environment"/>
    <w:p>
      <w:pPr>
        <w:pStyle w:val="Heading3"/>
      </w:pPr>
      <w:r>
        <w:t xml:space="preserve">2. Working Environment</w:t>
      </w:r>
    </w:p>
    <w:p>
      <w:pPr>
        <w:pStyle w:val="FirstParagraph"/>
      </w:pPr>
      <w:r>
        <w:t xml:space="preserve">The analysis continued in the existing workbook,</w:t>
      </w:r>
      <w:r>
        <w:t xml:space="preserve"> </w:t>
      </w:r>
      <w:r>
        <w:rPr>
          <w:rStyle w:val="VerbatimChar"/>
        </w:rPr>
        <w:t xml:space="preserve">Telecom_Customer_Churn_Analysis.xlsx</w:t>
      </w:r>
      <w:r>
        <w:t xml:space="preserve">.</w:t>
      </w:r>
    </w:p>
    <w:p>
      <w:pPr>
        <w:pStyle w:val="BodyText"/>
      </w:pPr>
      <w:r>
        <w:t xml:space="preserve">The working dataset was organised as the Excel table</w:t>
      </w:r>
      <w:r>
        <w:t xml:space="preserve"> </w:t>
      </w:r>
      <w:r>
        <w:rPr>
          <w:rStyle w:val="VerbatimChar"/>
        </w:rPr>
        <w:t xml:space="preserve">tbl_Churn</w:t>
      </w:r>
      <w:r>
        <w:t xml:space="preserve">, containing 7,043 customer records and 38 columns.</w:t>
      </w:r>
    </w:p>
    <w:p>
      <w:pPr>
        <w:pStyle w:val="BodyText"/>
      </w:pPr>
      <w:r>
        <w:t xml:space="preserve">The analysis was carried out in the worksheet used for the project’s analytical work, recorded as</w:t>
      </w:r>
      <w:r>
        <w:t xml:space="preserve"> </w:t>
      </w:r>
      <w:r>
        <w:rPr>
          <w:rStyle w:val="VerbatimChar"/>
        </w:rPr>
        <w:t xml:space="preserve">02_Analysis</w:t>
      </w:r>
      <w:r>
        <w:t xml:space="preserve">.</w:t>
      </w:r>
    </w:p>
    <w:bookmarkEnd w:id="13"/>
    <w:bookmarkStart w:id="14" w:name="gender-and-customer-status-analysis"/>
    <w:p>
      <w:pPr>
        <w:pStyle w:val="Heading3"/>
      </w:pPr>
      <w:r>
        <w:t xml:space="preserve">3. Gender and Customer Status Analysis</w:t>
      </w:r>
    </w:p>
    <w:p>
      <w:pPr>
        <w:pStyle w:val="FirstParagraph"/>
      </w:pPr>
      <w:r>
        <w:t xml:space="preserve">A PivotTable was created to examine customer status by gender.</w:t>
      </w:r>
    </w:p>
    <w:p>
      <w:pPr>
        <w:pStyle w:val="BodyText"/>
      </w:pPr>
      <w:r>
        <w:t xml:space="preserve">The analysis considered the number of female and male customers classified as Churned, Joined, or Stayed.</w:t>
      </w:r>
    </w:p>
    <w:p>
      <w:pPr>
        <w:pStyle w:val="BodyText"/>
      </w:pPr>
      <w:r>
        <w:t xml:space="preserve">The recorded churn results were: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Gender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Churned Customers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 Customers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Churn Rate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Female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3,488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26.92%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3,555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26.16%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1,869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7,043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26.54%</w:t>
            </w:r>
          </w:p>
        </w:tc>
      </w:tr>
    </w:tbl>
    <w:p>
      <w:pPr>
        <w:pStyle w:val="BodyText"/>
      </w:pPr>
      <w:r>
        <w:t xml:space="preserve">The female customer segment recorded a churn rate of approximately 26.92%, while the male segment recorded approximately 26.16%.</w:t>
      </w:r>
    </w:p>
    <w:p>
      <w:pPr>
        <w:pStyle w:val="BodyText"/>
      </w:pPr>
      <w:r>
        <w:t xml:space="preserve">The difference was relatively small, at approximately 0.76 percentage points.</w:t>
      </w:r>
    </w:p>
    <w:p>
      <w:pPr>
        <w:pStyle w:val="BodyText"/>
      </w:pPr>
      <w:r>
        <w:t xml:space="preserve">This suggested that gender alone did not reveal a substantial difference in churn behaviour in the dataset.</w:t>
      </w:r>
    </w:p>
    <w:bookmarkEnd w:id="14"/>
    <w:bookmarkStart w:id="15" w:name="age-group-analysis"/>
    <w:p>
      <w:pPr>
        <w:pStyle w:val="Heading3"/>
      </w:pPr>
      <w:r>
        <w:t xml:space="preserve">4. Age Group Analysis</w:t>
      </w:r>
    </w:p>
    <w:p>
      <w:pPr>
        <w:pStyle w:val="FirstParagraph"/>
      </w:pPr>
      <w:r>
        <w:t xml:space="preserve">The dataset’s Age column was examined to establish the age range of customers.</w:t>
      </w:r>
    </w:p>
    <w:p>
      <w:pPr>
        <w:pStyle w:val="BodyText"/>
      </w:pPr>
      <w:r>
        <w:t xml:space="preserve">The recorded minimum age was 19, while the maximum age was 80.</w:t>
      </w:r>
    </w:p>
    <w:p>
      <w:pPr>
        <w:pStyle w:val="BodyText"/>
      </w:pPr>
      <w:r>
        <w:t xml:space="preserve">Customers were then grouped into five age categories:</w:t>
      </w:r>
    </w:p>
    <w:p>
      <w:pPr>
        <w:pStyle w:val="Compact"/>
        <w:numPr>
          <w:ilvl w:val="0"/>
          <w:numId w:val="1001"/>
        </w:numPr>
      </w:pPr>
      <w:r>
        <w:t xml:space="preserve">19–29</w:t>
      </w:r>
    </w:p>
    <w:p>
      <w:pPr>
        <w:pStyle w:val="Compact"/>
        <w:numPr>
          <w:ilvl w:val="0"/>
          <w:numId w:val="1001"/>
        </w:numPr>
      </w:pPr>
      <w:r>
        <w:t xml:space="preserve">30–39</w:t>
      </w:r>
    </w:p>
    <w:p>
      <w:pPr>
        <w:pStyle w:val="Compact"/>
        <w:numPr>
          <w:ilvl w:val="0"/>
          <w:numId w:val="1001"/>
        </w:numPr>
      </w:pPr>
      <w:r>
        <w:t xml:space="preserve">40–49</w:t>
      </w:r>
    </w:p>
    <w:p>
      <w:pPr>
        <w:pStyle w:val="Compact"/>
        <w:numPr>
          <w:ilvl w:val="0"/>
          <w:numId w:val="1001"/>
        </w:numPr>
      </w:pPr>
      <w:r>
        <w:t xml:space="preserve">50–59</w:t>
      </w:r>
    </w:p>
    <w:p>
      <w:pPr>
        <w:pStyle w:val="Compact"/>
        <w:numPr>
          <w:ilvl w:val="0"/>
          <w:numId w:val="1001"/>
        </w:numPr>
      </w:pPr>
      <w:r>
        <w:t xml:space="preserve">60–80</w:t>
      </w:r>
    </w:p>
    <w:p>
      <w:pPr>
        <w:pStyle w:val="FirstParagraph"/>
      </w:pPr>
      <w:r>
        <w:t xml:space="preserve">An Age Group calculated column was created using a nested IF formula:</w:t>
      </w:r>
    </w:p>
    <w:p>
      <w:pPr>
        <w:pStyle w:val="BodyText"/>
      </w:pPr>
      <w:r>
        <w:rPr>
          <w:rStyle w:val="VerbatimChar"/>
        </w:rPr>
        <w:t xml:space="preserve">=IF(C2&lt;=29,"19-29",IF(C2&lt;=39,"30-39",IF(C2&lt;=49,"40-49",IF(C2&lt;=59,"50-59","60-80"))))</w:t>
      </w:r>
    </w:p>
    <w:p>
      <w:pPr>
        <w:pStyle w:val="BodyText"/>
      </w:pPr>
      <w:r>
        <w:t xml:space="preserve">The formula classified customers into the appropriate age group based on their age.</w:t>
      </w:r>
    </w:p>
    <w:p>
      <w:pPr>
        <w:pStyle w:val="BodyText"/>
      </w:pPr>
      <w:r>
        <w:t xml:space="preserve">A PivotTable was subsequently used to summarise customer status across the age categories.</w:t>
      </w:r>
    </w:p>
    <w:p>
      <w:pPr>
        <w:pStyle w:val="BodyText"/>
      </w:pPr>
      <w:r>
        <w:t xml:space="preserve">The resulting analysis was: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Age Group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Churned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Joined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Stayed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 Customers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Churn Rate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19–29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1,401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21.70%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30–39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1,266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24.41%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40–49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1,342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23.70%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50–59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1,252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24.52%</w:t>
            </w:r>
          </w:p>
        </w:tc>
      </w:tr>
      <w:tr>
        <w:tc>
          <w:tcPr/>
          <w:p>
            <w:pPr>
              <w:pStyle w:val="Compact"/>
            </w:pPr>
            <w:r>
              <w:t xml:space="preserve">60–80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1,079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1,782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35.41%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1,869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4,720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7,043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26.54%</w:t>
            </w:r>
          </w:p>
        </w:tc>
      </w:tr>
    </w:tbl>
    <w:p>
      <w:pPr>
        <w:pStyle w:val="BodyText"/>
      </w:pPr>
      <w:r>
        <w:t xml:space="preserve">The 60–80 age group recorded the highest churn rate at approximately 35.41%.</w:t>
      </w:r>
    </w:p>
    <w:p>
      <w:pPr>
        <w:pStyle w:val="BodyText"/>
      </w:pPr>
      <w:r>
        <w:t xml:space="preserve">The 19–29 age group recorded the lowest churn rate at approximately 21.70%.</w:t>
      </w:r>
    </w:p>
    <w:p>
      <w:pPr>
        <w:pStyle w:val="BodyText"/>
      </w:pPr>
      <w:r>
        <w:t xml:space="preserve">These findings highlighted differences in churn across age groups and identified the oldest age category as an area for further investigation.</w:t>
      </w:r>
    </w:p>
    <w:bookmarkEnd w:id="15"/>
    <w:bookmarkStart w:id="16" w:name="X6c9230de7c40d7bd0e597163715b40c1fc467c8"/>
    <w:p>
      <w:pPr>
        <w:pStyle w:val="Heading3"/>
      </w:pPr>
      <w:r>
        <w:t xml:space="preserve">5. Churn Rate Calculation Using a Churn Flag</w:t>
      </w:r>
    </w:p>
    <w:p>
      <w:pPr>
        <w:pStyle w:val="FirstParagraph"/>
      </w:pPr>
      <w:r>
        <w:t xml:space="preserve">During the analysis, it became necessary to ensure that PivotTables and PivotCharts displayed churn rates correctly.</w:t>
      </w:r>
    </w:p>
    <w:p>
      <w:pPr>
        <w:pStyle w:val="BodyText"/>
      </w:pPr>
      <w:r>
        <w:t xml:space="preserve">Rather than relying only on counts of churned customers, a calculated column named</w:t>
      </w:r>
      <w:r>
        <w:t xml:space="preserve"> </w:t>
      </w:r>
      <w:r>
        <w:rPr>
          <w:rStyle w:val="VerbatimChar"/>
        </w:rPr>
        <w:t xml:space="preserve">Churn Flag</w:t>
      </w:r>
      <w:r>
        <w:t xml:space="preserve"> </w:t>
      </w:r>
      <w:r>
        <w:t xml:space="preserve">was created.</w:t>
      </w:r>
    </w:p>
    <w:p>
      <w:pPr>
        <w:pStyle w:val="BodyText"/>
      </w:pPr>
      <w:r>
        <w:t xml:space="preserve">The formula used was:</w:t>
      </w:r>
    </w:p>
    <w:p>
      <w:pPr>
        <w:pStyle w:val="BodyText"/>
      </w:pPr>
      <w:r>
        <w:rPr>
          <w:rStyle w:val="VerbatimChar"/>
        </w:rPr>
        <w:t xml:space="preserve">=IF([@[Customer Status]]="Churned",1,0)</w:t>
      </w:r>
    </w:p>
    <w:p>
      <w:pPr>
        <w:pStyle w:val="BodyText"/>
      </w:pPr>
      <w:r>
        <w:t xml:space="preserve">This formula assigned: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1</w:t>
      </w:r>
      <w:r>
        <w:t xml:space="preserve"> </w:t>
      </w:r>
      <w:r>
        <w:t xml:space="preserve">to customers whose status was Churned.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0</w:t>
      </w:r>
      <w:r>
        <w:t xml:space="preserve"> </w:t>
      </w:r>
      <w:r>
        <w:t xml:space="preserve">to customers whose status was not Churned.</w:t>
      </w:r>
    </w:p>
    <w:p>
      <w:pPr>
        <w:pStyle w:val="FirstParagraph"/>
      </w:pPr>
      <w:r>
        <w:t xml:space="preserve">The Average of Churn Flag was then used in PivotTables to calculate the proportion of customers who churned within each segment.</w:t>
      </w:r>
    </w:p>
    <w:p>
      <w:pPr>
        <w:pStyle w:val="BodyText"/>
      </w:pPr>
      <w:r>
        <w:t xml:space="preserve">This approach made it possible to compare churn rates more meaningfully across categories with different numbers of customers.</w:t>
      </w:r>
    </w:p>
    <w:bookmarkEnd w:id="16"/>
    <w:bookmarkStart w:id="17" w:name="payment-method-and-customer-churn"/>
    <w:p>
      <w:pPr>
        <w:pStyle w:val="Heading3"/>
      </w:pPr>
      <w:r>
        <w:t xml:space="preserve">6. Payment Method and Customer Churn</w:t>
      </w:r>
    </w:p>
    <w:p>
      <w:pPr>
        <w:pStyle w:val="FirstParagraph"/>
      </w:pPr>
      <w:r>
        <w:t xml:space="preserve">A PivotTable was created to investigate how customer churn varied by payment method.</w:t>
      </w:r>
    </w:p>
    <w:p>
      <w:pPr>
        <w:pStyle w:val="BodyText"/>
      </w:pPr>
      <w:r>
        <w:t xml:space="preserve">The customer counts were recorded as follows: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Payment Method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Churned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Joined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Stayed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 Customers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Bank Withdrawal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1,329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2,399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3,909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Credit Card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2,120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2,749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Mailed Check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385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1,869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4,720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7,043</w:t>
            </w:r>
          </w:p>
        </w:tc>
      </w:tr>
    </w:tbl>
    <w:p>
      <w:pPr>
        <w:pStyle w:val="BodyText"/>
      </w:pPr>
      <w:r>
        <w:t xml:space="preserve">The Average of Churn Flag was then used to calculate the churn rate for each payment method.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Payment Method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Churn Rate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Bank Withdrawal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34.00%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Credit Card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14.48%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Mailed Check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36.88%</w:t>
            </w:r>
          </w:p>
        </w:tc>
      </w:tr>
      <w:tr>
        <w:tc>
          <w:tcPr/>
          <w:p>
            <w:pPr>
              <w:pStyle w:val="Compact"/>
            </w:pPr>
            <w:r>
              <w:t xml:space="preserve">Overall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26.54%</w:t>
            </w:r>
          </w:p>
        </w:tc>
      </w:tr>
    </w:tbl>
    <w:p>
      <w:pPr>
        <w:pStyle w:val="BodyText"/>
      </w:pPr>
      <w:r>
        <w:t xml:space="preserve">Customers paying by mailed check recorded the highest churn rate, at approximately 36.88%.</w:t>
      </w:r>
    </w:p>
    <w:p>
      <w:pPr>
        <w:pStyle w:val="BodyText"/>
      </w:pPr>
      <w:r>
        <w:t xml:space="preserve">Bank withdrawal users recorded a churn rate of 34.00%, while credit card users recorded the lowest rate at 14.48%.</w:t>
      </w:r>
    </w:p>
    <w:p>
      <w:pPr>
        <w:pStyle w:val="BodyText"/>
      </w:pPr>
      <w:r>
        <w:t xml:space="preserve">These results suggested that customer churn patterns differed across payment methods. However, further investigation would be needed to determine the reasons for those differences.</w:t>
      </w:r>
    </w:p>
    <w:bookmarkEnd w:id="17"/>
    <w:bookmarkStart w:id="18" w:name="pivotchart-development"/>
    <w:p>
      <w:pPr>
        <w:pStyle w:val="Heading3"/>
      </w:pPr>
      <w:r>
        <w:t xml:space="preserve">7. PivotChart Development</w:t>
      </w:r>
    </w:p>
    <w:p>
      <w:pPr>
        <w:pStyle w:val="FirstParagraph"/>
      </w:pPr>
      <w:r>
        <w:t xml:space="preserve">PivotCharts were created to communicate the results of the segment analyses visually.</w:t>
      </w:r>
    </w:p>
    <w:p>
      <w:pPr>
        <w:pStyle w:val="BodyText"/>
      </w:pPr>
      <w:r>
        <w:t xml:space="preserve">The recorded charts included:</w:t>
      </w:r>
    </w:p>
    <w:p>
      <w:pPr>
        <w:pStyle w:val="BodyText"/>
      </w:pPr>
      <w:r>
        <w:rPr>
          <w:b/>
          <w:bCs/>
        </w:rPr>
        <w:t xml:space="preserve">Churn Rate by Age Group</w:t>
      </w:r>
    </w:p>
    <w:p>
      <w:pPr>
        <w:pStyle w:val="BodyText"/>
      </w:pPr>
      <w:r>
        <w:t xml:space="preserve">A chart was created to compare churn rates across the five age groups.</w:t>
      </w:r>
    </w:p>
    <w:p>
      <w:pPr>
        <w:pStyle w:val="BodyText"/>
      </w:pPr>
      <w:r>
        <w:t xml:space="preserve">The horizontal axis represented the age groups, while the vertical axis represented the churn rate as a percentage.</w:t>
      </w:r>
    </w:p>
    <w:p>
      <w:pPr>
        <w:pStyle w:val="BodyText"/>
      </w:pPr>
      <w:r>
        <w:rPr>
          <w:b/>
          <w:bCs/>
        </w:rPr>
        <w:t xml:space="preserve">Churn Rate by Payment Method</w:t>
      </w:r>
    </w:p>
    <w:p>
      <w:pPr>
        <w:pStyle w:val="BodyText"/>
      </w:pPr>
      <w:r>
        <w:t xml:space="preserve">A chart was created to compare the churn rates associated with bank withdrawal, credit card, and mailed check.</w:t>
      </w:r>
    </w:p>
    <w:p>
      <w:pPr>
        <w:pStyle w:val="BodyText"/>
      </w:pPr>
      <w:r>
        <w:t xml:space="preserve">During this process, the use of the Average of Churn Flag helped ensure that the charts displayed churn rates instead of raw customer counts.</w:t>
      </w:r>
    </w:p>
    <w:p>
      <w:pPr>
        <w:pStyle w:val="BodyText"/>
      </w:pPr>
      <w:r>
        <w:t xml:space="preserve">The charts were prepared for inclusion in the wider dashboard.</w:t>
      </w:r>
    </w:p>
    <w:bookmarkEnd w:id="18"/>
    <w:bookmarkStart w:id="19" w:name="X40ac33fe37f32c080bf99003488b296dcfeee42"/>
    <w:p>
      <w:pPr>
        <w:pStyle w:val="Heading3"/>
      </w:pPr>
      <w:r>
        <w:t xml:space="preserve">8. Distribution of Churned Customers by Internet Type</w:t>
      </w:r>
    </w:p>
    <w:p>
      <w:pPr>
        <w:pStyle w:val="FirstParagraph"/>
      </w:pPr>
      <w:r>
        <w:t xml:space="preserve">A pie chart was created to examine the composition of the churned-customer group by internet service type.</w:t>
      </w:r>
    </w:p>
    <w:p>
      <w:pPr>
        <w:pStyle w:val="BodyText"/>
      </w:pPr>
      <w:r>
        <w:t xml:space="preserve">The recorded distribution was: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Internet Type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Share of Churned Customers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Fiber Optic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66.13%</w:t>
            </w:r>
          </w:p>
        </w:tc>
      </w:tr>
      <w:tr>
        <w:tc>
          <w:tcPr/>
          <w:p>
            <w:pPr>
              <w:pStyle w:val="Compact"/>
            </w:pPr>
            <w:r>
              <w:t xml:space="preserve">DSL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16.43%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Cable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11.40%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Blank/Unspecified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6.04%</w:t>
            </w:r>
          </w:p>
        </w:tc>
      </w:tr>
    </w:tbl>
    <w:p>
      <w:pPr>
        <w:pStyle w:val="BodyText"/>
      </w:pPr>
      <w:r>
        <w:t xml:space="preserve">Fiber optic customers represented the largest share of churned customers.</w:t>
      </w:r>
    </w:p>
    <w:p>
      <w:pPr>
        <w:pStyle w:val="BodyText"/>
      </w:pPr>
      <w:r>
        <w:t xml:space="preserve">An important distinction was recognised during interpretation: these percentages represent the distribution of internet types among churned customers. They do not represent the churn rate within each internet service category.</w:t>
      </w:r>
    </w:p>
    <w:p>
      <w:pPr>
        <w:pStyle w:val="BodyText"/>
      </w:pPr>
      <w:r>
        <w:t xml:space="preserve">Calculating churn rates separately for Fiber Optic, DSL, and Cable would be necessary to determine which group had the highest proportion of customers leaving.</w:t>
      </w:r>
    </w:p>
    <w:bookmarkEnd w:id="19"/>
    <w:bookmarkStart w:id="20" w:name="key-findings"/>
    <w:p>
      <w:pPr>
        <w:pStyle w:val="Heading3"/>
      </w:pPr>
      <w:r>
        <w:t xml:space="preserve">9. Key Findings</w:t>
      </w:r>
    </w:p>
    <w:p>
      <w:pPr>
        <w:pStyle w:val="FirstParagraph"/>
      </w:pPr>
      <w:r>
        <w:t xml:space="preserve">The main findings from the session were:</w:t>
      </w:r>
    </w:p>
    <w:p>
      <w:pPr>
        <w:pStyle w:val="Compact"/>
        <w:numPr>
          <w:ilvl w:val="0"/>
          <w:numId w:val="1003"/>
        </w:numPr>
      </w:pPr>
      <w:r>
        <w:t xml:space="preserve">The overall churn rate remained approximately 26.54%.</w:t>
      </w:r>
    </w:p>
    <w:p>
      <w:pPr>
        <w:pStyle w:val="Compact"/>
        <w:numPr>
          <w:ilvl w:val="0"/>
          <w:numId w:val="1003"/>
        </w:numPr>
      </w:pPr>
      <w:r>
        <w:t xml:space="preserve">Female customers recorded a churn rate of 26.92%, compared with 26.16% among male customers.</w:t>
      </w:r>
    </w:p>
    <w:p>
      <w:pPr>
        <w:pStyle w:val="Compact"/>
        <w:numPr>
          <w:ilvl w:val="0"/>
          <w:numId w:val="1003"/>
        </w:numPr>
      </w:pPr>
      <w:r>
        <w:t xml:space="preserve">The 60–80 age group had the highest churn rate among the age categories analysed, at 35.41%.</w:t>
      </w:r>
    </w:p>
    <w:p>
      <w:pPr>
        <w:pStyle w:val="Compact"/>
        <w:numPr>
          <w:ilvl w:val="0"/>
          <w:numId w:val="1003"/>
        </w:numPr>
      </w:pPr>
      <w:r>
        <w:t xml:space="preserve">The 19–29 age group had the lowest churn rate, at 21.70%.</w:t>
      </w:r>
    </w:p>
    <w:p>
      <w:pPr>
        <w:pStyle w:val="Compact"/>
        <w:numPr>
          <w:ilvl w:val="0"/>
          <w:numId w:val="1003"/>
        </w:numPr>
      </w:pPr>
      <w:r>
        <w:t xml:space="preserve">Customers paying by mailed check recorded the highest churn rate among the payment methods analysed, at 36.88%.</w:t>
      </w:r>
    </w:p>
    <w:p>
      <w:pPr>
        <w:pStyle w:val="Compact"/>
        <w:numPr>
          <w:ilvl w:val="0"/>
          <w:numId w:val="1003"/>
        </w:numPr>
      </w:pPr>
      <w:r>
        <w:t xml:space="preserve">Credit card users recorded the lowest payment-method churn rate, at 14.48%.</w:t>
      </w:r>
    </w:p>
    <w:p>
      <w:pPr>
        <w:pStyle w:val="Compact"/>
        <w:numPr>
          <w:ilvl w:val="0"/>
          <w:numId w:val="1003"/>
        </w:numPr>
      </w:pPr>
      <w:r>
        <w:t xml:space="preserve">Fiber optic customers represented 66.13% of the churned-customer group.</w:t>
      </w:r>
    </w:p>
    <w:p>
      <w:pPr>
        <w:pStyle w:val="Compact"/>
        <w:numPr>
          <w:ilvl w:val="0"/>
          <w:numId w:val="1003"/>
        </w:numPr>
      </w:pPr>
      <w:r>
        <w:t xml:space="preserve">Using the Average of Churn Flag provided a consistent method for calculating churn rates across customer segments.</w:t>
      </w:r>
    </w:p>
    <w:bookmarkEnd w:id="20"/>
    <w:bookmarkStart w:id="21" w:name="skills-and-techniques-practised"/>
    <w:p>
      <w:pPr>
        <w:pStyle w:val="Heading3"/>
      </w:pPr>
      <w:r>
        <w:t xml:space="preserve">10. Skills and Techniques Practised</w:t>
      </w:r>
    </w:p>
    <w:p>
      <w:pPr>
        <w:pStyle w:val="FirstParagraph"/>
      </w:pPr>
      <w:r>
        <w:t xml:space="preserve">The session involved practical application of the following Excel skills:</w:t>
      </w:r>
    </w:p>
    <w:p>
      <w:pPr>
        <w:pStyle w:val="Compact"/>
        <w:numPr>
          <w:ilvl w:val="0"/>
          <w:numId w:val="1004"/>
        </w:numPr>
      </w:pPr>
      <w:r>
        <w:t xml:space="preserve">Creating and configuring PivotTables.</w:t>
      </w:r>
    </w:p>
    <w:p>
      <w:pPr>
        <w:pStyle w:val="Compact"/>
        <w:numPr>
          <w:ilvl w:val="0"/>
          <w:numId w:val="1004"/>
        </w:numPr>
      </w:pPr>
      <w:r>
        <w:t xml:space="preserve">Grouping customers into age categories.</w:t>
      </w:r>
    </w:p>
    <w:p>
      <w:pPr>
        <w:pStyle w:val="Compact"/>
        <w:numPr>
          <w:ilvl w:val="0"/>
          <w:numId w:val="1004"/>
        </w:numPr>
      </w:pPr>
      <w:r>
        <w:t xml:space="preserve">Writing nested IF formulas.</w:t>
      </w:r>
    </w:p>
    <w:p>
      <w:pPr>
        <w:pStyle w:val="Compact"/>
        <w:numPr>
          <w:ilvl w:val="0"/>
          <w:numId w:val="1004"/>
        </w:numPr>
      </w:pPr>
      <w:r>
        <w:t xml:space="preserve">Creating a calculated churn indicator.</w:t>
      </w:r>
    </w:p>
    <w:p>
      <w:pPr>
        <w:pStyle w:val="Compact"/>
        <w:numPr>
          <w:ilvl w:val="0"/>
          <w:numId w:val="1004"/>
        </w:numPr>
      </w:pPr>
      <w:r>
        <w:t xml:space="preserve">Calculating churn rates using averages.</w:t>
      </w:r>
    </w:p>
    <w:p>
      <w:pPr>
        <w:pStyle w:val="Compact"/>
        <w:numPr>
          <w:ilvl w:val="0"/>
          <w:numId w:val="1004"/>
        </w:numPr>
      </w:pPr>
      <w:r>
        <w:t xml:space="preserve">Comparing customer segments.</w:t>
      </w:r>
    </w:p>
    <w:p>
      <w:pPr>
        <w:pStyle w:val="Compact"/>
        <w:numPr>
          <w:ilvl w:val="0"/>
          <w:numId w:val="1004"/>
        </w:numPr>
      </w:pPr>
      <w:r>
        <w:t xml:space="preserve">Creating PivotCharts.</w:t>
      </w:r>
    </w:p>
    <w:p>
      <w:pPr>
        <w:pStyle w:val="Compact"/>
        <w:numPr>
          <w:ilvl w:val="0"/>
          <w:numId w:val="1004"/>
        </w:numPr>
      </w:pPr>
      <w:r>
        <w:t xml:space="preserve">Selecting appropriate visualisations.</w:t>
      </w:r>
    </w:p>
    <w:p>
      <w:pPr>
        <w:pStyle w:val="Compact"/>
        <w:numPr>
          <w:ilvl w:val="0"/>
          <w:numId w:val="1004"/>
        </w:numPr>
      </w:pPr>
      <w:r>
        <w:t xml:space="preserve">Interpreting percentages and customer distributions.</w:t>
      </w:r>
    </w:p>
    <w:p>
      <w:pPr>
        <w:pStyle w:val="Compact"/>
        <w:numPr>
          <w:ilvl w:val="0"/>
          <w:numId w:val="1004"/>
        </w:numPr>
      </w:pPr>
      <w:r>
        <w:t xml:space="preserve">Distinguishing between the share of a group and the rate within a group.</w:t>
      </w:r>
    </w:p>
    <w:bookmarkEnd w:id="21"/>
    <w:bookmarkStart w:id="22" w:name="deliverables-completed"/>
    <w:p>
      <w:pPr>
        <w:pStyle w:val="Heading3"/>
      </w:pPr>
      <w:r>
        <w:t xml:space="preserve">11. Deliverables Completed</w:t>
      </w:r>
    </w:p>
    <w:p>
      <w:pPr>
        <w:pStyle w:val="FirstParagraph"/>
      </w:pPr>
      <w:r>
        <w:t xml:space="preserve">The recorded deliverables for the session included:</w:t>
      </w:r>
    </w:p>
    <w:p>
      <w:pPr>
        <w:pStyle w:val="Compact"/>
        <w:numPr>
          <w:ilvl w:val="0"/>
          <w:numId w:val="1005"/>
        </w:numPr>
      </w:pPr>
      <w:r>
        <w:t xml:space="preserve">Gender and customer status analysis.</w:t>
      </w:r>
    </w:p>
    <w:p>
      <w:pPr>
        <w:pStyle w:val="Compact"/>
        <w:numPr>
          <w:ilvl w:val="0"/>
          <w:numId w:val="1005"/>
        </w:numPr>
      </w:pPr>
      <w:r>
        <w:t xml:space="preserve">Age group classification.</w:t>
      </w:r>
    </w:p>
    <w:p>
      <w:pPr>
        <w:pStyle w:val="Compact"/>
        <w:numPr>
          <w:ilvl w:val="0"/>
          <w:numId w:val="1005"/>
        </w:numPr>
      </w:pPr>
      <w:r>
        <w:t xml:space="preserve">Age group churn analysis.</w:t>
      </w:r>
    </w:p>
    <w:p>
      <w:pPr>
        <w:pStyle w:val="Compact"/>
        <w:numPr>
          <w:ilvl w:val="0"/>
          <w:numId w:val="1005"/>
        </w:numPr>
      </w:pPr>
      <w:r>
        <w:t xml:space="preserve">Churn Flag calculated column.</w:t>
      </w:r>
    </w:p>
    <w:p>
      <w:pPr>
        <w:pStyle w:val="Compact"/>
        <w:numPr>
          <w:ilvl w:val="0"/>
          <w:numId w:val="1005"/>
        </w:numPr>
      </w:pPr>
      <w:r>
        <w:t xml:space="preserve">Payment method customer status analysis.</w:t>
      </w:r>
    </w:p>
    <w:p>
      <w:pPr>
        <w:pStyle w:val="Compact"/>
        <w:numPr>
          <w:ilvl w:val="0"/>
          <w:numId w:val="1005"/>
        </w:numPr>
      </w:pPr>
      <w:r>
        <w:t xml:space="preserve">Payment method churn-rate calculations.</w:t>
      </w:r>
    </w:p>
    <w:p>
      <w:pPr>
        <w:pStyle w:val="Compact"/>
        <w:numPr>
          <w:ilvl w:val="0"/>
          <w:numId w:val="1005"/>
        </w:numPr>
      </w:pPr>
      <w:r>
        <w:t xml:space="preserve">Churn Rate by Age Group PivotChart.</w:t>
      </w:r>
    </w:p>
    <w:p>
      <w:pPr>
        <w:pStyle w:val="Compact"/>
        <w:numPr>
          <w:ilvl w:val="0"/>
          <w:numId w:val="1005"/>
        </w:numPr>
      </w:pPr>
      <w:r>
        <w:t xml:space="preserve">Churn Rate by Payment Method PivotChart.</w:t>
      </w:r>
    </w:p>
    <w:p>
      <w:pPr>
        <w:pStyle w:val="Compact"/>
        <w:numPr>
          <w:ilvl w:val="0"/>
          <w:numId w:val="1005"/>
        </w:numPr>
      </w:pPr>
      <w:r>
        <w:t xml:space="preserve">Distribution of Churned Customers by Internet Type pie chart.</w:t>
      </w:r>
    </w:p>
    <w:p>
      <w:pPr>
        <w:pStyle w:val="Compact"/>
        <w:numPr>
          <w:ilvl w:val="0"/>
          <w:numId w:val="1005"/>
        </w:numPr>
      </w:pPr>
      <w:r>
        <w:t xml:space="preserve">Documentation of the main analytical findings.</w:t>
      </w:r>
    </w:p>
    <w:bookmarkEnd w:id="22"/>
    <w:bookmarkStart w:id="23" w:name="conclusion"/>
    <w:p>
      <w:pPr>
        <w:pStyle w:val="Heading3"/>
      </w:pPr>
      <w:r>
        <w:t xml:space="preserve">12. Conclusion</w:t>
      </w:r>
    </w:p>
    <w:p>
      <w:pPr>
        <w:pStyle w:val="FirstParagraph"/>
      </w:pPr>
      <w:r>
        <w:t xml:space="preserve">Day 12 focused on moving beyond overall customer counts to examine how churn differed across specific customer segments.</w:t>
      </w:r>
    </w:p>
    <w:p>
      <w:pPr>
        <w:pStyle w:val="BodyText"/>
      </w:pPr>
      <w:r>
        <w:t xml:space="preserve">The analyses revealed differences in churn rates by age group and payment method, while the gender analysis showed a comparatively small difference between female and male customers.</w:t>
      </w:r>
    </w:p>
    <w:p>
      <w:pPr>
        <w:pStyle w:val="BodyText"/>
      </w:pPr>
      <w:r>
        <w:t xml:space="preserve">The session also reinforced the importance of choosing the correct measure for a visualisation. By creating a Churn Flag and using its average in PivotTables, the analysis was able to compare churn rates rather than relying solely on customer counts.</w:t>
      </w:r>
    </w:p>
    <w:p>
      <w:pPr>
        <w:pStyle w:val="BodyText"/>
      </w:pPr>
      <w:r>
        <w:t xml:space="preserve">The work contributed to the broader Maven Telecom Customer Churn project and provided additional findings for the final Excel dashboard and business recommendations.</w:t>
      </w:r>
    </w:p>
    <w:bookmarkEnd w:id="23"/>
    <w:bookmarkStart w:id="24" w:name="next-steps"/>
    <w:p>
      <w:pPr>
        <w:pStyle w:val="Heading3"/>
      </w:pPr>
      <w:r>
        <w:t xml:space="preserve">13. Next Steps</w:t>
      </w:r>
    </w:p>
    <w:p>
      <w:pPr>
        <w:pStyle w:val="FirstParagraph"/>
      </w:pPr>
      <w:r>
        <w:t xml:space="preserve">The next stage was to consolidate the analytical findings, refine the dashboard, review its visual presentation and functionality, and prepare the project documentation for publication.</w:t>
      </w:r>
    </w:p>
    <w:bookmarkEnd w:id="24"/>
    <w:bookmarkEnd w:id="25"/>
    <w:bookmarkEnd w:id="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