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ay-13-telecom-customer-churn-analysis"/>
    <w:p>
      <w:pPr>
        <w:pStyle w:val="Heading1"/>
      </w:pPr>
      <w:r>
        <w:t xml:space="preserve">DAY 13: TELECOM CUSTOMER CHURN ANALYSIS</w:t>
      </w:r>
    </w:p>
    <w:bookmarkStart w:id="9" w:name="daily-progress-documentation"/>
    <w:p>
      <w:pPr>
        <w:pStyle w:val="Heading2"/>
      </w:pPr>
      <w:r>
        <w:t xml:space="preserve">Daily Progress Documentation</w:t>
      </w:r>
    </w:p>
    <w:p>
      <w:pPr>
        <w:pStyle w:val="FirstParagraph"/>
      </w:pPr>
      <w:r>
        <w:rPr>
          <w:b/>
          <w:bCs/>
        </w:rPr>
        <w:t xml:space="preserve">Challenge:</w:t>
      </w:r>
      <w:r>
        <w:t xml:space="preserve"> </w:t>
      </w:r>
      <w:r>
        <w:t xml:space="preserve">92-Day Data Analysis Challenge</w:t>
      </w:r>
      <w:r>
        <w:br/>
      </w:r>
      <w:r>
        <w:rPr>
          <w:b/>
          <w:bCs/>
        </w:rPr>
        <w:t xml:space="preserve">Phase:</w:t>
      </w:r>
      <w:r>
        <w:t xml:space="preserve"> </w:t>
      </w:r>
      <w:r>
        <w:t xml:space="preserve">Advanced Excel</w:t>
      </w:r>
      <w:r>
        <w:br/>
      </w:r>
      <w:r>
        <w:rPr>
          <w:b/>
          <w:bCs/>
        </w:rPr>
        <w:t xml:space="preserve">Dataset:</w:t>
      </w:r>
      <w:r>
        <w:t xml:space="preserve"> </w:t>
      </w:r>
      <w:r>
        <w:t xml:space="preserve">Telecom Customer Churn</w:t>
      </w:r>
      <w:r>
        <w:br/>
      </w:r>
      <w:r>
        <w:rPr>
          <w:b/>
          <w:bCs/>
        </w:rPr>
        <w:t xml:space="preserve">Tools:</w:t>
      </w:r>
      <w:r>
        <w:t xml:space="preserve"> </w:t>
      </w:r>
      <w:r>
        <w:t xml:space="preserve">Microsoft Excel, PivotTables, calculated columns</w:t>
      </w:r>
      <w:r>
        <w:br/>
      </w:r>
      <w:r>
        <w:rPr>
          <w:b/>
          <w:bCs/>
        </w:rPr>
        <w:t xml:space="preserve">Workbook:</w:t>
      </w:r>
      <w:r>
        <w:t xml:space="preserve"> </w:t>
      </w:r>
      <w:r>
        <w:rPr>
          <w:rStyle w:val="VerbatimChar"/>
        </w:rPr>
        <w:t xml:space="preserve">Telecom_Customer_Churn_Analysis.xlsx</w:t>
      </w:r>
      <w:r>
        <w:br/>
      </w:r>
      <w:r>
        <w:rPr>
          <w:b/>
          <w:bCs/>
        </w:rPr>
        <w:t xml:space="preserve">Status:</w:t>
      </w:r>
      <w:r>
        <w:t xml:space="preserve"> </w:t>
      </w:r>
      <w:r>
        <w:t xml:space="preserve">Day 13 analysis completed; independent validation pending.</w:t>
      </w:r>
    </w:p>
    <w:p>
      <w:r>
        <w:pict>
          <v:rect style="width:0;height:1.5pt" o:hralign="center" o:hrstd="t" o:hr="t"/>
        </w:pict>
      </w:r>
    </w:p>
    <w:bookmarkEnd w:id="9"/>
    <w:bookmarkStart w:id="10" w:name="objective"/>
    <w:p>
      <w:pPr>
        <w:pStyle w:val="Heading2"/>
      </w:pPr>
      <w:r>
        <w:t xml:space="preserve">1. Objective</w:t>
      </w:r>
    </w:p>
    <w:p>
      <w:pPr>
        <w:pStyle w:val="FirstParagraph"/>
      </w:pPr>
      <w:r>
        <w:t xml:space="preserve">The objective of Day 13 was to expand the investigation of customer churn by examining additional service subscriptions, understanding the reasons customers left, investigating monthly charge groups, and exploring the distribution of churned customers across contract types and monthly charge levels.</w:t>
      </w:r>
    </w:p>
    <w:p>
      <w:pPr>
        <w:pStyle w:val="BodyText"/>
      </w:pPr>
      <w:r>
        <w:t xml:space="preserve">The analysis built on earlier work involving customer status, contract type, tenure, demographics, financial metrics, Internet Type, and payment method.</w:t>
      </w:r>
    </w:p>
    <w:bookmarkEnd w:id="10"/>
    <w:bookmarkStart w:id="14" w:name="service-related-churn-analysis"/>
    <w:p>
      <w:pPr>
        <w:pStyle w:val="Heading2"/>
      </w:pPr>
      <w:r>
        <w:t xml:space="preserve">2. Service-Related Churn Analysis</w:t>
      </w:r>
    </w:p>
    <w:p>
      <w:pPr>
        <w:pStyle w:val="FirstParagraph"/>
      </w:pPr>
      <w:r>
        <w:t xml:space="preserve">The analysis examined churn rates across nine service-related fields.</w:t>
      </w:r>
    </w:p>
    <w:p>
      <w:pPr>
        <w:pStyle w:val="BodyText"/>
      </w:pPr>
      <w:r>
        <w:t xml:space="preserve">For each field, the Average of Churn Flag was used in a PivotTable and formatted as a percentage.</w:t>
      </w:r>
    </w:p>
    <w:bookmarkStart w:id="11" w:name="results"/>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Field</w:t>
            </w:r>
          </w:p>
        </w:tc>
        <w:tc>
          <w:tcPr/>
          <w:p>
            <w:pPr>
              <w:pStyle w:val="Compact"/>
              <w:jc w:val="right"/>
            </w:pPr>
            <w:r>
              <w:t xml:space="preserve">Churn Rate: No</w:t>
            </w:r>
          </w:p>
        </w:tc>
        <w:tc>
          <w:tcPr/>
          <w:p>
            <w:pPr>
              <w:pStyle w:val="Compact"/>
              <w:jc w:val="right"/>
            </w:pPr>
            <w:r>
              <w:t xml:space="preserve">Churn Rate: Yes</w:t>
            </w:r>
          </w:p>
        </w:tc>
        <w:tc>
          <w:tcPr/>
          <w:p>
            <w:pPr>
              <w:pStyle w:val="Compact"/>
              <w:jc w:val="right"/>
            </w:pPr>
            <w:r>
              <w:t xml:space="preserve">Blank Category</w:t>
            </w:r>
          </w:p>
        </w:tc>
      </w:tr>
      <w:tr>
        <w:tc>
          <w:tcPr/>
          <w:p>
            <w:pPr>
              <w:pStyle w:val="Compact"/>
            </w:pPr>
            <w:r>
              <w:t xml:space="preserve">Online Security</w:t>
            </w:r>
          </w:p>
        </w:tc>
        <w:tc>
          <w:tcPr/>
          <w:p>
            <w:pPr>
              <w:pStyle w:val="Compact"/>
              <w:jc w:val="right"/>
            </w:pPr>
            <w:r>
              <w:t xml:space="preserve">41.77%</w:t>
            </w:r>
          </w:p>
        </w:tc>
        <w:tc>
          <w:tcPr/>
          <w:p>
            <w:pPr>
              <w:pStyle w:val="Compact"/>
              <w:jc w:val="right"/>
            </w:pPr>
            <w:r>
              <w:t xml:space="preserve">14.61%</w:t>
            </w:r>
          </w:p>
        </w:tc>
        <w:tc>
          <w:tcPr/>
          <w:p>
            <w:pPr>
              <w:pStyle w:val="Compact"/>
              <w:jc w:val="right"/>
            </w:pPr>
            <w:r>
              <w:t xml:space="preserve">7.40%</w:t>
            </w:r>
          </w:p>
        </w:tc>
      </w:tr>
      <w:tr>
        <w:tc>
          <w:tcPr/>
          <w:p>
            <w:pPr>
              <w:pStyle w:val="Compact"/>
            </w:pPr>
            <w:r>
              <w:t xml:space="preserve">Online Backup</w:t>
            </w:r>
          </w:p>
        </w:tc>
        <w:tc>
          <w:tcPr/>
          <w:p>
            <w:pPr>
              <w:pStyle w:val="Compact"/>
              <w:jc w:val="right"/>
            </w:pPr>
            <w:r>
              <w:t xml:space="preserve">39.93%</w:t>
            </w:r>
          </w:p>
        </w:tc>
        <w:tc>
          <w:tcPr/>
          <w:p>
            <w:pPr>
              <w:pStyle w:val="Compact"/>
              <w:jc w:val="right"/>
            </w:pPr>
            <w:r>
              <w:t xml:space="preserve">21.53%</w:t>
            </w:r>
          </w:p>
        </w:tc>
        <w:tc>
          <w:tcPr/>
          <w:p>
            <w:pPr>
              <w:pStyle w:val="Compact"/>
              <w:jc w:val="right"/>
            </w:pPr>
            <w:r>
              <w:t xml:space="preserve">7.40%</w:t>
            </w:r>
          </w:p>
        </w:tc>
      </w:tr>
      <w:tr>
        <w:tc>
          <w:tcPr/>
          <w:p>
            <w:pPr>
              <w:pStyle w:val="Compact"/>
            </w:pPr>
            <w:r>
              <w:t xml:space="preserve">Device Protection Plan</w:t>
            </w:r>
          </w:p>
        </w:tc>
        <w:tc>
          <w:tcPr/>
          <w:p>
            <w:pPr>
              <w:pStyle w:val="Compact"/>
              <w:jc w:val="right"/>
            </w:pPr>
            <w:r>
              <w:t xml:space="preserve">39.13%</w:t>
            </w:r>
          </w:p>
        </w:tc>
        <w:tc>
          <w:tcPr/>
          <w:p>
            <w:pPr>
              <w:pStyle w:val="Compact"/>
              <w:jc w:val="right"/>
            </w:pPr>
            <w:r>
              <w:t xml:space="preserve">22.50%</w:t>
            </w:r>
          </w:p>
        </w:tc>
        <w:tc>
          <w:tcPr/>
          <w:p>
            <w:pPr>
              <w:pStyle w:val="Compact"/>
              <w:jc w:val="right"/>
            </w:pPr>
            <w:r>
              <w:t xml:space="preserve">7.40%</w:t>
            </w:r>
          </w:p>
        </w:tc>
      </w:tr>
      <w:tr>
        <w:tc>
          <w:tcPr/>
          <w:p>
            <w:pPr>
              <w:pStyle w:val="Compact"/>
            </w:pPr>
            <w:r>
              <w:t xml:space="preserve">Premium Tech Support</w:t>
            </w:r>
          </w:p>
        </w:tc>
        <w:tc>
          <w:tcPr/>
          <w:p>
            <w:pPr>
              <w:pStyle w:val="Compact"/>
              <w:jc w:val="right"/>
            </w:pPr>
            <w:r>
              <w:t xml:space="preserve">41.64%</w:t>
            </w:r>
          </w:p>
        </w:tc>
        <w:tc>
          <w:tcPr/>
          <w:p>
            <w:pPr>
              <w:pStyle w:val="Compact"/>
              <w:jc w:val="right"/>
            </w:pPr>
            <w:r>
              <w:t xml:space="preserve">15.17%</w:t>
            </w:r>
          </w:p>
        </w:tc>
        <w:tc>
          <w:tcPr/>
          <w:p>
            <w:pPr>
              <w:pStyle w:val="Compact"/>
              <w:jc w:val="right"/>
            </w:pPr>
            <w:r>
              <w:t xml:space="preserve">7.40%</w:t>
            </w:r>
          </w:p>
        </w:tc>
      </w:tr>
      <w:tr>
        <w:tc>
          <w:tcPr/>
          <w:p>
            <w:pPr>
              <w:pStyle w:val="Compact"/>
            </w:pPr>
            <w:r>
              <w:t xml:space="preserve">Streaming TV</w:t>
            </w:r>
          </w:p>
        </w:tc>
        <w:tc>
          <w:tcPr/>
          <w:p>
            <w:pPr>
              <w:pStyle w:val="Compact"/>
              <w:jc w:val="right"/>
            </w:pPr>
            <w:r>
              <w:t xml:space="preserve">33.52%</w:t>
            </w:r>
          </w:p>
        </w:tc>
        <w:tc>
          <w:tcPr/>
          <w:p>
            <w:pPr>
              <w:pStyle w:val="Compact"/>
              <w:jc w:val="right"/>
            </w:pPr>
            <w:r>
              <w:t xml:space="preserve">30.07%</w:t>
            </w:r>
          </w:p>
        </w:tc>
        <w:tc>
          <w:tcPr/>
          <w:p>
            <w:pPr>
              <w:pStyle w:val="Compact"/>
              <w:jc w:val="right"/>
            </w:pPr>
            <w:r>
              <w:t xml:space="preserve">7.40%</w:t>
            </w:r>
          </w:p>
        </w:tc>
      </w:tr>
      <w:tr>
        <w:tc>
          <w:tcPr/>
          <w:p>
            <w:pPr>
              <w:pStyle w:val="Compact"/>
            </w:pPr>
            <w:r>
              <w:t xml:space="preserve">Streaming Movies</w:t>
            </w:r>
          </w:p>
        </w:tc>
        <w:tc>
          <w:tcPr/>
          <w:p>
            <w:pPr>
              <w:pStyle w:val="Compact"/>
              <w:jc w:val="right"/>
            </w:pPr>
            <w:r>
              <w:t xml:space="preserve">33.68%</w:t>
            </w:r>
          </w:p>
        </w:tc>
        <w:tc>
          <w:tcPr/>
          <w:p>
            <w:pPr>
              <w:pStyle w:val="Compact"/>
              <w:jc w:val="right"/>
            </w:pPr>
            <w:r>
              <w:t xml:space="preserve">29.94%</w:t>
            </w:r>
          </w:p>
        </w:tc>
        <w:tc>
          <w:tcPr/>
          <w:p>
            <w:pPr>
              <w:pStyle w:val="Compact"/>
              <w:jc w:val="right"/>
            </w:pPr>
            <w:r>
              <w:t xml:space="preserve">7.40%</w:t>
            </w:r>
          </w:p>
        </w:tc>
      </w:tr>
      <w:tr>
        <w:tc>
          <w:tcPr/>
          <w:p>
            <w:pPr>
              <w:pStyle w:val="Compact"/>
            </w:pPr>
            <w:r>
              <w:t xml:space="preserve">Unlimited Data</w:t>
            </w:r>
          </w:p>
        </w:tc>
        <w:tc>
          <w:tcPr/>
          <w:p>
            <w:pPr>
              <w:pStyle w:val="Compact"/>
              <w:jc w:val="right"/>
            </w:pPr>
            <w:r>
              <w:t xml:space="preserve">32.90%</w:t>
            </w:r>
          </w:p>
        </w:tc>
        <w:tc>
          <w:tcPr/>
          <w:p>
            <w:pPr>
              <w:pStyle w:val="Compact"/>
              <w:jc w:val="right"/>
            </w:pPr>
            <w:r>
              <w:t xml:space="preserve">31.65%</w:t>
            </w:r>
          </w:p>
        </w:tc>
        <w:tc>
          <w:tcPr/>
          <w:p>
            <w:pPr>
              <w:pStyle w:val="Compact"/>
              <w:jc w:val="right"/>
            </w:pPr>
            <w:r>
              <w:t xml:space="preserve">7.40%</w:t>
            </w:r>
          </w:p>
        </w:tc>
      </w:tr>
      <w:tr>
        <w:tc>
          <w:tcPr/>
          <w:p>
            <w:pPr>
              <w:pStyle w:val="Compact"/>
            </w:pPr>
            <w:r>
              <w:t xml:space="preserve">Phone Service</w:t>
            </w:r>
          </w:p>
        </w:tc>
        <w:tc>
          <w:tcPr/>
          <w:p>
            <w:pPr>
              <w:pStyle w:val="Compact"/>
              <w:jc w:val="right"/>
            </w:pPr>
            <w:r>
              <w:t xml:space="preserve">24.93%</w:t>
            </w:r>
          </w:p>
        </w:tc>
        <w:tc>
          <w:tcPr/>
          <w:p>
            <w:pPr>
              <w:pStyle w:val="Compact"/>
              <w:jc w:val="right"/>
            </w:pPr>
            <w:r>
              <w:t xml:space="preserve">26.71%</w:t>
            </w:r>
          </w:p>
        </w:tc>
        <w:tc>
          <w:tcPr/>
          <w:p>
            <w:pPr>
              <w:pStyle w:val="Compact"/>
              <w:jc w:val="right"/>
            </w:pPr>
            <w:r>
              <w:t xml:space="preserve">Not reported</w:t>
            </w:r>
          </w:p>
        </w:tc>
      </w:tr>
      <w:tr>
        <w:tc>
          <w:tcPr/>
          <w:p>
            <w:pPr>
              <w:pStyle w:val="Compact"/>
            </w:pPr>
            <w:r>
              <w:t xml:space="preserve">Multiple Lines</w:t>
            </w:r>
          </w:p>
        </w:tc>
        <w:tc>
          <w:tcPr/>
          <w:p>
            <w:pPr>
              <w:pStyle w:val="Compact"/>
              <w:jc w:val="right"/>
            </w:pPr>
            <w:r>
              <w:t xml:space="preserve">25.04%</w:t>
            </w:r>
          </w:p>
        </w:tc>
        <w:tc>
          <w:tcPr/>
          <w:p>
            <w:pPr>
              <w:pStyle w:val="Compact"/>
              <w:jc w:val="right"/>
            </w:pPr>
            <w:r>
              <w:t xml:space="preserve">28.61%</w:t>
            </w:r>
          </w:p>
        </w:tc>
        <w:tc>
          <w:tcPr/>
          <w:p>
            <w:pPr>
              <w:pStyle w:val="Compact"/>
              <w:jc w:val="right"/>
            </w:pPr>
            <w:r>
              <w:t xml:space="preserve">24.93%</w:t>
            </w:r>
          </w:p>
        </w:tc>
      </w:tr>
    </w:tbl>
    <w:p>
      <w:pPr>
        <w:pStyle w:val="BodyText"/>
      </w:pPr>
      <w:r>
        <w:rPr>
          <w:i/>
          <w:iCs/>
        </w:rPr>
        <w:t xml:space="preserve">The figures are based on the Excel results reported during the session and have not yet been independently recalculated from the original dataset.</w:t>
      </w:r>
    </w:p>
    <w:bookmarkEnd w:id="11"/>
    <w:bookmarkStart w:id="12" w:name="main-observations"/>
    <w:p>
      <w:pPr>
        <w:pStyle w:val="Heading3"/>
      </w:pPr>
      <w:r>
        <w:t xml:space="preserve">Main observations</w:t>
      </w:r>
    </w:p>
    <w:p>
      <w:pPr>
        <w:pStyle w:val="Compact"/>
        <w:numPr>
          <w:ilvl w:val="0"/>
          <w:numId w:val="1001"/>
        </w:numPr>
      </w:pPr>
      <w:r>
        <w:t xml:space="preserve">Online Security showed a 27.16-percentage-point difference between customers in the No and Yes categories.</w:t>
      </w:r>
    </w:p>
    <w:p>
      <w:pPr>
        <w:pStyle w:val="Compact"/>
        <w:numPr>
          <w:ilvl w:val="0"/>
          <w:numId w:val="1001"/>
        </w:numPr>
      </w:pPr>
      <w:r>
        <w:t xml:space="preserve">Premium Tech Support showed a 26.47-percentage-point difference.</w:t>
      </w:r>
    </w:p>
    <w:p>
      <w:pPr>
        <w:pStyle w:val="Compact"/>
        <w:numPr>
          <w:ilvl w:val="0"/>
          <w:numId w:val="1001"/>
        </w:numPr>
      </w:pPr>
      <w:r>
        <w:t xml:space="preserve">Online Backup showed an 18.40-percentage-point difference.</w:t>
      </w:r>
    </w:p>
    <w:p>
      <w:pPr>
        <w:pStyle w:val="Compact"/>
        <w:numPr>
          <w:ilvl w:val="0"/>
          <w:numId w:val="1001"/>
        </w:numPr>
      </w:pPr>
      <w:r>
        <w:t xml:space="preserve">Device Protection Plan showed a 16.63-percentage-point difference.</w:t>
      </w:r>
    </w:p>
    <w:p>
      <w:pPr>
        <w:pStyle w:val="Compact"/>
        <w:numPr>
          <w:ilvl w:val="0"/>
          <w:numId w:val="1001"/>
        </w:numPr>
      </w:pPr>
      <w:r>
        <w:t xml:space="preserve">Differences for Streaming TV, Streaming Movies, Unlimited Data, and Phone Service were comparatively small.</w:t>
      </w:r>
    </w:p>
    <w:p>
      <w:pPr>
        <w:pStyle w:val="Compact"/>
        <w:numPr>
          <w:ilvl w:val="0"/>
          <w:numId w:val="1001"/>
        </w:numPr>
      </w:pPr>
      <w:r>
        <w:t xml:space="preserve">The Multiple Lines results showed a higher reported rate for Yes than No.</w:t>
      </w:r>
    </w:p>
    <w:p>
      <w:pPr>
        <w:pStyle w:val="FirstParagraph"/>
      </w:pPr>
      <w:r>
        <w:t xml:space="preserve">These are associations, not proof that subscribing to a service directly changes a customer’s likelihood of churning.</w:t>
      </w:r>
    </w:p>
    <w:bookmarkEnd w:id="12"/>
    <w:bookmarkStart w:id="13" w:name="blank-value-consideration"/>
    <w:p>
      <w:pPr>
        <w:pStyle w:val="Heading3"/>
      </w:pPr>
      <w:r>
        <w:t xml:space="preserve">Blank-value consideration</w:t>
      </w:r>
    </w:p>
    <w:p>
      <w:pPr>
        <w:pStyle w:val="FirstParagraph"/>
      </w:pPr>
      <w:r>
        <w:t xml:space="preserve">The repeated 7.40% rate across several blank service categories requires investigation.</w:t>
      </w:r>
    </w:p>
    <w:p>
      <w:pPr>
        <w:pStyle w:val="BodyText"/>
      </w:pPr>
      <w:r>
        <w:t xml:space="preserve">The blanks may represent customers for whom a service is not applicable, rather than genuinely missing information. The original records should be examined before drawing conclusions about these groups.</w:t>
      </w:r>
    </w:p>
    <w:p>
      <w:r>
        <w:pict>
          <v:rect style="width:0;height:1.5pt" o:hralign="center" o:hrstd="t" o:hr="t"/>
        </w:pict>
      </w:r>
    </w:p>
    <w:bookmarkEnd w:id="13"/>
    <w:bookmarkEnd w:id="14"/>
    <w:bookmarkStart w:id="16" w:name="churn-category-analysis"/>
    <w:p>
      <w:pPr>
        <w:pStyle w:val="Heading2"/>
      </w:pPr>
      <w:r>
        <w:t xml:space="preserve">3. Churn Category Analysis</w:t>
      </w:r>
    </w:p>
    <w:p>
      <w:pPr>
        <w:pStyle w:val="FirstParagraph"/>
      </w:pPr>
      <w:r>
        <w:t xml:space="preserve">The analysis filtered Customer Status to Churned and counted Customer ID by Churn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Churn Category</w:t>
            </w:r>
          </w:p>
        </w:tc>
        <w:tc>
          <w:tcPr/>
          <w:p>
            <w:pPr>
              <w:pStyle w:val="Compact"/>
              <w:jc w:val="right"/>
            </w:pPr>
            <w:r>
              <w:t xml:space="preserve">Churned Customers</w:t>
            </w:r>
          </w:p>
        </w:tc>
        <w:tc>
          <w:tcPr/>
          <w:p>
            <w:pPr>
              <w:pStyle w:val="Compact"/>
              <w:jc w:val="right"/>
            </w:pPr>
            <w:r>
              <w:t xml:space="preserve">Share of Churned Customers</w:t>
            </w:r>
          </w:p>
        </w:tc>
      </w:tr>
      <w:tr>
        <w:tc>
          <w:tcPr/>
          <w:p>
            <w:pPr>
              <w:pStyle w:val="Compact"/>
            </w:pPr>
            <w:r>
              <w:t xml:space="preserve">Competitor</w:t>
            </w:r>
          </w:p>
        </w:tc>
        <w:tc>
          <w:tcPr/>
          <w:p>
            <w:pPr>
              <w:pStyle w:val="Compact"/>
              <w:jc w:val="right"/>
            </w:pPr>
            <w:r>
              <w:t xml:space="preserve">841</w:t>
            </w:r>
          </w:p>
        </w:tc>
        <w:tc>
          <w:tcPr/>
          <w:p>
            <w:pPr>
              <w:pStyle w:val="Compact"/>
              <w:jc w:val="right"/>
            </w:pPr>
            <w:r>
              <w:t xml:space="preserve">45.00%</w:t>
            </w:r>
          </w:p>
        </w:tc>
      </w:tr>
      <w:tr>
        <w:tc>
          <w:tcPr/>
          <w:p>
            <w:pPr>
              <w:pStyle w:val="Compact"/>
            </w:pPr>
            <w:r>
              <w:t xml:space="preserve">Dissatisfaction</w:t>
            </w:r>
          </w:p>
        </w:tc>
        <w:tc>
          <w:tcPr/>
          <w:p>
            <w:pPr>
              <w:pStyle w:val="Compact"/>
              <w:jc w:val="right"/>
            </w:pPr>
            <w:r>
              <w:t xml:space="preserve">321</w:t>
            </w:r>
          </w:p>
        </w:tc>
        <w:tc>
          <w:tcPr/>
          <w:p>
            <w:pPr>
              <w:pStyle w:val="Compact"/>
              <w:jc w:val="right"/>
            </w:pPr>
            <w:r>
              <w:t xml:space="preserve">17.17%</w:t>
            </w:r>
          </w:p>
        </w:tc>
      </w:tr>
      <w:tr>
        <w:tc>
          <w:tcPr/>
          <w:p>
            <w:pPr>
              <w:pStyle w:val="Compact"/>
            </w:pPr>
            <w:r>
              <w:t xml:space="preserve">Attitude</w:t>
            </w:r>
          </w:p>
        </w:tc>
        <w:tc>
          <w:tcPr/>
          <w:p>
            <w:pPr>
              <w:pStyle w:val="Compact"/>
              <w:jc w:val="right"/>
            </w:pPr>
            <w:r>
              <w:t xml:space="preserve">314</w:t>
            </w:r>
          </w:p>
        </w:tc>
        <w:tc>
          <w:tcPr/>
          <w:p>
            <w:pPr>
              <w:pStyle w:val="Compact"/>
              <w:jc w:val="right"/>
            </w:pPr>
            <w:r>
              <w:t xml:space="preserve">16.80%</w:t>
            </w:r>
          </w:p>
        </w:tc>
      </w:tr>
      <w:tr>
        <w:tc>
          <w:tcPr/>
          <w:p>
            <w:pPr>
              <w:pStyle w:val="Compact"/>
            </w:pPr>
            <w:r>
              <w:t xml:space="preserve">Price</w:t>
            </w:r>
          </w:p>
        </w:tc>
        <w:tc>
          <w:tcPr/>
          <w:p>
            <w:pPr>
              <w:pStyle w:val="Compact"/>
              <w:jc w:val="right"/>
            </w:pPr>
            <w:r>
              <w:t xml:space="preserve">211</w:t>
            </w:r>
          </w:p>
        </w:tc>
        <w:tc>
          <w:tcPr/>
          <w:p>
            <w:pPr>
              <w:pStyle w:val="Compact"/>
              <w:jc w:val="right"/>
            </w:pPr>
            <w:r>
              <w:t xml:space="preserve">11.29%</w:t>
            </w:r>
          </w:p>
        </w:tc>
      </w:tr>
      <w:tr>
        <w:tc>
          <w:tcPr/>
          <w:p>
            <w:pPr>
              <w:pStyle w:val="Compact"/>
            </w:pPr>
            <w:r>
              <w:t xml:space="preserve">Order</w:t>
            </w:r>
          </w:p>
        </w:tc>
        <w:tc>
          <w:tcPr/>
          <w:p>
            <w:pPr>
              <w:pStyle w:val="Compact"/>
              <w:jc w:val="right"/>
            </w:pPr>
            <w:r>
              <w:t xml:space="preserve">182</w:t>
            </w:r>
          </w:p>
        </w:tc>
        <w:tc>
          <w:tcPr/>
          <w:p>
            <w:pPr>
              <w:pStyle w:val="Compact"/>
              <w:jc w:val="right"/>
            </w:pPr>
            <w:r>
              <w:t xml:space="preserve">9.74%</w:t>
            </w:r>
          </w:p>
        </w:tc>
      </w:tr>
      <w:tr>
        <w:tc>
          <w:tcPr/>
          <w:p>
            <w:pPr>
              <w:pStyle w:val="Compact"/>
            </w:pPr>
            <w:r>
              <w:rPr>
                <w:b/>
                <w:bCs/>
              </w:rPr>
              <w:t xml:space="preserve">Total</w:t>
            </w:r>
          </w:p>
        </w:tc>
        <w:tc>
          <w:tcPr/>
          <w:p>
            <w:pPr>
              <w:pStyle w:val="Compact"/>
              <w:jc w:val="right"/>
            </w:pPr>
            <w:r>
              <w:rPr>
                <w:b/>
                <w:bCs/>
              </w:rPr>
              <w:t xml:space="preserve">1,869</w:t>
            </w:r>
          </w:p>
        </w:tc>
        <w:tc>
          <w:tcPr/>
          <w:p>
            <w:pPr>
              <w:pStyle w:val="Compact"/>
              <w:jc w:val="right"/>
            </w:pPr>
            <w:r>
              <w:rPr>
                <w:b/>
                <w:bCs/>
              </w:rPr>
              <w:t xml:space="preserve">100.00%</w:t>
            </w:r>
          </w:p>
        </w:tc>
      </w:tr>
    </w:tbl>
    <w:bookmarkStart w:id="15" w:name="key-finding"/>
    <w:p>
      <w:pPr>
        <w:pStyle w:val="Heading3"/>
      </w:pPr>
      <w:r>
        <w:t xml:space="preserve">Key finding</w:t>
      </w:r>
    </w:p>
    <w:p>
      <w:pPr>
        <w:pStyle w:val="FirstParagraph"/>
      </w:pPr>
      <w:r>
        <w:t xml:space="preserve">Competitor was the largest category, accounting for approximately 45% of recorded churn cases.</w:t>
      </w:r>
    </w:p>
    <w:p>
      <w:pPr>
        <w:pStyle w:val="BodyText"/>
      </w:pPr>
      <w:r>
        <w:t xml:space="preserve">This suggests that competitor-related issues deserve particular attention in the investigation of customer departure.</w:t>
      </w:r>
    </w:p>
    <w:p>
      <w:r>
        <w:pict>
          <v:rect style="width:0;height:1.5pt" o:hralign="center" o:hrstd="t" o:hr="t"/>
        </w:pict>
      </w:r>
    </w:p>
    <w:bookmarkEnd w:id="15"/>
    <w:bookmarkEnd w:id="16"/>
    <w:bookmarkStart w:id="20" w:name="churn-reason-analysis"/>
    <w:p>
      <w:pPr>
        <w:pStyle w:val="Heading2"/>
      </w:pPr>
      <w:r>
        <w:t xml:space="preserve">4. Churn Reason Analysis</w:t>
      </w:r>
    </w:p>
    <w:p>
      <w:pPr>
        <w:pStyle w:val="FirstParagraph"/>
      </w:pPr>
      <w:r>
        <w:t xml:space="preserve">A second PivotTable examined the individual reasons recorded for churned customers.</w:t>
      </w:r>
    </w:p>
    <w:bookmarkStart w:id="17" w:name="five-most-frequently-reported-reasons"/>
    <w:p>
      <w:pPr>
        <w:pStyle w:val="Heading3"/>
      </w:pPr>
      <w:r>
        <w:t xml:space="preserve">Five most frequently reported reasons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Churn Reason</w:t>
            </w:r>
          </w:p>
        </w:tc>
        <w:tc>
          <w:tcPr/>
          <w:p>
            <w:pPr>
              <w:pStyle w:val="Compact"/>
              <w:jc w:val="right"/>
            </w:pPr>
            <w:r>
              <w:t xml:space="preserve">Count</w:t>
            </w:r>
          </w:p>
        </w:tc>
        <w:tc>
          <w:tcPr/>
          <w:p>
            <w:pPr>
              <w:pStyle w:val="Compact"/>
              <w:jc w:val="right"/>
            </w:pPr>
            <w:r>
              <w:t xml:space="preserve">Share of Churned Customers</w:t>
            </w:r>
          </w:p>
        </w:tc>
      </w:tr>
      <w:tr>
        <w:tc>
          <w:tcPr/>
          <w:p>
            <w:pPr>
              <w:pStyle w:val="Compact"/>
            </w:pPr>
            <w:r>
              <w:t xml:space="preserve">1</w:t>
            </w:r>
          </w:p>
        </w:tc>
        <w:tc>
          <w:tcPr/>
          <w:p>
            <w:pPr>
              <w:pStyle w:val="Compact"/>
            </w:pPr>
            <w:r>
              <w:t xml:space="preserve">Competitor had better devices</w:t>
            </w:r>
          </w:p>
        </w:tc>
        <w:tc>
          <w:tcPr/>
          <w:p>
            <w:pPr>
              <w:pStyle w:val="Compact"/>
              <w:jc w:val="right"/>
            </w:pPr>
            <w:r>
              <w:t xml:space="preserve">313</w:t>
            </w:r>
          </w:p>
        </w:tc>
        <w:tc>
          <w:tcPr/>
          <w:p>
            <w:pPr>
              <w:pStyle w:val="Compact"/>
              <w:jc w:val="right"/>
            </w:pPr>
            <w:r>
              <w:t xml:space="preserve">16.75%</w:t>
            </w:r>
          </w:p>
        </w:tc>
      </w:tr>
      <w:tr>
        <w:tc>
          <w:tcPr/>
          <w:p>
            <w:pPr>
              <w:pStyle w:val="Compact"/>
            </w:pPr>
            <w:r>
              <w:t xml:space="preserve">2</w:t>
            </w:r>
          </w:p>
        </w:tc>
        <w:tc>
          <w:tcPr/>
          <w:p>
            <w:pPr>
              <w:pStyle w:val="Compact"/>
            </w:pPr>
            <w:r>
              <w:t xml:space="preserve">Competitor made better offer</w:t>
            </w:r>
          </w:p>
        </w:tc>
        <w:tc>
          <w:tcPr/>
          <w:p>
            <w:pPr>
              <w:pStyle w:val="Compact"/>
              <w:jc w:val="right"/>
            </w:pPr>
            <w:r>
              <w:t xml:space="preserve">311</w:t>
            </w:r>
          </w:p>
        </w:tc>
        <w:tc>
          <w:tcPr/>
          <w:p>
            <w:pPr>
              <w:pStyle w:val="Compact"/>
              <w:jc w:val="right"/>
            </w:pPr>
            <w:r>
              <w:t xml:space="preserve">16.64%</w:t>
            </w:r>
          </w:p>
        </w:tc>
      </w:tr>
      <w:tr>
        <w:tc>
          <w:tcPr/>
          <w:p>
            <w:pPr>
              <w:pStyle w:val="Compact"/>
            </w:pPr>
            <w:r>
              <w:t xml:space="preserve">3</w:t>
            </w:r>
          </w:p>
        </w:tc>
        <w:tc>
          <w:tcPr/>
          <w:p>
            <w:pPr>
              <w:pStyle w:val="Compact"/>
            </w:pPr>
            <w:r>
              <w:t xml:space="preserve">Attitude of support person</w:t>
            </w:r>
          </w:p>
        </w:tc>
        <w:tc>
          <w:tcPr/>
          <w:p>
            <w:pPr>
              <w:pStyle w:val="Compact"/>
              <w:jc w:val="right"/>
            </w:pPr>
            <w:r>
              <w:t xml:space="preserve">220</w:t>
            </w:r>
          </w:p>
        </w:tc>
        <w:tc>
          <w:tcPr/>
          <w:p>
            <w:pPr>
              <w:pStyle w:val="Compact"/>
              <w:jc w:val="right"/>
            </w:pPr>
            <w:r>
              <w:t xml:space="preserve">11.77%</w:t>
            </w:r>
          </w:p>
        </w:tc>
      </w:tr>
      <w:tr>
        <w:tc>
          <w:tcPr/>
          <w:p>
            <w:pPr>
              <w:pStyle w:val="Compact"/>
            </w:pPr>
            <w:r>
              <w:t xml:space="preserve">4</w:t>
            </w:r>
          </w:p>
        </w:tc>
        <w:tc>
          <w:tcPr/>
          <w:p>
            <w:pPr>
              <w:pStyle w:val="Compact"/>
            </w:pPr>
            <w:r>
              <w:t xml:space="preserve">Don’t know</w:t>
            </w:r>
          </w:p>
        </w:tc>
        <w:tc>
          <w:tcPr/>
          <w:p>
            <w:pPr>
              <w:pStyle w:val="Compact"/>
              <w:jc w:val="right"/>
            </w:pPr>
            <w:r>
              <w:t xml:space="preserve">130</w:t>
            </w:r>
          </w:p>
        </w:tc>
        <w:tc>
          <w:tcPr/>
          <w:p>
            <w:pPr>
              <w:pStyle w:val="Compact"/>
              <w:jc w:val="right"/>
            </w:pPr>
            <w:r>
              <w:t xml:space="preserve">6.96%</w:t>
            </w:r>
          </w:p>
        </w:tc>
      </w:tr>
      <w:tr>
        <w:tc>
          <w:tcPr/>
          <w:p>
            <w:pPr>
              <w:pStyle w:val="Compact"/>
            </w:pPr>
            <w:r>
              <w:t xml:space="preserve">5</w:t>
            </w:r>
          </w:p>
        </w:tc>
        <w:tc>
          <w:tcPr/>
          <w:p>
            <w:pPr>
              <w:pStyle w:val="Compact"/>
            </w:pPr>
            <w:r>
              <w:t xml:space="preserve">Competitor offered more data</w:t>
            </w:r>
          </w:p>
        </w:tc>
        <w:tc>
          <w:tcPr/>
          <w:p>
            <w:pPr>
              <w:pStyle w:val="Compact"/>
              <w:jc w:val="right"/>
            </w:pPr>
            <w:r>
              <w:t xml:space="preserve">117</w:t>
            </w:r>
          </w:p>
        </w:tc>
        <w:tc>
          <w:tcPr/>
          <w:p>
            <w:pPr>
              <w:pStyle w:val="Compact"/>
              <w:jc w:val="right"/>
            </w:pPr>
            <w:r>
              <w:t xml:space="preserve">6.26%</w:t>
            </w:r>
          </w:p>
        </w:tc>
      </w:tr>
    </w:tbl>
    <w:bookmarkEnd w:id="17"/>
    <w:bookmarkStart w:id="18" w:name="key-finding-1"/>
    <w:p>
      <w:pPr>
        <w:pStyle w:val="Heading3"/>
      </w:pPr>
      <w:r>
        <w:t xml:space="preserve">Key finding</w:t>
      </w:r>
    </w:p>
    <w:p>
      <w:pPr>
        <w:pStyle w:val="FirstParagraph"/>
      </w:pPr>
      <w:r>
        <w:t xml:space="preserve">The two leading competitor-related reasons accounted for 624 churned customers, or approximately 33.39% of all churned customers.</w:t>
      </w:r>
    </w:p>
    <w:p>
      <w:pPr>
        <w:pStyle w:val="BodyText"/>
      </w:pPr>
      <w:r>
        <w:t xml:space="preserve">Attitude of support person was the third-largest individual reason.</w:t>
      </w:r>
    </w:p>
    <w:bookmarkEnd w:id="18"/>
    <w:bookmarkStart w:id="19" w:name="consistency-check"/>
    <w:p>
      <w:pPr>
        <w:pStyle w:val="Heading3"/>
      </w:pPr>
      <w:r>
        <w:t xml:space="preserve">Consistency check</w:t>
      </w:r>
    </w:p>
    <w:p>
      <w:pPr>
        <w:pStyle w:val="FirstParagraph"/>
      </w:pPr>
      <w:r>
        <w:t xml:space="preserve">The reported reason counts reconcile with the category totals:</w:t>
      </w:r>
    </w:p>
    <w:p>
      <w:pPr>
        <w:pStyle w:val="Compact"/>
        <w:numPr>
          <w:ilvl w:val="0"/>
          <w:numId w:val="1002"/>
        </w:numPr>
      </w:pPr>
      <w:r>
        <w:t xml:space="preserve">Attitude: 314.</w:t>
      </w:r>
    </w:p>
    <w:p>
      <w:pPr>
        <w:pStyle w:val="Compact"/>
        <w:numPr>
          <w:ilvl w:val="0"/>
          <w:numId w:val="1002"/>
        </w:numPr>
      </w:pPr>
      <w:r>
        <w:t xml:space="preserve">Competitor: 841.</w:t>
      </w:r>
    </w:p>
    <w:p>
      <w:pPr>
        <w:pStyle w:val="Compact"/>
        <w:numPr>
          <w:ilvl w:val="0"/>
          <w:numId w:val="1002"/>
        </w:numPr>
      </w:pPr>
      <w:r>
        <w:t xml:space="preserve">Dissatisfaction: 321.</w:t>
      </w:r>
    </w:p>
    <w:p>
      <w:pPr>
        <w:pStyle w:val="Compact"/>
        <w:numPr>
          <w:ilvl w:val="0"/>
          <w:numId w:val="1002"/>
        </w:numPr>
      </w:pPr>
      <w:r>
        <w:t xml:space="preserve">Order: 182.</w:t>
      </w:r>
    </w:p>
    <w:p>
      <w:pPr>
        <w:pStyle w:val="Compact"/>
        <w:numPr>
          <w:ilvl w:val="0"/>
          <w:numId w:val="1002"/>
        </w:numPr>
      </w:pPr>
      <w:r>
        <w:t xml:space="preserve">Price: 211.</w:t>
      </w:r>
    </w:p>
    <w:p>
      <w:pPr>
        <w:pStyle w:val="Compact"/>
        <w:numPr>
          <w:ilvl w:val="0"/>
          <w:numId w:val="1002"/>
        </w:numPr>
      </w:pPr>
      <w:r>
        <w:t xml:space="preserve">Total: 1,869.</w:t>
      </w:r>
    </w:p>
    <w:p>
      <w:pPr>
        <w:pStyle w:val="FirstParagraph"/>
      </w:pPr>
      <w:r>
        <w:t xml:space="preserve">This confirms internal consistency between the reported reason counts and category totals. It is not a substitute for independently checking the source records.</w:t>
      </w:r>
    </w:p>
    <w:p>
      <w:r>
        <w:pict>
          <v:rect style="width:0;height:1.5pt" o:hralign="center" o:hrstd="t" o:hr="t"/>
        </w:pict>
      </w:r>
    </w:p>
    <w:bookmarkEnd w:id="19"/>
    <w:bookmarkEnd w:id="20"/>
    <w:bookmarkStart w:id="23" w:name="monthly-charge-group-analysis"/>
    <w:p>
      <w:pPr>
        <w:pStyle w:val="Heading2"/>
      </w:pPr>
      <w:r>
        <w:t xml:space="preserve">5. Monthly Charge Group Analysis</w:t>
      </w:r>
    </w:p>
    <w:p>
      <w:pPr>
        <w:pStyle w:val="FirstParagraph"/>
      </w:pPr>
      <w:r>
        <w:t xml:space="preserve">A calculated column named Monthly Charge Group was added to</w:t>
      </w:r>
      <w:r>
        <w:t xml:space="preserve"> </w:t>
      </w:r>
      <w:r>
        <w:rPr>
          <w:rStyle w:val="VerbatimChar"/>
        </w:rPr>
        <w:t xml:space="preserve">tbl_Churn</w:t>
      </w:r>
      <w:r>
        <w:t xml:space="preserve">.</w:t>
      </w:r>
    </w:p>
    <w:p>
      <w:pPr>
        <w:pStyle w:val="BodyText"/>
      </w:pPr>
      <w:r>
        <w:t xml:space="preserve">The formula was:</w:t>
      </w:r>
    </w:p>
    <w:p>
      <w:pPr>
        <w:pStyle w:val="SourceCode"/>
      </w:pPr>
      <w:r>
        <w:rPr>
          <w:rStyle w:val="VerbatimChar"/>
        </w:rPr>
        <w:t xml:space="preserve">=IF([@[Monthly Charge]]&lt;30,"Under $30",IF([@[Monthly Charge]]&lt;60,"$30–$59.99",IF([@[Monthly Charge]]&lt;90,"$60–$89.99","$90 and above")))</w:t>
      </w:r>
    </w:p>
    <w:p>
      <w:pPr>
        <w:pStyle w:val="FirstParagraph"/>
      </w:pPr>
      <w:r>
        <w:t xml:space="preserve">The monthly charges were grouped into four bands.</w:t>
      </w:r>
    </w:p>
    <w:bookmarkStart w:id="21" w:name="reported-results"/>
    <w:p>
      <w:pPr>
        <w:pStyle w:val="Heading3"/>
      </w:pPr>
      <w:r>
        <w:t xml:space="preserve">Reported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Monthly Charge Group</w:t>
            </w:r>
          </w:p>
        </w:tc>
        <w:tc>
          <w:tcPr/>
          <w:p>
            <w:pPr>
              <w:pStyle w:val="Compact"/>
              <w:jc w:val="right"/>
            </w:pPr>
            <w:r>
              <w:t xml:space="preserve">Reported Churn Rate</w:t>
            </w:r>
          </w:p>
        </w:tc>
      </w:tr>
      <w:tr>
        <w:tc>
          <w:tcPr/>
          <w:p>
            <w:pPr>
              <w:pStyle w:val="Compact"/>
            </w:pPr>
            <w:r>
              <w:t xml:space="preserve">Under $30</w:t>
            </w:r>
          </w:p>
        </w:tc>
        <w:tc>
          <w:tcPr/>
          <w:p>
            <w:pPr>
              <w:pStyle w:val="Compact"/>
              <w:jc w:val="right"/>
            </w:pPr>
            <w:r>
              <w:t xml:space="preserve">10.72%</w:t>
            </w:r>
          </w:p>
        </w:tc>
      </w:tr>
      <w:tr>
        <w:tc>
          <w:tcPr/>
          <w:p>
            <w:pPr>
              <w:pStyle w:val="Compact"/>
            </w:pPr>
            <w:r>
              <w:t xml:space="preserve">$30–$59.99</w:t>
            </w:r>
          </w:p>
        </w:tc>
        <w:tc>
          <w:tcPr/>
          <w:p>
            <w:pPr>
              <w:pStyle w:val="Compact"/>
              <w:jc w:val="right"/>
            </w:pPr>
            <w:r>
              <w:t xml:space="preserve">25.91%</w:t>
            </w:r>
          </w:p>
        </w:tc>
      </w:tr>
      <w:tr>
        <w:tc>
          <w:tcPr/>
          <w:p>
            <w:pPr>
              <w:pStyle w:val="Compact"/>
            </w:pPr>
            <w:r>
              <w:t xml:space="preserve">$60–$89.99</w:t>
            </w:r>
          </w:p>
        </w:tc>
        <w:tc>
          <w:tcPr/>
          <w:p>
            <w:pPr>
              <w:pStyle w:val="Compact"/>
              <w:jc w:val="right"/>
            </w:pPr>
            <w:r>
              <w:t xml:space="preserve">33.84%</w:t>
            </w:r>
          </w:p>
        </w:tc>
      </w:tr>
      <w:tr>
        <w:tc>
          <w:tcPr/>
          <w:p>
            <w:pPr>
              <w:pStyle w:val="Compact"/>
            </w:pPr>
            <w:r>
              <w:t xml:space="preserve">$90 and above</w:t>
            </w:r>
          </w:p>
        </w:tc>
        <w:tc>
          <w:tcPr/>
          <w:p>
            <w:pPr>
              <w:pStyle w:val="Compact"/>
              <w:jc w:val="right"/>
            </w:pPr>
            <w:r>
              <w:t xml:space="preserve">33.04%</w:t>
            </w:r>
          </w:p>
        </w:tc>
      </w:tr>
      <w:tr>
        <w:tc>
          <w:tcPr/>
          <w:p>
            <w:pPr>
              <w:pStyle w:val="Compact"/>
            </w:pPr>
            <w:r>
              <w:rPr>
                <w:b/>
                <w:bCs/>
              </w:rPr>
              <w:t xml:space="preserve">Overall</w:t>
            </w:r>
          </w:p>
        </w:tc>
        <w:tc>
          <w:tcPr/>
          <w:p>
            <w:pPr>
              <w:pStyle w:val="Compact"/>
              <w:jc w:val="right"/>
            </w:pPr>
            <w:r>
              <w:rPr>
                <w:b/>
                <w:bCs/>
              </w:rPr>
              <w:t xml:space="preserve">26.54%</w:t>
            </w:r>
          </w:p>
        </w:tc>
      </w:tr>
    </w:tbl>
    <w:bookmarkEnd w:id="21"/>
    <w:bookmarkStart w:id="22" w:name="interpretation"/>
    <w:p>
      <w:pPr>
        <w:pStyle w:val="Heading3"/>
      </w:pPr>
      <w:r>
        <w:t xml:space="preserve">Interpretation</w:t>
      </w:r>
    </w:p>
    <w:p>
      <w:pPr>
        <w:pStyle w:val="FirstParagraph"/>
      </w:pPr>
      <w:r>
        <w:t xml:space="preserve">The $60–$89.99 group had the highest reported churn rate at 33.84%, followed by the $90-and-above group at 33.04%.</w:t>
      </w:r>
    </w:p>
    <w:p>
      <w:pPr>
        <w:pStyle w:val="BodyText"/>
      </w:pPr>
      <w:r>
        <w:t xml:space="preserve">The Under-$30 group had the lowest reported rate at 10.72%.</w:t>
      </w:r>
    </w:p>
    <w:p>
      <w:pPr>
        <w:pStyle w:val="BodyText"/>
      </w:pPr>
      <w:r>
        <w:t xml:space="preserve">The pattern suggests that higher monthly charge groups have higher churn rates than the lowest charge group, but the relationship is not strictly increasing. Other variables, including contract type and tenure, may contribute to the differences.</w:t>
      </w:r>
    </w:p>
    <w:p>
      <w:r>
        <w:pict>
          <v:rect style="width:0;height:1.5pt" o:hralign="center" o:hrstd="t" o:hr="t"/>
        </w:pict>
      </w:r>
    </w:p>
    <w:bookmarkEnd w:id="22"/>
    <w:bookmarkEnd w:id="23"/>
    <w:bookmarkStart w:id="28" w:name="X69cb399f2c3df293c83493d8f0349dfb01c1eb7"/>
    <w:p>
      <w:pPr>
        <w:pStyle w:val="Heading2"/>
      </w:pPr>
      <w:r>
        <w:t xml:space="preserve">6. Final Analysis: Contract Type vs. Monthly Charge Group</w:t>
      </w:r>
    </w:p>
    <w:p>
      <w:pPr>
        <w:pStyle w:val="FirstParagraph"/>
      </w:pPr>
      <w:r>
        <w:t xml:space="preserve">The final analysis investigated the distribution of churned customers across contract types and monthly charge groups.</w:t>
      </w:r>
    </w:p>
    <w:p>
      <w:pPr>
        <w:pStyle w:val="BodyText"/>
      </w:pPr>
      <w:r>
        <w:t xml:space="preserve">The PivotTable was configured as follows:</w:t>
      </w:r>
    </w:p>
    <w:p>
      <w:pPr>
        <w:pStyle w:val="Compact"/>
        <w:numPr>
          <w:ilvl w:val="0"/>
          <w:numId w:val="1003"/>
        </w:numPr>
      </w:pPr>
      <w:r>
        <w:rPr>
          <w:b/>
          <w:bCs/>
        </w:rPr>
        <w:t xml:space="preserve">Filter:</w:t>
      </w:r>
      <w:r>
        <w:t xml:space="preserve"> </w:t>
      </w:r>
      <w:r>
        <w:t xml:space="preserve">Customer Status = Churned.</w:t>
      </w:r>
    </w:p>
    <w:p>
      <w:pPr>
        <w:pStyle w:val="Compact"/>
        <w:numPr>
          <w:ilvl w:val="0"/>
          <w:numId w:val="1003"/>
        </w:numPr>
      </w:pPr>
      <w:r>
        <w:rPr>
          <w:b/>
          <w:bCs/>
        </w:rPr>
        <w:t xml:space="preserve">Rows:</w:t>
      </w:r>
      <w:r>
        <w:t xml:space="preserve"> </w:t>
      </w:r>
      <w:r>
        <w:t xml:space="preserve">Contract.</w:t>
      </w:r>
    </w:p>
    <w:p>
      <w:pPr>
        <w:pStyle w:val="Compact"/>
        <w:numPr>
          <w:ilvl w:val="0"/>
          <w:numId w:val="1003"/>
        </w:numPr>
      </w:pPr>
      <w:r>
        <w:rPr>
          <w:b/>
          <w:bCs/>
        </w:rPr>
        <w:t xml:space="preserve">Columns:</w:t>
      </w:r>
      <w:r>
        <w:t xml:space="preserve"> </w:t>
      </w:r>
      <w:r>
        <w:t xml:space="preserve">Monthly Charge Group.</w:t>
      </w:r>
    </w:p>
    <w:p>
      <w:pPr>
        <w:pStyle w:val="Compact"/>
        <w:numPr>
          <w:ilvl w:val="0"/>
          <w:numId w:val="1003"/>
        </w:numPr>
      </w:pPr>
      <w:r>
        <w:rPr>
          <w:b/>
          <w:bCs/>
        </w:rPr>
        <w:t xml:space="preserve">Values:</w:t>
      </w:r>
      <w:r>
        <w:t xml:space="preserve"> </w:t>
      </w:r>
      <w:r>
        <w:t xml:space="preserve">Count of Customer ID.</w:t>
      </w:r>
    </w:p>
    <w:p>
      <w:pPr>
        <w:pStyle w:val="Compact"/>
        <w:numPr>
          <w:ilvl w:val="0"/>
          <w:numId w:val="1003"/>
        </w:numPr>
      </w:pPr>
      <w:r>
        <w:rPr>
          <w:b/>
          <w:bCs/>
        </w:rPr>
        <w:t xml:space="preserve">Additional Values:</w:t>
      </w:r>
      <w:r>
        <w:t xml:space="preserve"> </w:t>
      </w:r>
      <w:r>
        <w:t xml:space="preserve">Count of Customer ID displayed as % of Row Total.</w:t>
      </w:r>
    </w:p>
    <w:bookmarkStart w:id="24" w:name="counts-of-churned-customers"/>
    <w:p>
      <w:pPr>
        <w:pStyle w:val="Heading3"/>
      </w:pPr>
      <w:r>
        <w:t xml:space="preserve">Counts of churned customers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Contract Type</w:t>
            </w:r>
          </w:p>
        </w:tc>
        <w:tc>
          <w:tcPr/>
          <w:p>
            <w:pPr>
              <w:pStyle w:val="Compact"/>
              <w:jc w:val="right"/>
            </w:pPr>
            <w:r>
              <w:t xml:space="preserve">$30–$59.99</w:t>
            </w:r>
          </w:p>
        </w:tc>
        <w:tc>
          <w:tcPr/>
          <w:p>
            <w:pPr>
              <w:pStyle w:val="Compact"/>
              <w:jc w:val="right"/>
            </w:pPr>
            <w:r>
              <w:t xml:space="preserve">$60–$89.99</w:t>
            </w:r>
          </w:p>
        </w:tc>
        <w:tc>
          <w:tcPr/>
          <w:p>
            <w:pPr>
              <w:pStyle w:val="Compact"/>
              <w:jc w:val="right"/>
            </w:pPr>
            <w:r>
              <w:t xml:space="preserve">$90 and Above</w:t>
            </w:r>
          </w:p>
        </w:tc>
        <w:tc>
          <w:tcPr/>
          <w:p>
            <w:pPr>
              <w:pStyle w:val="Compact"/>
              <w:jc w:val="right"/>
            </w:pPr>
            <w:r>
              <w:t xml:space="preserve">Under $30</w:t>
            </w:r>
          </w:p>
        </w:tc>
        <w:tc>
          <w:tcPr/>
          <w:p>
            <w:pPr>
              <w:pStyle w:val="Compact"/>
              <w:jc w:val="right"/>
            </w:pPr>
            <w:r>
              <w:t xml:space="preserve">Total</w:t>
            </w:r>
          </w:p>
        </w:tc>
      </w:tr>
      <w:tr>
        <w:tc>
          <w:tcPr/>
          <w:p>
            <w:pPr>
              <w:pStyle w:val="Compact"/>
            </w:pPr>
            <w:r>
              <w:t xml:space="preserve">Month-to-month</w:t>
            </w:r>
          </w:p>
        </w:tc>
        <w:tc>
          <w:tcPr/>
          <w:p>
            <w:pPr>
              <w:pStyle w:val="Compact"/>
              <w:jc w:val="right"/>
            </w:pPr>
            <w:r>
              <w:t xml:space="preserve">295</w:t>
            </w:r>
          </w:p>
        </w:tc>
        <w:tc>
          <w:tcPr/>
          <w:p>
            <w:pPr>
              <w:pStyle w:val="Compact"/>
              <w:jc w:val="right"/>
            </w:pPr>
            <w:r>
              <w:t xml:space="preserve">744</w:t>
            </w:r>
          </w:p>
        </w:tc>
        <w:tc>
          <w:tcPr/>
          <w:p>
            <w:pPr>
              <w:pStyle w:val="Compact"/>
              <w:jc w:val="right"/>
            </w:pPr>
            <w:r>
              <w:t xml:space="preserve">444</w:t>
            </w:r>
          </w:p>
        </w:tc>
        <w:tc>
          <w:tcPr/>
          <w:p>
            <w:pPr>
              <w:pStyle w:val="Compact"/>
              <w:jc w:val="right"/>
            </w:pPr>
            <w:r>
              <w:t xml:space="preserve">172</w:t>
            </w:r>
          </w:p>
        </w:tc>
        <w:tc>
          <w:tcPr/>
          <w:p>
            <w:pPr>
              <w:pStyle w:val="Compact"/>
              <w:jc w:val="right"/>
            </w:pPr>
            <w:r>
              <w:t xml:space="preserve">1,655</w:t>
            </w:r>
          </w:p>
        </w:tc>
      </w:tr>
      <w:tr>
        <w:tc>
          <w:tcPr/>
          <w:p>
            <w:pPr>
              <w:pStyle w:val="Compact"/>
            </w:pPr>
            <w:r>
              <w:t xml:space="preserve">One year</w:t>
            </w:r>
          </w:p>
        </w:tc>
        <w:tc>
          <w:tcPr/>
          <w:p>
            <w:pPr>
              <w:pStyle w:val="Compact"/>
              <w:jc w:val="right"/>
            </w:pPr>
            <w:r>
              <w:t xml:space="preserve">19</w:t>
            </w:r>
          </w:p>
        </w:tc>
        <w:tc>
          <w:tcPr/>
          <w:p>
            <w:pPr>
              <w:pStyle w:val="Compact"/>
              <w:jc w:val="right"/>
            </w:pPr>
            <w:r>
              <w:t xml:space="preserve">44</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166</w:t>
            </w:r>
          </w:p>
        </w:tc>
      </w:tr>
      <w:tr>
        <w:tc>
          <w:tcPr/>
          <w:p>
            <w:pPr>
              <w:pStyle w:val="Compact"/>
            </w:pPr>
            <w:r>
              <w:t xml:space="preserve">Two year</w:t>
            </w:r>
          </w:p>
        </w:tc>
        <w:tc>
          <w:tcPr/>
          <w:p>
            <w:pPr>
              <w:pStyle w:val="Compact"/>
              <w:jc w:val="right"/>
            </w:pPr>
            <w:r>
              <w:t xml:space="preserve">5</w:t>
            </w:r>
          </w:p>
        </w:tc>
        <w:tc>
          <w:tcPr/>
          <w:p>
            <w:pPr>
              <w:pStyle w:val="Compact"/>
              <w:jc w:val="right"/>
            </w:pPr>
            <w:r>
              <w:t xml:space="preserve">7</w:t>
            </w:r>
          </w:p>
        </w:tc>
        <w:tc>
          <w:tcPr/>
          <w:p>
            <w:pPr>
              <w:pStyle w:val="Compact"/>
              <w:jc w:val="right"/>
            </w:pPr>
            <w:r>
              <w:t xml:space="preserve">31</w:t>
            </w:r>
          </w:p>
        </w:tc>
        <w:tc>
          <w:tcPr/>
          <w:p>
            <w:pPr>
              <w:pStyle w:val="Compact"/>
              <w:jc w:val="right"/>
            </w:pPr>
            <w:r>
              <w:t xml:space="preserve">5</w:t>
            </w:r>
          </w:p>
        </w:tc>
        <w:tc>
          <w:tcPr/>
          <w:p>
            <w:pPr>
              <w:pStyle w:val="Compact"/>
              <w:jc w:val="right"/>
            </w:pPr>
            <w:r>
              <w:t xml:space="preserve">48</w:t>
            </w:r>
          </w:p>
        </w:tc>
      </w:tr>
      <w:tr>
        <w:tc>
          <w:tcPr/>
          <w:p>
            <w:pPr>
              <w:pStyle w:val="Compact"/>
            </w:pPr>
            <w:r>
              <w:rPr>
                <w:b/>
                <w:bCs/>
              </w:rPr>
              <w:t xml:space="preserve">Total</w:t>
            </w:r>
          </w:p>
        </w:tc>
        <w:tc>
          <w:tcPr/>
          <w:p>
            <w:pPr>
              <w:pStyle w:val="Compact"/>
              <w:jc w:val="right"/>
            </w:pPr>
            <w:r>
              <w:rPr>
                <w:b/>
                <w:bCs/>
              </w:rPr>
              <w:t xml:space="preserve">319</w:t>
            </w:r>
          </w:p>
        </w:tc>
        <w:tc>
          <w:tcPr/>
          <w:p>
            <w:pPr>
              <w:pStyle w:val="Compact"/>
              <w:jc w:val="right"/>
            </w:pPr>
            <w:r>
              <w:rPr>
                <w:b/>
                <w:bCs/>
              </w:rPr>
              <w:t xml:space="preserve">795</w:t>
            </w:r>
          </w:p>
        </w:tc>
        <w:tc>
          <w:tcPr/>
          <w:p>
            <w:pPr>
              <w:pStyle w:val="Compact"/>
              <w:jc w:val="right"/>
            </w:pPr>
            <w:r>
              <w:rPr>
                <w:b/>
                <w:bCs/>
              </w:rPr>
              <w:t xml:space="preserve">568</w:t>
            </w:r>
          </w:p>
        </w:tc>
        <w:tc>
          <w:tcPr/>
          <w:p>
            <w:pPr>
              <w:pStyle w:val="Compact"/>
              <w:jc w:val="right"/>
            </w:pPr>
            <w:r>
              <w:rPr>
                <w:b/>
                <w:bCs/>
              </w:rPr>
              <w:t xml:space="preserve">187</w:t>
            </w:r>
          </w:p>
        </w:tc>
        <w:tc>
          <w:tcPr/>
          <w:p>
            <w:pPr>
              <w:pStyle w:val="Compact"/>
              <w:jc w:val="right"/>
            </w:pPr>
            <w:r>
              <w:rPr>
                <w:b/>
                <w:bCs/>
              </w:rPr>
              <w:t xml:space="preserve">1,869</w:t>
            </w:r>
          </w:p>
        </w:tc>
      </w:tr>
    </w:tbl>
    <w:bookmarkEnd w:id="24"/>
    <w:bookmarkStart w:id="25" w:name="percentages-within-each-contract-type"/>
    <w:p>
      <w:pPr>
        <w:pStyle w:val="Heading3"/>
      </w:pPr>
      <w:r>
        <w:t xml:space="preserve">Percentages within each contract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Contract Type</w:t>
            </w:r>
          </w:p>
        </w:tc>
        <w:tc>
          <w:tcPr/>
          <w:p>
            <w:pPr>
              <w:pStyle w:val="Compact"/>
              <w:jc w:val="right"/>
            </w:pPr>
            <w:r>
              <w:t xml:space="preserve">$30–$59.99</w:t>
            </w:r>
          </w:p>
        </w:tc>
        <w:tc>
          <w:tcPr/>
          <w:p>
            <w:pPr>
              <w:pStyle w:val="Compact"/>
              <w:jc w:val="right"/>
            </w:pPr>
            <w:r>
              <w:t xml:space="preserve">$60–$89.99</w:t>
            </w:r>
          </w:p>
        </w:tc>
        <w:tc>
          <w:tcPr/>
          <w:p>
            <w:pPr>
              <w:pStyle w:val="Compact"/>
              <w:jc w:val="right"/>
            </w:pPr>
            <w:r>
              <w:t xml:space="preserve">$90 and Above</w:t>
            </w:r>
          </w:p>
        </w:tc>
        <w:tc>
          <w:tcPr/>
          <w:p>
            <w:pPr>
              <w:pStyle w:val="Compact"/>
              <w:jc w:val="right"/>
            </w:pPr>
            <w:r>
              <w:t xml:space="preserve">Under $30</w:t>
            </w:r>
          </w:p>
        </w:tc>
      </w:tr>
      <w:tr>
        <w:tc>
          <w:tcPr/>
          <w:p>
            <w:pPr>
              <w:pStyle w:val="Compact"/>
            </w:pPr>
            <w:r>
              <w:t xml:space="preserve">Month-to-month</w:t>
            </w:r>
          </w:p>
        </w:tc>
        <w:tc>
          <w:tcPr/>
          <w:p>
            <w:pPr>
              <w:pStyle w:val="Compact"/>
              <w:jc w:val="right"/>
            </w:pPr>
            <w:r>
              <w:t xml:space="preserve">17.82%</w:t>
            </w:r>
          </w:p>
        </w:tc>
        <w:tc>
          <w:tcPr/>
          <w:p>
            <w:pPr>
              <w:pStyle w:val="Compact"/>
              <w:jc w:val="right"/>
            </w:pPr>
            <w:r>
              <w:t xml:space="preserve">44.95%</w:t>
            </w:r>
          </w:p>
        </w:tc>
        <w:tc>
          <w:tcPr/>
          <w:p>
            <w:pPr>
              <w:pStyle w:val="Compact"/>
              <w:jc w:val="right"/>
            </w:pPr>
            <w:r>
              <w:t xml:space="preserve">26.83%</w:t>
            </w:r>
          </w:p>
        </w:tc>
        <w:tc>
          <w:tcPr/>
          <w:p>
            <w:pPr>
              <w:pStyle w:val="Compact"/>
              <w:jc w:val="right"/>
            </w:pPr>
            <w:r>
              <w:t xml:space="preserve">10.39%</w:t>
            </w:r>
          </w:p>
        </w:tc>
      </w:tr>
      <w:tr>
        <w:tc>
          <w:tcPr/>
          <w:p>
            <w:pPr>
              <w:pStyle w:val="Compact"/>
            </w:pPr>
            <w:r>
              <w:t xml:space="preserve">One year</w:t>
            </w:r>
          </w:p>
        </w:tc>
        <w:tc>
          <w:tcPr/>
          <w:p>
            <w:pPr>
              <w:pStyle w:val="Compact"/>
              <w:jc w:val="right"/>
            </w:pPr>
            <w:r>
              <w:t xml:space="preserve">11.45%</w:t>
            </w:r>
          </w:p>
        </w:tc>
        <w:tc>
          <w:tcPr/>
          <w:p>
            <w:pPr>
              <w:pStyle w:val="Compact"/>
              <w:jc w:val="right"/>
            </w:pPr>
            <w:r>
              <w:t xml:space="preserve">26.51%</w:t>
            </w:r>
          </w:p>
        </w:tc>
        <w:tc>
          <w:tcPr/>
          <w:p>
            <w:pPr>
              <w:pStyle w:val="Compact"/>
              <w:jc w:val="right"/>
            </w:pPr>
            <w:r>
              <w:t xml:space="preserve">56.02%</w:t>
            </w:r>
          </w:p>
        </w:tc>
        <w:tc>
          <w:tcPr/>
          <w:p>
            <w:pPr>
              <w:pStyle w:val="Compact"/>
              <w:jc w:val="right"/>
            </w:pPr>
            <w:r>
              <w:t xml:space="preserve">6.02%</w:t>
            </w:r>
          </w:p>
        </w:tc>
      </w:tr>
      <w:tr>
        <w:tc>
          <w:tcPr/>
          <w:p>
            <w:pPr>
              <w:pStyle w:val="Compact"/>
            </w:pPr>
            <w:r>
              <w:t xml:space="preserve">Two year</w:t>
            </w:r>
          </w:p>
        </w:tc>
        <w:tc>
          <w:tcPr/>
          <w:p>
            <w:pPr>
              <w:pStyle w:val="Compact"/>
              <w:jc w:val="right"/>
            </w:pPr>
            <w:r>
              <w:t xml:space="preserve">10.42%</w:t>
            </w:r>
          </w:p>
        </w:tc>
        <w:tc>
          <w:tcPr/>
          <w:p>
            <w:pPr>
              <w:pStyle w:val="Compact"/>
              <w:jc w:val="right"/>
            </w:pPr>
            <w:r>
              <w:t xml:space="preserve">14.58%</w:t>
            </w:r>
          </w:p>
        </w:tc>
        <w:tc>
          <w:tcPr/>
          <w:p>
            <w:pPr>
              <w:pStyle w:val="Compact"/>
              <w:jc w:val="right"/>
            </w:pPr>
            <w:r>
              <w:t xml:space="preserve">64.58%</w:t>
            </w:r>
          </w:p>
        </w:tc>
        <w:tc>
          <w:tcPr/>
          <w:p>
            <w:pPr>
              <w:pStyle w:val="Compact"/>
              <w:jc w:val="right"/>
            </w:pPr>
            <w:r>
              <w:t xml:space="preserve">10.42%</w:t>
            </w:r>
          </w:p>
        </w:tc>
      </w:tr>
    </w:tbl>
    <w:bookmarkEnd w:id="25"/>
    <w:bookmarkStart w:id="26" w:name="key-finding-2"/>
    <w:p>
      <w:pPr>
        <w:pStyle w:val="Heading3"/>
      </w:pPr>
      <w:r>
        <w:t xml:space="preserve">Key finding</w:t>
      </w:r>
    </w:p>
    <w:p>
      <w:pPr>
        <w:pStyle w:val="FirstParagraph"/>
      </w:pPr>
      <w:r>
        <w:t xml:space="preserve">The $90-and-above group accounted for:</w:t>
      </w:r>
    </w:p>
    <w:p>
      <w:pPr>
        <w:pStyle w:val="Compact"/>
        <w:numPr>
          <w:ilvl w:val="0"/>
          <w:numId w:val="1004"/>
        </w:numPr>
      </w:pPr>
      <w:r>
        <w:t xml:space="preserve">26.83% of churned month-to-month customers.</w:t>
      </w:r>
    </w:p>
    <w:p>
      <w:pPr>
        <w:pStyle w:val="Compact"/>
        <w:numPr>
          <w:ilvl w:val="0"/>
          <w:numId w:val="1004"/>
        </w:numPr>
      </w:pPr>
      <w:r>
        <w:t xml:space="preserve">56.02% of churned one-year customers.</w:t>
      </w:r>
    </w:p>
    <w:p>
      <w:pPr>
        <w:pStyle w:val="Compact"/>
        <w:numPr>
          <w:ilvl w:val="0"/>
          <w:numId w:val="1004"/>
        </w:numPr>
      </w:pPr>
      <w:r>
        <w:t xml:space="preserve">64.58% of churned two-year customers.</w:t>
      </w:r>
    </w:p>
    <w:bookmarkEnd w:id="26"/>
    <w:bookmarkStart w:id="27" w:name="interpretation-1"/>
    <w:p>
      <w:pPr>
        <w:pStyle w:val="Heading3"/>
      </w:pPr>
      <w:r>
        <w:t xml:space="preserve">Interpretation</w:t>
      </w:r>
    </w:p>
    <w:p>
      <w:pPr>
        <w:pStyle w:val="FirstParagraph"/>
      </w:pPr>
      <w:r>
        <w:t xml:space="preserve">The highest monthly charge group accounted for a larger proportion of churned customers in the longer-contract groups.</w:t>
      </w:r>
    </w:p>
    <w:p>
      <w:pPr>
        <w:pStyle w:val="BodyText"/>
      </w:pPr>
      <w:r>
        <w:t xml:space="preserve">However, this analysis only describes the distribution of customers who churned. It does not establish the churn rate within each contract-and-charge combination because customers who stayed or joined were excluded.</w:t>
      </w:r>
    </w:p>
    <w:p>
      <w:pPr>
        <w:pStyle w:val="BodyText"/>
      </w:pPr>
      <w:r>
        <w:t xml:space="preserve">The analysis is therefore treated as a supporting distributional comparison, not proof that higher monthly charges cause more churn among customers on longer contracts.</w:t>
      </w:r>
    </w:p>
    <w:p>
      <w:r>
        <w:pict>
          <v:rect style="width:0;height:1.5pt" o:hralign="center" o:hrstd="t" o:hr="t"/>
        </w:pict>
      </w:r>
    </w:p>
    <w:bookmarkEnd w:id="27"/>
    <w:bookmarkEnd w:id="28"/>
    <w:bookmarkStart w:id="29" w:name="main-lessons-from-day-13"/>
    <w:p>
      <w:pPr>
        <w:pStyle w:val="Heading2"/>
      </w:pPr>
      <w:r>
        <w:t xml:space="preserve">7. Main Lessons from Day 13</w:t>
      </w:r>
    </w:p>
    <w:p>
      <w:pPr>
        <w:pStyle w:val="FirstParagraph"/>
      </w:pPr>
      <w:r>
        <w:t xml:space="preserve">Day 13 expanded the analysis beyond general customer characteristics and contract information to examine individual service features and recorded reasons for customer departure.</w:t>
      </w:r>
    </w:p>
    <w:p>
      <w:pPr>
        <w:pStyle w:val="BodyText"/>
      </w:pPr>
      <w:r>
        <w:t xml:space="preserve">The results highlighted:</w:t>
      </w:r>
    </w:p>
    <w:p>
      <w:pPr>
        <w:pStyle w:val="Compact"/>
        <w:numPr>
          <w:ilvl w:val="0"/>
          <w:numId w:val="1005"/>
        </w:numPr>
      </w:pPr>
      <w:r>
        <w:t xml:space="preserve">Large reported differences between the Yes and No categories for Online Security and Premium Tech Support.</w:t>
      </w:r>
    </w:p>
    <w:p>
      <w:pPr>
        <w:pStyle w:val="Compact"/>
        <w:numPr>
          <w:ilvl w:val="0"/>
          <w:numId w:val="1005"/>
        </w:numPr>
      </w:pPr>
      <w:r>
        <w:t xml:space="preserve">Competitor as the largest churn category.</w:t>
      </w:r>
    </w:p>
    <w:p>
      <w:pPr>
        <w:pStyle w:val="Compact"/>
        <w:numPr>
          <w:ilvl w:val="0"/>
          <w:numId w:val="1005"/>
        </w:numPr>
      </w:pPr>
      <w:r>
        <w:t xml:space="preserve">Better devices and better offers as the two most frequently reported churn reasons.</w:t>
      </w:r>
    </w:p>
    <w:p>
      <w:pPr>
        <w:pStyle w:val="Compact"/>
        <w:numPr>
          <w:ilvl w:val="0"/>
          <w:numId w:val="1005"/>
        </w:numPr>
      </w:pPr>
      <w:r>
        <w:t xml:space="preserve">Higher reported churn rates in the $60–$89.99 and $90-and-above monthly charge groups than in the Under-$30 group.</w:t>
      </w:r>
    </w:p>
    <w:p>
      <w:pPr>
        <w:pStyle w:val="Compact"/>
        <w:numPr>
          <w:ilvl w:val="0"/>
          <w:numId w:val="1005"/>
        </w:numPr>
      </w:pPr>
      <w:r>
        <w:t xml:space="preserve">Differences in monthly charge distributions among churned customers with different contract types.</w:t>
      </w:r>
    </w:p>
    <w:p>
      <w:pPr>
        <w:pStyle w:val="FirstParagraph"/>
      </w:pPr>
      <w:r>
        <w:t xml:space="preserve">The analysis also reinforced the importance of distinguishing between counts, churn rates, and percentage distributions.</w:t>
      </w:r>
    </w:p>
    <w:bookmarkEnd w:id="29"/>
    <w:bookmarkStart w:id="30" w:name="validation-required"/>
    <w:p>
      <w:pPr>
        <w:pStyle w:val="Heading2"/>
      </w:pPr>
      <w:r>
        <w:t xml:space="preserve">8. Validation Required</w:t>
      </w:r>
    </w:p>
    <w:p>
      <w:pPr>
        <w:pStyle w:val="FirstParagraph"/>
      </w:pPr>
      <w:r>
        <w:t xml:space="preserve">The reported figures remain provisional.</w:t>
      </w:r>
    </w:p>
    <w:p>
      <w:pPr>
        <w:pStyle w:val="BodyText"/>
      </w:pPr>
      <w:r>
        <w:t xml:space="preserve">The next validation step is to compare the results against the original dataset and verify:</w:t>
      </w:r>
    </w:p>
    <w:p>
      <w:pPr>
        <w:pStyle w:val="Compact"/>
        <w:numPr>
          <w:ilvl w:val="0"/>
          <w:numId w:val="1006"/>
        </w:numPr>
      </w:pPr>
      <w:r>
        <w:t xml:space="preserve">Service-related churn rates.</w:t>
      </w:r>
    </w:p>
    <w:p>
      <w:pPr>
        <w:pStyle w:val="Compact"/>
        <w:numPr>
          <w:ilvl w:val="0"/>
          <w:numId w:val="1006"/>
        </w:numPr>
      </w:pPr>
      <w:r>
        <w:t xml:space="preserve">The meaning of blank service entries.</w:t>
      </w:r>
    </w:p>
    <w:p>
      <w:pPr>
        <w:pStyle w:val="Compact"/>
        <w:numPr>
          <w:ilvl w:val="0"/>
          <w:numId w:val="1006"/>
        </w:numPr>
      </w:pPr>
      <w:r>
        <w:t xml:space="preserve">Churn-category and churn-reason counts.</w:t>
      </w:r>
    </w:p>
    <w:p>
      <w:pPr>
        <w:pStyle w:val="Compact"/>
        <w:numPr>
          <w:ilvl w:val="0"/>
          <w:numId w:val="1006"/>
        </w:numPr>
      </w:pPr>
      <w:r>
        <w:t xml:space="preserve">Monthly charge group calculations.</w:t>
      </w:r>
    </w:p>
    <w:p>
      <w:pPr>
        <w:pStyle w:val="Compact"/>
        <w:numPr>
          <w:ilvl w:val="0"/>
          <w:numId w:val="1006"/>
        </w:numPr>
      </w:pPr>
      <w:r>
        <w:t xml:space="preserve">The contract-versus-charge PivotTable.</w:t>
      </w:r>
    </w:p>
    <w:p>
      <w:pPr>
        <w:pStyle w:val="Compact"/>
        <w:numPr>
          <w:ilvl w:val="0"/>
          <w:numId w:val="1006"/>
        </w:numPr>
      </w:pPr>
      <w:r>
        <w:t xml:space="preserve">All relevant formulas and denominators.</w:t>
      </w:r>
    </w:p>
    <w:bookmarkEnd w:id="30"/>
    <w:bookmarkStart w:id="31" w:name="day-13-completion-status"/>
    <w:p>
      <w:pPr>
        <w:pStyle w:val="Heading2"/>
      </w:pPr>
      <w:r>
        <w:t xml:space="preserve">9. Day 13 Completion Status</w:t>
      </w:r>
    </w:p>
    <w:p>
      <w:pPr>
        <w:pStyle w:val="FirstParagraph"/>
      </w:pPr>
      <w:r>
        <w:rPr>
          <w:b/>
          <w:bCs/>
        </w:rPr>
        <w:t xml:space="preserve">Completed:</w:t>
      </w:r>
    </w:p>
    <w:p>
      <w:pPr>
        <w:pStyle w:val="Compact"/>
        <w:numPr>
          <w:ilvl w:val="0"/>
          <w:numId w:val="1007"/>
        </w:numPr>
      </w:pPr>
      <w:r>
        <w:t xml:space="preserve">Nine service-related churn comparisons.</w:t>
      </w:r>
    </w:p>
    <w:p>
      <w:pPr>
        <w:pStyle w:val="Compact"/>
        <w:numPr>
          <w:ilvl w:val="0"/>
          <w:numId w:val="1007"/>
        </w:numPr>
      </w:pPr>
      <w:r>
        <w:t xml:space="preserve">Churn Category analysis.</w:t>
      </w:r>
    </w:p>
    <w:p>
      <w:pPr>
        <w:pStyle w:val="Compact"/>
        <w:numPr>
          <w:ilvl w:val="0"/>
          <w:numId w:val="1007"/>
        </w:numPr>
      </w:pPr>
      <w:r>
        <w:t xml:space="preserve">Churn Reason analysis.</w:t>
      </w:r>
    </w:p>
    <w:p>
      <w:pPr>
        <w:pStyle w:val="Compact"/>
        <w:numPr>
          <w:ilvl w:val="0"/>
          <w:numId w:val="1007"/>
        </w:numPr>
      </w:pPr>
      <w:r>
        <w:t xml:space="preserve">Monthly Charge Group analysis.</w:t>
      </w:r>
    </w:p>
    <w:p>
      <w:pPr>
        <w:pStyle w:val="Compact"/>
        <w:numPr>
          <w:ilvl w:val="0"/>
          <w:numId w:val="1007"/>
        </w:numPr>
      </w:pPr>
      <w:r>
        <w:t xml:space="preserve">Contract Type versus Monthly Charge Group distribution.</w:t>
      </w:r>
    </w:p>
    <w:p>
      <w:pPr>
        <w:pStyle w:val="Compact"/>
        <w:numPr>
          <w:ilvl w:val="0"/>
          <w:numId w:val="1007"/>
        </w:numPr>
      </w:pPr>
      <w:r>
        <w:t xml:space="preserve">Interpretation of the main findings.</w:t>
      </w:r>
    </w:p>
    <w:p>
      <w:pPr>
        <w:pStyle w:val="Compact"/>
        <w:numPr>
          <w:ilvl w:val="0"/>
          <w:numId w:val="1007"/>
        </w:numPr>
      </w:pPr>
      <w:r>
        <w:t xml:space="preserve">Identification of validation requirements.</w:t>
      </w:r>
    </w:p>
    <w:p>
      <w:pPr>
        <w:pStyle w:val="FirstParagraph"/>
      </w:pPr>
      <w:r>
        <w:rPr>
          <w:b/>
          <w:bCs/>
        </w:rPr>
        <w:t xml:space="preserve">Next phase:</w:t>
      </w:r>
      <w:r>
        <w:t xml:space="preserve"> </w:t>
      </w:r>
      <w:r>
        <w:t xml:space="preserve">Validate the dataset and calculations, consolidate the final insights, and complete the project’s documentation and presentation materials.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