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39df2c2676f6fef1f0a1cf22c0ddb70e7e3f306"/>
    <w:p>
      <w:pPr>
        <w:pStyle w:val="Heading1"/>
      </w:pPr>
      <w:r>
        <w:t xml:space="preserve">Day 14/92: Finalising the Maven Telecom Customer Churn Dashboard</w:t>
      </w:r>
    </w:p>
    <w:bookmarkStart w:id="9" w:name="objective"/>
    <w:p>
      <w:pPr>
        <w:pStyle w:val="Heading2"/>
      </w:pPr>
      <w:r>
        <w:t xml:space="preserve">1. Objective</w:t>
      </w:r>
    </w:p>
    <w:p>
      <w:pPr>
        <w:pStyle w:val="FirstParagraph"/>
      </w:pPr>
      <w:r>
        <w:t xml:space="preserve">The objective of today’s session was to finalise the Excel dashboard for the Maven Telecom Customer Churn Analysis project, review its presentation and functionality, and prepare the project for documentation and publication.</w:t>
      </w:r>
    </w:p>
    <w:bookmarkEnd w:id="9"/>
    <w:bookmarkStart w:id="12" w:name="dashboard-layout-and-design"/>
    <w:p>
      <w:pPr>
        <w:pStyle w:val="Heading2"/>
      </w:pPr>
      <w:r>
        <w:t xml:space="preserve">2. Dashboard Layout and Design</w:t>
      </w:r>
    </w:p>
    <w:p>
      <w:pPr>
        <w:pStyle w:val="FirstParagraph"/>
      </w:pPr>
      <w:r>
        <w:t xml:space="preserve">The dashboard was organised within the existing</w:t>
      </w:r>
      <w:r>
        <w:t xml:space="preserve"> </w:t>
      </w:r>
      <w:r>
        <w:rPr>
          <w:rStyle w:val="VerbatimChar"/>
        </w:rPr>
        <w:t xml:space="preserve">02 Analysis</w:t>
      </w:r>
      <w:r>
        <w:t xml:space="preserve"> </w:t>
      </w:r>
      <w:r>
        <w:t xml:space="preserve">worksheet. Supporting PivotTables were moved to the right-hand side of the worksheet to create space for the dashboard’s visual components.</w:t>
      </w:r>
    </w:p>
    <w:p>
      <w:pPr>
        <w:pStyle w:val="BodyText"/>
      </w:pPr>
      <w:r>
        <w:t xml:space="preserve">A three-column layout was adopted for the six charts, arranged in two rows.</w:t>
      </w:r>
    </w:p>
    <w:bookmarkStart w:id="10" w:name="top-row"/>
    <w:p>
      <w:pPr>
        <w:pStyle w:val="Heading3"/>
      </w:pPr>
      <w:r>
        <w:t xml:space="preserve">Top Row</w:t>
      </w:r>
    </w:p>
    <w:p>
      <w:pPr>
        <w:pStyle w:val="Compact"/>
        <w:numPr>
          <w:ilvl w:val="0"/>
          <w:numId w:val="1001"/>
        </w:numPr>
      </w:pPr>
      <w:r>
        <w:t xml:space="preserve">Customer Status Distribution</w:t>
      </w:r>
    </w:p>
    <w:p>
      <w:pPr>
        <w:pStyle w:val="Compact"/>
        <w:numPr>
          <w:ilvl w:val="0"/>
          <w:numId w:val="1001"/>
        </w:numPr>
      </w:pPr>
      <w:r>
        <w:t xml:space="preserve">Churn Rate by Contract Type</w:t>
      </w:r>
    </w:p>
    <w:p>
      <w:pPr>
        <w:pStyle w:val="Compact"/>
        <w:numPr>
          <w:ilvl w:val="0"/>
          <w:numId w:val="1001"/>
        </w:numPr>
      </w:pPr>
      <w:r>
        <w:t xml:space="preserve">Distribution of Churned Customers by Internet Type</w:t>
      </w:r>
    </w:p>
    <w:bookmarkEnd w:id="10"/>
    <w:bookmarkStart w:id="11" w:name="bottom-row"/>
    <w:p>
      <w:pPr>
        <w:pStyle w:val="Heading3"/>
      </w:pPr>
      <w:r>
        <w:t xml:space="preserve">Bottom Row</w:t>
      </w:r>
    </w:p>
    <w:p>
      <w:pPr>
        <w:pStyle w:val="Compact"/>
        <w:numPr>
          <w:ilvl w:val="0"/>
          <w:numId w:val="1002"/>
        </w:numPr>
      </w:pPr>
      <w:r>
        <w:t xml:space="preserve">Churn Rate by Tenure Group</w:t>
      </w:r>
    </w:p>
    <w:p>
      <w:pPr>
        <w:pStyle w:val="Compact"/>
        <w:numPr>
          <w:ilvl w:val="0"/>
          <w:numId w:val="1002"/>
        </w:numPr>
      </w:pPr>
      <w:r>
        <w:t xml:space="preserve">Churn Rate by Age Group</w:t>
      </w:r>
    </w:p>
    <w:p>
      <w:pPr>
        <w:pStyle w:val="Compact"/>
        <w:numPr>
          <w:ilvl w:val="0"/>
          <w:numId w:val="1002"/>
        </w:numPr>
      </w:pPr>
      <w:r>
        <w:t xml:space="preserve">Churn Rate by Payment Method</w:t>
      </w:r>
    </w:p>
    <w:p>
      <w:pPr>
        <w:pStyle w:val="FirstParagraph"/>
      </w:pPr>
      <w:r>
        <w:t xml:space="preserve">The arrangement was designed to make the dashboard organised, visually balanced, and easier to interpret.</w:t>
      </w:r>
    </w:p>
    <w:bookmarkEnd w:id="11"/>
    <w:bookmarkEnd w:id="12"/>
    <w:bookmarkStart w:id="13" w:name="key-performance-indicator-kpi-cards"/>
    <w:p>
      <w:pPr>
        <w:pStyle w:val="Heading2"/>
      </w:pPr>
      <w:r>
        <w:t xml:space="preserve">3. Key Performance Indicator (KPI) Cards</w:t>
      </w:r>
    </w:p>
    <w:p>
      <w:pPr>
        <w:pStyle w:val="FirstParagraph"/>
      </w:pPr>
      <w:r>
        <w:t xml:space="preserve">Five KPI cards were created to provide a quick overview of the dataset and its major performance indicators.</w:t>
      </w:r>
    </w:p>
    <w:p>
      <w:pPr>
        <w:pStyle w:val="Compact"/>
        <w:numPr>
          <w:ilvl w:val="0"/>
          <w:numId w:val="1003"/>
        </w:numPr>
      </w:pPr>
      <w:r>
        <w:t xml:space="preserve">Total Customers: 7,043</w:t>
      </w:r>
    </w:p>
    <w:p>
      <w:pPr>
        <w:pStyle w:val="Compact"/>
        <w:numPr>
          <w:ilvl w:val="0"/>
          <w:numId w:val="1003"/>
        </w:numPr>
      </w:pPr>
      <w:r>
        <w:t xml:space="preserve">Churned Customers: 1,869</w:t>
      </w:r>
    </w:p>
    <w:p>
      <w:pPr>
        <w:pStyle w:val="Compact"/>
        <w:numPr>
          <w:ilvl w:val="0"/>
          <w:numId w:val="1003"/>
        </w:numPr>
      </w:pPr>
      <w:r>
        <w:t xml:space="preserve">Churn Rate: 26.54%</w:t>
      </w:r>
    </w:p>
    <w:p>
      <w:pPr>
        <w:pStyle w:val="Compact"/>
        <w:numPr>
          <w:ilvl w:val="0"/>
          <w:numId w:val="1003"/>
        </w:numPr>
      </w:pPr>
      <w:r>
        <w:t xml:space="preserve">Customers Who Stayed: 4,720</w:t>
      </w:r>
    </w:p>
    <w:p>
      <w:pPr>
        <w:pStyle w:val="Compact"/>
        <w:numPr>
          <w:ilvl w:val="0"/>
          <w:numId w:val="1003"/>
        </w:numPr>
      </w:pPr>
      <w:r>
        <w:t xml:space="preserve">Total Revenue: $21.37 million</w:t>
      </w:r>
    </w:p>
    <w:p>
      <w:pPr>
        <w:pStyle w:val="FirstParagraph"/>
      </w:pPr>
      <w:r>
        <w:t xml:space="preserve">Consistent formatting was applied to the KPI cards to maintain a uniform appearance across the dashboard.</w:t>
      </w:r>
    </w:p>
    <w:bookmarkEnd w:id="13"/>
    <w:bookmarkStart w:id="14" w:name="review-of-interactivity-and-slicers"/>
    <w:p>
      <w:pPr>
        <w:pStyle w:val="Heading2"/>
      </w:pPr>
      <w:r>
        <w:t xml:space="preserve">4. Review of Interactivity and Slicers</w:t>
      </w:r>
    </w:p>
    <w:p>
      <w:pPr>
        <w:pStyle w:val="FirstParagraph"/>
      </w:pPr>
      <w:r>
        <w:t xml:space="preserve">A Contract slicer was briefly inserted to explore additional dashboard filtering options. After reviewing its purpose and considering the existing chart functionality, the slicer was removed because it was not considered necessary for the current dashboard design.</w:t>
      </w:r>
    </w:p>
    <w:p>
      <w:pPr>
        <w:pStyle w:val="BodyText"/>
      </w:pPr>
      <w:r>
        <w:t xml:space="preserve">This decision prioritised simplicity and usability over adding controls that did not provide sufficient additional value.</w:t>
      </w:r>
    </w:p>
    <w:bookmarkEnd w:id="14"/>
    <w:bookmarkStart w:id="15" w:name="dashboard-quality-checks"/>
    <w:p>
      <w:pPr>
        <w:pStyle w:val="Heading2"/>
      </w:pPr>
      <w:r>
        <w:t xml:space="preserve">5. Dashboard Quality Checks</w:t>
      </w:r>
    </w:p>
    <w:p>
      <w:pPr>
        <w:pStyle w:val="FirstParagraph"/>
      </w:pPr>
      <w:r>
        <w:t xml:space="preserve">The dashboard was reviewed for the following:</w:t>
      </w:r>
    </w:p>
    <w:p>
      <w:pPr>
        <w:pStyle w:val="Compact"/>
        <w:numPr>
          <w:ilvl w:val="0"/>
          <w:numId w:val="1004"/>
        </w:numPr>
      </w:pPr>
      <w:r>
        <w:t xml:space="preserve">Overall visual appearance and arrangement.</w:t>
      </w:r>
    </w:p>
    <w:p>
      <w:pPr>
        <w:pStyle w:val="Compact"/>
        <w:numPr>
          <w:ilvl w:val="0"/>
          <w:numId w:val="1004"/>
        </w:numPr>
      </w:pPr>
      <w:r>
        <w:t xml:space="preserve">Placement of the KPI cards and charts.</w:t>
      </w:r>
    </w:p>
    <w:p>
      <w:pPr>
        <w:pStyle w:val="Compact"/>
        <w:numPr>
          <w:ilvl w:val="0"/>
          <w:numId w:val="1004"/>
        </w:numPr>
      </w:pPr>
      <w:r>
        <w:t xml:space="preserve">Readability of chart titles and displayed information.</w:t>
      </w:r>
    </w:p>
    <w:p>
      <w:pPr>
        <w:pStyle w:val="Compact"/>
        <w:numPr>
          <w:ilvl w:val="0"/>
          <w:numId w:val="1004"/>
        </w:numPr>
      </w:pPr>
      <w:r>
        <w:t xml:space="preserve">Functionality of the existing charts.</w:t>
      </w:r>
    </w:p>
    <w:p>
      <w:pPr>
        <w:pStyle w:val="Compact"/>
        <w:numPr>
          <w:ilvl w:val="0"/>
          <w:numId w:val="1004"/>
        </w:numPr>
      </w:pPr>
      <w:r>
        <w:t xml:space="preserve">Consistency of the dashboard’s presentation.</w:t>
      </w:r>
    </w:p>
    <w:p>
      <w:pPr>
        <w:pStyle w:val="FirstParagraph"/>
      </w:pPr>
      <w:r>
        <w:t xml:space="preserve">The dashboard appeared satisfactory, and the basic functionality checks performed during the session did not reveal any issues.</w:t>
      </w:r>
    </w:p>
    <w:bookmarkEnd w:id="15"/>
    <w:bookmarkStart w:id="16" w:name="outcome"/>
    <w:p>
      <w:pPr>
        <w:pStyle w:val="Heading2"/>
      </w:pPr>
      <w:r>
        <w:t xml:space="preserve">6. Outcome</w:t>
      </w:r>
    </w:p>
    <w:p>
      <w:pPr>
        <w:pStyle w:val="FirstParagraph"/>
      </w:pPr>
      <w:r>
        <w:t xml:space="preserve">The Excel dashboard was considered complete for the current stage of the project. The session also reinforced the importance of selecting appropriate visualisations, maintaining a clear layout, and avoiding unnecessary dashboard elements.</w:t>
      </w:r>
    </w:p>
    <w:bookmarkEnd w:id="16"/>
    <w:bookmarkStart w:id="17" w:name="next-steps"/>
    <w:p>
      <w:pPr>
        <w:pStyle w:val="Heading2"/>
      </w:pPr>
      <w:r>
        <w:t xml:space="preserve">7. Next Steps</w:t>
      </w:r>
    </w:p>
    <w:p>
      <w:pPr>
        <w:pStyle w:val="FirstParagraph"/>
      </w:pPr>
      <w:r>
        <w:t xml:space="preserve">The next stage involves consolidating the project’s documentation, recording the major analytical findings and business recommendations, preparing the final project files, and publishing the completed work on GitHub and LinkedIn.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