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ven-telecom-customer-churn-analysis"/>
    <w:p>
      <w:pPr>
        <w:pStyle w:val="Heading1"/>
      </w:pPr>
      <w:r>
        <w:t xml:space="preserve">Maven Telecom Customer Churn Analysis</w: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 Maven Telecom Customer Churn Analysis was undertaken as the second dataset project in the 92-Day Data Analysis Challenge.</w:t>
      </w:r>
    </w:p>
    <w:p>
      <w:pPr>
        <w:pStyle w:val="BodyText"/>
      </w:pPr>
      <w:r>
        <w:t xml:space="preserve">The project focused on analysing customer behaviour, identifying patterns associated with customer churn, examining customer characteristics and service preferences, and presenting the findings through an interactive Excel-based analytical environment.</w:t>
      </w:r>
    </w:p>
    <w:p>
      <w:pPr>
        <w:pStyle w:val="BodyText"/>
      </w:pPr>
      <w:r>
        <w:t xml:space="preserve">Microsoft Excel was used for data preparation, analysis, PivotTables, visualisation, KPI development, and dashboard creation.</w:t>
      </w:r>
    </w:p>
    <w:bookmarkEnd w:id="9"/>
    <w:bookmarkStart w:id="10" w:name="project-objectives"/>
    <w:p>
      <w:pPr>
        <w:pStyle w:val="Heading2"/>
      </w:pPr>
      <w:r>
        <w:t xml:space="preserve">2. Project Objectives</w:t>
      </w:r>
    </w:p>
    <w:p>
      <w:pPr>
        <w:pStyle w:val="FirstParagraph"/>
      </w:pPr>
      <w:r>
        <w:t xml:space="preserve">The main objectives were to:</w:t>
      </w:r>
    </w:p>
    <w:p>
      <w:pPr>
        <w:pStyle w:val="Compact"/>
        <w:numPr>
          <w:ilvl w:val="0"/>
          <w:numId w:val="1001"/>
        </w:numPr>
      </w:pPr>
      <w:r>
        <w:t xml:space="preserve">Examine the overall distribution of customers by status.</w:t>
      </w:r>
    </w:p>
    <w:p>
      <w:pPr>
        <w:pStyle w:val="Compact"/>
        <w:numPr>
          <w:ilvl w:val="0"/>
          <w:numId w:val="1001"/>
        </w:numPr>
      </w:pPr>
      <w:r>
        <w:t xml:space="preserve">Calculate the overall customer churn rate.</w:t>
      </w:r>
    </w:p>
    <w:p>
      <w:pPr>
        <w:pStyle w:val="Compact"/>
        <w:numPr>
          <w:ilvl w:val="0"/>
          <w:numId w:val="1001"/>
        </w:numPr>
      </w:pPr>
      <w:r>
        <w:t xml:space="preserve">Investigate how churn relates to contract type, tenure, age, and payment method.</w:t>
      </w:r>
    </w:p>
    <w:p>
      <w:pPr>
        <w:pStyle w:val="Compact"/>
        <w:numPr>
          <w:ilvl w:val="0"/>
          <w:numId w:val="1001"/>
        </w:numPr>
      </w:pPr>
      <w:r>
        <w:t xml:space="preserve">Examine the distribution of churned customers across internet service types.</w:t>
      </w:r>
    </w:p>
    <w:p>
      <w:pPr>
        <w:pStyle w:val="Compact"/>
        <w:numPr>
          <w:ilvl w:val="0"/>
          <w:numId w:val="1001"/>
        </w:numPr>
      </w:pPr>
      <w:r>
        <w:t xml:space="preserve">Compare selected financial indicators across customer status groups.</w:t>
      </w:r>
    </w:p>
    <w:p>
      <w:pPr>
        <w:pStyle w:val="Compact"/>
        <w:numPr>
          <w:ilvl w:val="0"/>
          <w:numId w:val="1001"/>
        </w:numPr>
      </w:pPr>
      <w:r>
        <w:t xml:space="preserve">Develop a dashboard that communicates the findings clearly.</w:t>
      </w:r>
    </w:p>
    <w:p>
      <w:pPr>
        <w:pStyle w:val="Compact"/>
        <w:numPr>
          <w:ilvl w:val="0"/>
          <w:numId w:val="1001"/>
        </w:numPr>
      </w:pPr>
      <w:r>
        <w:t xml:space="preserve">Identify practical recommendations that could help the business improve customer retention.</w:t>
      </w:r>
    </w:p>
    <w:bookmarkEnd w:id="10"/>
    <w:bookmarkStart w:id="11" w:name="data-preparation-and-organisation"/>
    <w:p>
      <w:pPr>
        <w:pStyle w:val="Heading2"/>
      </w:pPr>
      <w:r>
        <w:t xml:space="preserve">3. Data Preparation and Organisation</w:t>
      </w:r>
    </w:p>
    <w:p>
      <w:pPr>
        <w:pStyle w:val="FirstParagraph"/>
      </w:pPr>
      <w:r>
        <w:t xml:space="preserve">The dataset was imported into Excel and prepared for analysis.</w:t>
      </w:r>
    </w:p>
    <w:p>
      <w:pPr>
        <w:pStyle w:val="BodyText"/>
      </w:pPr>
      <w:r>
        <w:t xml:space="preserve">The preparation process involved reviewing the dataset’s structure, checking that numerical fields were represented appropriately, and organising the data for further calculations and analysis.</w:t>
      </w:r>
    </w:p>
    <w:p>
      <w:pPr>
        <w:pStyle w:val="BodyText"/>
      </w:pPr>
      <w:r>
        <w:t xml:space="preserve">The working dataset was structured as an Excel table named</w:t>
      </w:r>
      <w:r>
        <w:t xml:space="preserve"> </w:t>
      </w:r>
      <w:r>
        <w:rPr>
          <w:rStyle w:val="VerbatimChar"/>
        </w:rPr>
        <w:t xml:space="preserve">tbl_Churn</w:t>
      </w:r>
      <w:r>
        <w:t xml:space="preserve">.</w:t>
      </w:r>
    </w:p>
    <w:p>
      <w:pPr>
        <w:pStyle w:val="BodyText"/>
      </w:pPr>
      <w:r>
        <w:t xml:space="preserve">The dataset contained customer demographic information, tenure, service subscriptions, contract arrangements, payment methods, financial measures, customer status, and churn-related information.</w:t>
      </w:r>
    </w:p>
    <w:p>
      <w:pPr>
        <w:pStyle w:val="BodyText"/>
      </w:pPr>
      <w:r>
        <w:t xml:space="preserve">A tenure grouping field was used to classify customers into broader tenure categories for comparison.</w:t>
      </w:r>
    </w:p>
    <w:p>
      <w:pPr>
        <w:pStyle w:val="BodyText"/>
      </w:pPr>
      <w:r>
        <w:t xml:space="preserve">A churn flag was also created using the following formula:</w:t>
      </w:r>
    </w:p>
    <w:p>
      <w:pPr>
        <w:pStyle w:val="BodyText"/>
      </w:pPr>
      <w:r>
        <w:rPr>
          <w:rStyle w:val="VerbatimChar"/>
        </w:rPr>
        <w:t xml:space="preserve">=IF(AJ2="Churned",1,0)</w:t>
      </w:r>
    </w:p>
    <w:p>
      <w:pPr>
        <w:pStyle w:val="BodyText"/>
      </w:pPr>
      <w:r>
        <w:t xml:space="preserve">The formula assigns a value of 1 to churned customers and 0 to customers with other statuses. This enabled churn rates to be calculated using the average of the churn flag in PivotTables.</w:t>
      </w:r>
    </w:p>
    <w:bookmarkEnd w:id="11"/>
    <w:bookmarkStart w:id="12" w:name="overall-customer-status-analysis"/>
    <w:p>
      <w:pPr>
        <w:pStyle w:val="Heading2"/>
      </w:pPr>
      <w:r>
        <w:t xml:space="preserve">4. Overall Customer Status Analysis</w:t>
      </w:r>
    </w:p>
    <w:p>
      <w:pPr>
        <w:pStyle w:val="FirstParagraph"/>
      </w:pPr>
      <w:r>
        <w:t xml:space="preserve">The dataset contained 7,043 customers, distributed across three customer-status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 of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7,043</w:t>
            </w:r>
          </w:p>
        </w:tc>
      </w:tr>
    </w:tbl>
    <w:p>
      <w:pPr>
        <w:pStyle w:val="BodyText"/>
      </w:pPr>
      <w:r>
        <w:t xml:space="preserve">The overall churn rate was approximately 26.54%.</w:t>
      </w:r>
    </w:p>
    <w:p>
      <w:pPr>
        <w:pStyle w:val="BodyText"/>
      </w:pPr>
      <w:r>
        <w:t xml:space="preserve">This means that approximately 27 out of every 100 customers in the dataset were classified as churned.</w:t>
      </w:r>
    </w:p>
    <w:p>
      <w:pPr>
        <w:pStyle w:val="BodyText"/>
      </w:pPr>
      <w:r>
        <w:t xml:space="preserve">The number of customers who stayed was considerably higher than the number who churned. Nevertheless, the churn rate indicates that customer retention deserves attention.</w:t>
      </w:r>
    </w:p>
    <w:bookmarkEnd w:id="12"/>
    <w:bookmarkStart w:id="13" w:name="tenure-and-customer-churn"/>
    <w:p>
      <w:pPr>
        <w:pStyle w:val="Heading2"/>
      </w:pPr>
      <w:r>
        <w:t xml:space="preserve">5. Tenure and Customer Churn</w:t>
      </w:r>
    </w:p>
    <w:p>
      <w:pPr>
        <w:pStyle w:val="FirstParagraph"/>
      </w:pPr>
      <w:r>
        <w:t xml:space="preserve">Customer tenure was examined to understand how churn patterns differed across customer relationship durations.</w:t>
      </w:r>
    </w:p>
    <w:p>
      <w:pPr>
        <w:pStyle w:val="BodyText"/>
      </w:pPr>
      <w:r>
        <w:t xml:space="preserve">The tenure analysis produced the following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Tenure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Joined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0–12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13–24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25–48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49–72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2,239</w:t>
            </w:r>
          </w:p>
        </w:tc>
      </w:tr>
    </w:tbl>
    <w:p>
      <w:pPr>
        <w:pStyle w:val="BodyText"/>
      </w:pPr>
      <w:r>
        <w:t xml:space="preserve">The highest number of churned customers fell within the first 12 months of tenure.</w:t>
      </w:r>
    </w:p>
    <w:p>
      <w:pPr>
        <w:pStyle w:val="BodyText"/>
      </w:pPr>
      <w:r>
        <w:t xml:space="preserve">The number of churned customers was lower in the longer-tenure groups, while the 49–72-month group had the largest number of customers who stayed.</w:t>
      </w:r>
    </w:p>
    <w:p>
      <w:pPr>
        <w:pStyle w:val="BodyText"/>
      </w:pPr>
      <w:r>
        <w:t xml:space="preserve">These findings suggest that the early customer relationship period deserves particular attention when designing retention initiatives.</w:t>
      </w:r>
    </w:p>
    <w:bookmarkEnd w:id="13"/>
    <w:bookmarkStart w:id="16" w:name="customer-demographics-and-churn"/>
    <w:p>
      <w:pPr>
        <w:pStyle w:val="Heading2"/>
      </w:pPr>
      <w:r>
        <w:t xml:space="preserve">6. Customer Demographics and Churn</w:t>
      </w:r>
    </w:p>
    <w:bookmarkStart w:id="14" w:name="gender"/>
    <w:p>
      <w:pPr>
        <w:pStyle w:val="Heading3"/>
      </w:pPr>
      <w:r>
        <w:t xml:space="preserve">Gender</w:t>
      </w:r>
    </w:p>
    <w:p>
      <w:pPr>
        <w:pStyle w:val="FirstParagraph"/>
      </w:pPr>
      <w:r>
        <w:t xml:space="preserve">The analysis showed the following churn rates:</w:t>
      </w:r>
    </w:p>
    <w:p>
      <w:pPr>
        <w:pStyle w:val="Compact"/>
        <w:numPr>
          <w:ilvl w:val="0"/>
          <w:numId w:val="1002"/>
        </w:numPr>
      </w:pPr>
      <w:r>
        <w:t xml:space="preserve">Female customers: approximately 26.90%.</w:t>
      </w:r>
    </w:p>
    <w:p>
      <w:pPr>
        <w:pStyle w:val="Compact"/>
        <w:numPr>
          <w:ilvl w:val="0"/>
          <w:numId w:val="1002"/>
        </w:numPr>
      </w:pPr>
      <w:r>
        <w:t xml:space="preserve">Male customers: approximately 26.16%.</w:t>
      </w:r>
    </w:p>
    <w:p>
      <w:pPr>
        <w:pStyle w:val="FirstParagraph"/>
      </w:pPr>
      <w:r>
        <w:t xml:space="preserve">The difference between the two rates was relatively small. Gender alone therefore did not reveal a substantial difference in churn behaviour in this dataset.</w:t>
      </w:r>
    </w:p>
    <w:bookmarkEnd w:id="14"/>
    <w:bookmarkStart w:id="15" w:name="age-group"/>
    <w:p>
      <w:pPr>
        <w:pStyle w:val="Heading3"/>
      </w:pPr>
      <w:r>
        <w:t xml:space="preserve">Age Group</w:t>
      </w:r>
    </w:p>
    <w:p>
      <w:pPr>
        <w:pStyle w:val="FirstParagraph"/>
      </w:pPr>
      <w:r>
        <w:t xml:space="preserve">Customers were grouped into five age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19–29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60–80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35.41%</w:t>
            </w:r>
          </w:p>
        </w:tc>
      </w:tr>
    </w:tbl>
    <w:p>
      <w:pPr>
        <w:pStyle w:val="BodyText"/>
      </w:pPr>
      <w:r>
        <w:t xml:space="preserve">The 60–80 age group recorded the highest churn rate at approximately 35.41%.</w:t>
      </w:r>
    </w:p>
    <w:p>
      <w:pPr>
        <w:pStyle w:val="BodyText"/>
      </w:pPr>
      <w:r>
        <w:t xml:space="preserve">By comparison, the 19–29 age group had the lowest churn rate at approximately 21.70%.</w:t>
      </w:r>
    </w:p>
    <w:p>
      <w:pPr>
        <w:pStyle w:val="BodyText"/>
      </w:pPr>
      <w:r>
        <w:t xml:space="preserve">This suggests that the older customer segment may warrant further investigation to understand the factors influencing its higher churn rate.</w:t>
      </w:r>
    </w:p>
    <w:p>
      <w:pPr>
        <w:pStyle w:val="BodyText"/>
      </w:pPr>
      <w:r>
        <w:t xml:space="preserve">The findings identify an association and do not, by themselves, establish why the difference exists.</w:t>
      </w:r>
    </w:p>
    <w:bookmarkEnd w:id="15"/>
    <w:bookmarkEnd w:id="16"/>
    <w:bookmarkStart w:id="17" w:name="contract-type-and-customer-churn"/>
    <w:p>
      <w:pPr>
        <w:pStyle w:val="Heading2"/>
      </w:pPr>
      <w:r>
        <w:t xml:space="preserve">7. Contract Type and Customer Churn</w:t>
      </w:r>
    </w:p>
    <w:p>
      <w:pPr>
        <w:pStyle w:val="FirstParagraph"/>
      </w:pPr>
      <w:r>
        <w:t xml:space="preserve">Churn was analysed across the available contract categories.</w:t>
      </w:r>
    </w:p>
    <w:p>
      <w:pPr>
        <w:pStyle w:val="BodyText"/>
      </w:pPr>
      <w:r>
        <w:t xml:space="preserve">A PivotTable and chart were created to compare churn rates by contract type.</w:t>
      </w:r>
    </w:p>
    <w:p>
      <w:pPr>
        <w:pStyle w:val="BodyText"/>
      </w:pPr>
      <w:r>
        <w:t xml:space="preserve">This analysis was included to help identify whether customers with different contractual arrangements exhibited different churn patterns.</w:t>
      </w:r>
    </w:p>
    <w:p>
      <w:pPr>
        <w:pStyle w:val="BodyText"/>
      </w:pPr>
      <w:r>
        <w:t xml:space="preserve">The resulting visualisation formed part of the final dashboard.</w:t>
      </w:r>
    </w:p>
    <w:p>
      <w:pPr>
        <w:pStyle w:val="BodyText"/>
      </w:pPr>
      <w:r>
        <w:t xml:space="preserve">Specific contract-level rates should be taken directly from the completed PivotTable when reporting numerical findings.</w:t>
      </w:r>
    </w:p>
    <w:bookmarkEnd w:id="17"/>
    <w:bookmarkStart w:id="18" w:name="payment-method-and-customer-churn"/>
    <w:p>
      <w:pPr>
        <w:pStyle w:val="Heading2"/>
      </w:pPr>
      <w:r>
        <w:t xml:space="preserve">8. Payment Method and Customer Churn</w:t>
      </w:r>
    </w:p>
    <w:p>
      <w:pPr>
        <w:pStyle w:val="FirstParagraph"/>
      </w:pPr>
      <w:r>
        <w:t xml:space="preserve">Payment methods were compared using churn rates.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Payment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Mailed 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Withdrawal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14.48%</w:t>
            </w:r>
          </w:p>
        </w:tc>
      </w:tr>
    </w:tbl>
    <w:p>
      <w:pPr>
        <w:pStyle w:val="BodyText"/>
      </w:pPr>
      <w:r>
        <w:t xml:space="preserve">Customers paying by mailed check had the highest churn rate among the three payment methods, followed by those using bank withdrawal.</w:t>
      </w:r>
    </w:p>
    <w:p>
      <w:pPr>
        <w:pStyle w:val="BodyText"/>
      </w:pPr>
      <w:r>
        <w:t xml:space="preserve">Customers paying by credit card recorded a considerably lower churn rate.</w:t>
      </w:r>
    </w:p>
    <w:p>
      <w:pPr>
        <w:pStyle w:val="BodyText"/>
      </w:pPr>
      <w:r>
        <w:t xml:space="preserve">These differences could help guide further investigation into customer experience, payment convenience, and service satisfaction. However, the payment method alone does not establish the cause of churn.</w:t>
      </w:r>
    </w:p>
    <w:bookmarkEnd w:id="18"/>
    <w:bookmarkStart w:id="19" w:name="X3a229f5e0bad168bc3d2b72b77ca632ad4bd9db"/>
    <w:p>
      <w:pPr>
        <w:pStyle w:val="Heading2"/>
      </w:pPr>
      <w:r>
        <w:t xml:space="preserve">9. Internet Service Type Among Churned Customers</w:t>
      </w:r>
    </w:p>
    <w:p>
      <w:pPr>
        <w:pStyle w:val="FirstParagraph"/>
      </w:pPr>
      <w:r>
        <w:t xml:space="preserve">The distribution of churned customers across internet service types was examined using a pie chart.</w:t>
      </w:r>
    </w:p>
    <w:p>
      <w:pPr>
        <w:pStyle w:val="BodyText"/>
      </w:pPr>
      <w:r>
        <w:t xml:space="preserve">The results were: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Internet Service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of Churned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 Optic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Blank/Unspecified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6.04%</w:t>
            </w:r>
          </w:p>
        </w:tc>
      </w:tr>
    </w:tbl>
    <w:p>
      <w:pPr>
        <w:pStyle w:val="BodyText"/>
      </w:pPr>
      <w:r>
        <w:t xml:space="preserve">Fiber optic customers represented the largest share of churned customers.</w:t>
      </w:r>
    </w:p>
    <w:p>
      <w:pPr>
        <w:pStyle w:val="BodyText"/>
      </w:pPr>
      <w:r>
        <w:t xml:space="preserve">Importantly, these percentages describe the composition of the churned-customer group, not the churn rate within each internet service category.</w:t>
      </w:r>
    </w:p>
    <w:p>
      <w:pPr>
        <w:pStyle w:val="BodyText"/>
      </w:pPr>
      <w:r>
        <w:t xml:space="preserve">To determine whether fiber optic customers were more likely to churn than customers using other service types, the churn rate for each internet service category would need to be calculated separately.</w:t>
      </w:r>
    </w:p>
    <w:bookmarkEnd w:id="19"/>
    <w:bookmarkStart w:id="23" w:name="financial-analysis"/>
    <w:p>
      <w:pPr>
        <w:pStyle w:val="Heading2"/>
      </w:pPr>
      <w:r>
        <w:t xml:space="preserve">10. Financial Analysis</w:t>
      </w:r>
    </w:p>
    <w:p>
      <w:pPr>
        <w:pStyle w:val="FirstParagraph"/>
      </w:pPr>
      <w:r>
        <w:t xml:space="preserve">Financial indicators were examined across customer status groups to explore differences in customer charges and revenue.</w:t>
      </w:r>
    </w:p>
    <w:bookmarkStart w:id="20" w:name="average-monthly-charge"/>
    <w:p>
      <w:pPr>
        <w:pStyle w:val="Heading3"/>
      </w:pPr>
      <w:r>
        <w:t xml:space="preserve">Average Monthly Charge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 Monthly 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$73.35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$61.74</w:t>
            </w:r>
          </w:p>
        </w:tc>
      </w:tr>
    </w:tbl>
    <w:p>
      <w:pPr>
        <w:pStyle w:val="BodyText"/>
      </w:pPr>
      <w:r>
        <w:t xml:space="preserve">Churned customers had a higher average monthly charge than customers who stayed.</w:t>
      </w:r>
    </w:p>
    <w:p>
      <w:pPr>
        <w:pStyle w:val="BodyText"/>
      </w:pPr>
      <w:r>
        <w:t xml:space="preserve">This observation suggests that pricing, perceived value, or service needs may warrant further investigation. The figures alone do not establish that higher charges caused churn.</w:t>
      </w:r>
    </w:p>
    <w:bookmarkEnd w:id="20"/>
    <w:bookmarkStart w:id="21" w:name="average-total-charges"/>
    <w:p>
      <w:pPr>
        <w:pStyle w:val="Heading3"/>
      </w:pPr>
      <w:r>
        <w:t xml:space="preserve">Average Total Charges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 Total Charges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$1,531.80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$2,788.52</w:t>
            </w:r>
          </w:p>
        </w:tc>
      </w:tr>
    </w:tbl>
    <w:p>
      <w:pPr>
        <w:pStyle w:val="BodyText"/>
      </w:pPr>
      <w:r>
        <w:t xml:space="preserve">Customers who stayed had higher average accumulated charges than churned customers.</w:t>
      </w:r>
    </w:p>
    <w:p>
      <w:pPr>
        <w:pStyle w:val="BodyText"/>
      </w:pPr>
      <w:r>
        <w:t xml:space="preserve">This difference is consistent with the fact that customers who remain with a service for longer periods have more opportunities to accumulate charges.</w:t>
      </w:r>
    </w:p>
    <w:bookmarkEnd w:id="21"/>
    <w:bookmarkStart w:id="22" w:name="average-total-revenue"/>
    <w:p>
      <w:pPr>
        <w:pStyle w:val="Heading3"/>
      </w:pPr>
      <w:r>
        <w:t xml:space="preserve">Average Total Revenue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 Total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$1,971.35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$119.56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$3,735.68</w:t>
            </w:r>
          </w:p>
        </w:tc>
      </w:tr>
    </w:tbl>
    <w:p>
      <w:pPr>
        <w:pStyle w:val="BodyText"/>
      </w:pPr>
      <w:r>
        <w:t xml:space="preserve">The average total revenue was highest among customers who stayed.</w:t>
      </w:r>
    </w:p>
    <w:p>
      <w:pPr>
        <w:pStyle w:val="BodyText"/>
      </w:pPr>
      <w:r>
        <w:t xml:space="preserve">The total revenue recorded in the dataset was approximately $21.37 million.</w:t>
      </w:r>
    </w:p>
    <w:p>
      <w:pPr>
        <w:pStyle w:val="BodyText"/>
      </w:pPr>
      <w:r>
        <w:t xml:space="preserve">The dataset’s revenue definition was:</w:t>
      </w:r>
    </w:p>
    <w:p>
      <w:pPr>
        <w:pStyle w:val="BodyText"/>
      </w:pPr>
      <w:r>
        <w:t xml:space="preserve">Total Revenue = Total Charges − Total Refunds + Total Extra Data Charges + Total Long Distance Charges.</w:t>
      </w:r>
    </w:p>
    <w:p>
      <w:pPr>
        <w:pStyle w:val="BodyText"/>
      </w:pPr>
      <w:r>
        <w:t xml:space="preserve">These financial comparisons provide useful context, but they should be interpreted alongside customer tenure and other relevant characteristics.</w:t>
      </w:r>
    </w:p>
    <w:bookmarkEnd w:id="22"/>
    <w:bookmarkEnd w:id="23"/>
    <w:bookmarkStart w:id="24" w:name="dashboard-development"/>
    <w:p>
      <w:pPr>
        <w:pStyle w:val="Heading2"/>
      </w:pPr>
      <w:r>
        <w:t xml:space="preserve">11. Dashboard Development</w:t>
      </w:r>
    </w:p>
    <w:p>
      <w:pPr>
        <w:pStyle w:val="FirstParagraph"/>
      </w:pPr>
      <w:r>
        <w:t xml:space="preserve">The findings were brought together in an Excel dashboard within the</w:t>
      </w:r>
      <w:r>
        <w:t xml:space="preserve"> </w:t>
      </w:r>
      <w:r>
        <w:rPr>
          <w:rStyle w:val="VerbatimChar"/>
        </w:rPr>
        <w:t xml:space="preserve">02 Analysis</w:t>
      </w:r>
      <w:r>
        <w:t xml:space="preserve"> </w:t>
      </w:r>
      <w:r>
        <w:t xml:space="preserve">worksheet.</w:t>
      </w:r>
    </w:p>
    <w:p>
      <w:pPr>
        <w:pStyle w:val="BodyText"/>
      </w:pPr>
      <w:r>
        <w:t xml:space="preserve">Five KPI cards were created:</w:t>
      </w:r>
    </w:p>
    <w:p>
      <w:pPr>
        <w:pStyle w:val="Compact"/>
        <w:numPr>
          <w:ilvl w:val="0"/>
          <w:numId w:val="1003"/>
        </w:numPr>
      </w:pPr>
      <w:r>
        <w:t xml:space="preserve">Total Customers: 7,043.</w:t>
      </w:r>
    </w:p>
    <w:p>
      <w:pPr>
        <w:pStyle w:val="Compact"/>
        <w:numPr>
          <w:ilvl w:val="0"/>
          <w:numId w:val="1003"/>
        </w:numPr>
      </w:pPr>
      <w:r>
        <w:t xml:space="preserve">Churned Customers: 1,869.</w:t>
      </w:r>
    </w:p>
    <w:p>
      <w:pPr>
        <w:pStyle w:val="Compact"/>
        <w:numPr>
          <w:ilvl w:val="0"/>
          <w:numId w:val="1003"/>
        </w:numPr>
      </w:pPr>
      <w:r>
        <w:t xml:space="preserve">Churn Rate: 26.54%.</w:t>
      </w:r>
    </w:p>
    <w:p>
      <w:pPr>
        <w:pStyle w:val="Compact"/>
        <w:numPr>
          <w:ilvl w:val="0"/>
          <w:numId w:val="1003"/>
        </w:numPr>
      </w:pPr>
      <w:r>
        <w:t xml:space="preserve">Customers Who Stayed: 4,720.</w:t>
      </w:r>
    </w:p>
    <w:p>
      <w:pPr>
        <w:pStyle w:val="Compact"/>
        <w:numPr>
          <w:ilvl w:val="0"/>
          <w:numId w:val="1003"/>
        </w:numPr>
      </w:pPr>
      <w:r>
        <w:t xml:space="preserve">Total Revenue: $21.37 million.</w:t>
      </w:r>
    </w:p>
    <w:p>
      <w:pPr>
        <w:pStyle w:val="FirstParagraph"/>
      </w:pPr>
      <w:r>
        <w:t xml:space="preserve">Six charts were incorporated:</w:t>
      </w:r>
    </w:p>
    <w:p>
      <w:pPr>
        <w:pStyle w:val="Compact"/>
        <w:numPr>
          <w:ilvl w:val="0"/>
          <w:numId w:val="1004"/>
        </w:numPr>
      </w:pPr>
      <w:r>
        <w:t xml:space="preserve">Customer Status Distribution.</w:t>
      </w:r>
    </w:p>
    <w:p>
      <w:pPr>
        <w:pStyle w:val="Compact"/>
        <w:numPr>
          <w:ilvl w:val="0"/>
          <w:numId w:val="1004"/>
        </w:numPr>
      </w:pPr>
      <w:r>
        <w:t xml:space="preserve">Churn Rate by Contract Type.</w:t>
      </w:r>
    </w:p>
    <w:p>
      <w:pPr>
        <w:pStyle w:val="Compact"/>
        <w:numPr>
          <w:ilvl w:val="0"/>
          <w:numId w:val="1004"/>
        </w:numPr>
      </w:pPr>
      <w:r>
        <w:t xml:space="preserve">Distribution of Churned Customers by Internet Type.</w:t>
      </w:r>
    </w:p>
    <w:p>
      <w:pPr>
        <w:pStyle w:val="Compact"/>
        <w:numPr>
          <w:ilvl w:val="0"/>
          <w:numId w:val="1004"/>
        </w:numPr>
      </w:pPr>
      <w:r>
        <w:t xml:space="preserve">Churn Rate by Tenure Group.</w:t>
      </w:r>
    </w:p>
    <w:p>
      <w:pPr>
        <w:pStyle w:val="Compact"/>
        <w:numPr>
          <w:ilvl w:val="0"/>
          <w:numId w:val="1004"/>
        </w:numPr>
      </w:pPr>
      <w:r>
        <w:t xml:space="preserve">Churn Rate by Age Group.</w:t>
      </w:r>
    </w:p>
    <w:p>
      <w:pPr>
        <w:pStyle w:val="Compact"/>
        <w:numPr>
          <w:ilvl w:val="0"/>
          <w:numId w:val="1004"/>
        </w:numPr>
      </w:pPr>
      <w:r>
        <w:t xml:space="preserve">Churn Rate by Payment Method.</w:t>
      </w:r>
    </w:p>
    <w:p>
      <w:pPr>
        <w:pStyle w:val="FirstParagraph"/>
      </w:pPr>
      <w:r>
        <w:t xml:space="preserve">The supporting PivotTables were positioned away from the main dashboard area to improve the presentation.</w:t>
      </w:r>
    </w:p>
    <w:p>
      <w:pPr>
        <w:pStyle w:val="BodyText"/>
      </w:pPr>
      <w:r>
        <w:t xml:space="preserve">A slicer was tested but ultimately removed because it was not considered necessary for the current design.</w:t>
      </w:r>
    </w:p>
    <w:p>
      <w:pPr>
        <w:pStyle w:val="BodyText"/>
      </w:pPr>
      <w:r>
        <w:t xml:space="preserve">The final dashboard prioritised clear presentation, useful comparisons, and consistency across its visual components.</w:t>
      </w:r>
    </w:p>
    <w:bookmarkEnd w:id="24"/>
    <w:bookmarkStart w:id="25" w:name="key-findings"/>
    <w:p>
      <w:pPr>
        <w:pStyle w:val="Heading2"/>
      </w:pPr>
      <w:r>
        <w:t xml:space="preserve">12. Key Findings</w:t>
      </w:r>
    </w:p>
    <w:p>
      <w:pPr>
        <w:pStyle w:val="FirstParagraph"/>
      </w:pPr>
      <w:r>
        <w:t xml:space="preserve">The main findings from the analysis were:</w:t>
      </w:r>
    </w:p>
    <w:p>
      <w:pPr>
        <w:pStyle w:val="Compact"/>
        <w:numPr>
          <w:ilvl w:val="0"/>
          <w:numId w:val="1005"/>
        </w:numPr>
      </w:pPr>
      <w:r>
        <w:t xml:space="preserve">The overall churn rate was approximately 26.54%.</w:t>
      </w:r>
    </w:p>
    <w:p>
      <w:pPr>
        <w:pStyle w:val="Compact"/>
        <w:numPr>
          <w:ilvl w:val="0"/>
          <w:numId w:val="1005"/>
        </w:numPr>
      </w:pPr>
      <w:r>
        <w:t xml:space="preserve">The first 12 months of tenure accounted for the largest number of churned customers.</w:t>
      </w:r>
    </w:p>
    <w:p>
      <w:pPr>
        <w:pStyle w:val="Compact"/>
        <w:numPr>
          <w:ilvl w:val="0"/>
          <w:numId w:val="1005"/>
        </w:numPr>
      </w:pPr>
      <w:r>
        <w:t xml:space="preserve">Customers aged 60–80 recorded the highest churn rate among the age groups examined.</w:t>
      </w:r>
    </w:p>
    <w:p>
      <w:pPr>
        <w:pStyle w:val="Compact"/>
        <w:numPr>
          <w:ilvl w:val="0"/>
          <w:numId w:val="1005"/>
        </w:numPr>
      </w:pPr>
      <w:r>
        <w:t xml:space="preserve">Customers paying by mailed check recorded the highest churn rate among the three payment methods.</w:t>
      </w:r>
    </w:p>
    <w:p>
      <w:pPr>
        <w:pStyle w:val="Compact"/>
        <w:numPr>
          <w:ilvl w:val="0"/>
          <w:numId w:val="1005"/>
        </w:numPr>
      </w:pPr>
      <w:r>
        <w:t xml:space="preserve">Credit card users recorded a substantially lower churn rate than customers using the other payment methods.</w:t>
      </w:r>
    </w:p>
    <w:p>
      <w:pPr>
        <w:pStyle w:val="Compact"/>
        <w:numPr>
          <w:ilvl w:val="0"/>
          <w:numId w:val="1005"/>
        </w:numPr>
      </w:pPr>
      <w:r>
        <w:t xml:space="preserve">Fiber optic customers accounted for the largest share of churned customers, although this share does not establish that fiber optic customers had the highest churn rate.</w:t>
      </w:r>
    </w:p>
    <w:p>
      <w:pPr>
        <w:pStyle w:val="Compact"/>
        <w:numPr>
          <w:ilvl w:val="0"/>
          <w:numId w:val="1005"/>
        </w:numPr>
      </w:pPr>
      <w:r>
        <w:t xml:space="preserve">Churned customers had a higher average monthly charge than customers who stayed.</w:t>
      </w:r>
    </w:p>
    <w:p>
      <w:pPr>
        <w:pStyle w:val="Compact"/>
        <w:numPr>
          <w:ilvl w:val="0"/>
          <w:numId w:val="1005"/>
        </w:numPr>
      </w:pPr>
      <w:r>
        <w:t xml:space="preserve">Customers who stayed had higher average total charges and average total revenue than churned customers.</w:t>
      </w:r>
    </w:p>
    <w:bookmarkEnd w:id="25"/>
    <w:bookmarkStart w:id="32" w:name="business-recommendations"/>
    <w:p>
      <w:pPr>
        <w:pStyle w:val="Heading2"/>
      </w:pPr>
      <w:r>
        <w:t xml:space="preserve">13. Business Recommendations</w:t>
      </w:r>
    </w:p>
    <w:p>
      <w:pPr>
        <w:pStyle w:val="FirstParagraph"/>
      </w:pPr>
      <w:r>
        <w:t xml:space="preserve">Based on the findings, the following recommendations are proposed:</w:t>
      </w:r>
    </w:p>
    <w:bookmarkStart w:id="26" w:name="strengthen-early-customer-retention"/>
    <w:p>
      <w:pPr>
        <w:pStyle w:val="Heading3"/>
      </w:pPr>
      <w:r>
        <w:t xml:space="preserve">1. Strengthen Early Customer Retention</w:t>
      </w:r>
    </w:p>
    <w:p>
      <w:pPr>
        <w:pStyle w:val="FirstParagraph"/>
      </w:pPr>
      <w:r>
        <w:t xml:space="preserve">Investigate the reasons customers leave during their first 12 months. Consider improving onboarding, early customer support, and follow-up communication.</w:t>
      </w:r>
    </w:p>
    <w:bookmarkEnd w:id="26"/>
    <w:bookmarkStart w:id="27" w:name="investigate-churn-among-older-customers"/>
    <w:p>
      <w:pPr>
        <w:pStyle w:val="Heading3"/>
      </w:pPr>
      <w:r>
        <w:t xml:space="preserve">2. Investigate Churn Among Older Customers</w:t>
      </w:r>
    </w:p>
    <w:p>
      <w:pPr>
        <w:pStyle w:val="FirstParagraph"/>
      </w:pPr>
      <w:r>
        <w:t xml:space="preserve">Examine service expectations, customer feedback, support experiences, and other relevant factors among customers aged 60–80 before developing targeted retention measures.</w:t>
      </w:r>
    </w:p>
    <w:bookmarkEnd w:id="27"/>
    <w:bookmarkStart w:id="28" w:name="X94eeafc52cfb32c691e8f8262413f60c51208bf"/>
    <w:p>
      <w:pPr>
        <w:pStyle w:val="Heading3"/>
      </w:pPr>
      <w:r>
        <w:t xml:space="preserve">3. Review Payment-Related Customer Experiences</w:t>
      </w:r>
    </w:p>
    <w:p>
      <w:pPr>
        <w:pStyle w:val="FirstParagraph"/>
      </w:pPr>
      <w:r>
        <w:t xml:space="preserve">Investigate whether payment convenience, billing processes, or other customer characteristics help explain the higher churn rates among mailed-check and bank-withdrawal customers.</w:t>
      </w:r>
    </w:p>
    <w:bookmarkEnd w:id="28"/>
    <w:bookmarkStart w:id="29" w:name="X747e1029ef1367bd875799c0ed7b1d06df13f36"/>
    <w:p>
      <w:pPr>
        <w:pStyle w:val="Heading3"/>
      </w:pPr>
      <w:r>
        <w:t xml:space="preserve">4. Examine the Value Perception of Higher-Charging Customers</w:t>
      </w:r>
    </w:p>
    <w:p>
      <w:pPr>
        <w:pStyle w:val="FirstParagraph"/>
      </w:pPr>
      <w:r>
        <w:t xml:space="preserve">Review the services, charges, and customer feedback associated with churned customers who had higher average monthly charges. Consider whether their service experience adequately reflects the value they expect.</w:t>
      </w:r>
    </w:p>
    <w:bookmarkEnd w:id="29"/>
    <w:bookmarkStart w:id="30" w:name="Xf7ff5636c5a3483c2090d4a70e59b17b4588b4e"/>
    <w:p>
      <w:pPr>
        <w:pStyle w:val="Heading3"/>
      </w:pPr>
      <w:r>
        <w:t xml:space="preserve">5. Investigate Internet Service Churn Further</w:t>
      </w:r>
    </w:p>
    <w:p>
      <w:pPr>
        <w:pStyle w:val="FirstParagraph"/>
      </w:pPr>
      <w:r>
        <w:t xml:space="preserve">Calculate churn rates separately for each internet service type and examine churn reasons before drawing conclusions about service quality or customer satisfaction.</w:t>
      </w:r>
    </w:p>
    <w:bookmarkEnd w:id="30"/>
    <w:bookmarkStart w:id="31" w:name="monitor-customer-retention-indicators"/>
    <w:p>
      <w:pPr>
        <w:pStyle w:val="Heading3"/>
      </w:pPr>
      <w:r>
        <w:t xml:space="preserve">6. Monitor Customer Retention Indicators</w:t>
      </w:r>
    </w:p>
    <w:p>
      <w:pPr>
        <w:pStyle w:val="FirstParagraph"/>
      </w:pPr>
      <w:r>
        <w:t xml:space="preserve">Track churn rate, customer tenure, payment method, contract type, and relevant financial indicators regularly to identify changes in customer behaviour.</w:t>
      </w:r>
    </w:p>
    <w:p>
      <w:pPr>
        <w:pStyle w:val="BodyText"/>
      </w:pPr>
      <w:r>
        <w:t xml:space="preserve">These recommendations should be tested against additional evidence before implementation.</w:t>
      </w:r>
    </w:p>
    <w:bookmarkEnd w:id="31"/>
    <w:bookmarkEnd w:id="32"/>
    <w:bookmarkStart w:id="33" w:name="conclusion"/>
    <w:p>
      <w:pPr>
        <w:pStyle w:val="Heading2"/>
      </w:pPr>
      <w:r>
        <w:t xml:space="preserve">14. Conclusion</w:t>
      </w:r>
    </w:p>
    <w:p>
      <w:pPr>
        <w:pStyle w:val="FirstParagraph"/>
      </w:pPr>
      <w:r>
        <w:t xml:space="preserve">The Maven Telecom Customer Churn Analysis demonstrated how Microsoft Excel can be used to prepare data, calculate analytical measures, compare customer segments, create visualisations, and communicate findings through a dashboard.</w:t>
      </w:r>
    </w:p>
    <w:p>
      <w:pPr>
        <w:pStyle w:val="BodyText"/>
      </w:pPr>
      <w:r>
        <w:t xml:space="preserve">The analysis identified meaningful differences in churn patterns across tenure groups, age groups, and payment methods, while the financial comparisons provided additional context about customer behaviour.</w:t>
      </w:r>
    </w:p>
    <w:p>
      <w:pPr>
        <w:pStyle w:val="BodyText"/>
      </w:pPr>
      <w:r>
        <w:t xml:space="preserve">The completed dashboard brings the major findings together in one place, making the results easier to review and interpret.</w:t>
      </w:r>
    </w:p>
    <w:p>
      <w:pPr>
        <w:pStyle w:val="BodyText"/>
      </w:pPr>
      <w:r>
        <w:t xml:space="preserve">This project forms the second dataset project in the 92-Day Data Analysis Challenge and contributes to the development of practical data analysis, visualisation, and business interpretation skills using Excel.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