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b/>
          <w:bCs/>
          <w:color w:val="1F3864"/>
          <w:sz w:val="26"/>
          <w:szCs w:val="26"/>
        </w:rPr>
        <w:t xml:space="preserve">THE IT GUYS</w:t>
      </w:r>
    </w:p>
    <w:p>
      <w:pPr>
        <w:spacing w:after="20" w:before="0"/>
        <w:jc w:val="center"/>
      </w:pPr>
      <w:r>
        <w:rPr>
          <w:b/>
          <w:bCs/>
          <w:sz w:val="30"/>
          <w:szCs w:val="30"/>
        </w:rPr>
        <w:t xml:space="preserve">Managed IT Services — Quote</w:t>
      </w:r>
    </w:p>
    <w:p>
      <w:pPr>
        <w:spacing w:after="40" w:before="0"/>
        <w:jc w:val="center"/>
      </w:pPr>
      <w:sdt>
        <w:sdtPr>
          <w:rPr>
            <w:color w:val="595959"/>
            <w:sz w:val="21"/>
            <w:szCs w:val="21"/>
          </w:rPr>
          <w:alias w:val="Client short name"/>
          <w:tag w:val="MIT.ClientShortName"/>
          <w:id w:val="1952099019"/>
          <w:text/>
        </w:sdtPr>
        <w:sdtContent>
          <w:r>
            <w:rPr>
              <w:color w:val="595959"/>
              <w:sz w:val="21"/>
              <w:szCs w:val="21"/>
            </w:rPr>
            <w:t xml:space="preserve">[Client short name]</w:t>
          </w:r>
        </w:sdtContent>
      </w:sdt>
      <w:r>
        <w:rPr>
          <w:color w:val="595959"/>
          <w:sz w:val="21"/>
          <w:szCs w:val="21"/>
        </w:rPr>
        <w:t xml:space="preserve"> — Managed IT Services</w:t>
      </w:r>
    </w:p>
    <w:p>
      <w:pPr>
        <w:spacing w:after="120" w:before="0"/>
        <w:jc w:val="center"/>
      </w:pPr>
      <w:sdt>
        <w:sdtPr>
          <w:rPr>
            <w:b/>
            <w:bCs/>
            <w:color w:val="C00000"/>
            <w:sz w:val="18"/>
            <w:szCs w:val="18"/>
          </w:rPr>
          <w:alias w:val="Template instruction"/>
          <w:tag w:val="NOTE"/>
          <w:id w:val="992695476"/>
          <w:text/>
        </w:sdtPr>
        <w:sdtContent>
          <w:r>
            <w:rPr>
              <w:b/>
              <w:bCs/>
              <w:color w:val="C00000"/>
              <w:sz w:val="18"/>
              <w:szCs w:val="18"/>
            </w:rPr>
            <w:t xml:space="preserve">TEMPLATE v1.8 — filled automatically by the sales app; anything still in [brackets] needs your input. This line is removed on fill.</w:t>
          </w:r>
        </w:sdtContent>
      </w:sdt>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340"/>
        <w:gridCol w:w="1700"/>
        <w:gridCol w:w="3340"/>
      </w:tblGrid>
      <w:tr>
        <w:tc>
          <w:tcPr>
            <w:tcW w:type="dxa" w:w="170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Client</w:t>
            </w:r>
          </w:p>
        </w:tc>
        <w:tc>
          <w:tcPr>
            <w:tcW w:type="dxa" w:w="334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b w:val="false"/>
                  <w:bCs w:val="false"/>
                  <w:sz w:val="18"/>
                  <w:szCs w:val="18"/>
                </w:rPr>
                <w:alias w:val="Client legal name"/>
                <w:tag w:val="MIT.ClientLegalName"/>
                <w:id w:val="382947329"/>
                <w:text/>
              </w:sdtPr>
              <w:sdtContent>
                <w:r>
                  <w:rPr>
                    <w:b w:val="false"/>
                    <w:bCs w:val="false"/>
                    <w:sz w:val="18"/>
                    <w:szCs w:val="18"/>
                  </w:rPr>
                  <w:t xml:space="preserve">[Client legal name]</w:t>
                </w:r>
              </w:sdtContent>
            </w:sdt>
            <w:r>
              <w:rPr>
                <w:b w:val="false"/>
                <w:bCs w:val="false"/>
                <w:sz w:val="18"/>
                <w:szCs w:val="18"/>
              </w:rPr>
              <w:t xml:space="preserve"> ("</w:t>
            </w:r>
            <w:sdt>
              <w:sdtPr>
                <w:rPr>
                  <w:b w:val="false"/>
                  <w:bCs w:val="false"/>
                  <w:sz w:val="18"/>
                  <w:szCs w:val="18"/>
                </w:rPr>
                <w:alias w:val="Client short name"/>
                <w:tag w:val="MIT.ClientShortName"/>
                <w:id w:val="161098808"/>
                <w:text/>
              </w:sdtPr>
              <w:sdtContent>
                <w:r>
                  <w:rPr>
                    <w:b w:val="false"/>
                    <w:bCs w:val="false"/>
                    <w:sz w:val="18"/>
                    <w:szCs w:val="18"/>
                  </w:rPr>
                  <w:t xml:space="preserve">[Client short name]</w:t>
                </w:r>
              </w:sdtContent>
            </w:sdt>
            <w:r>
              <w:rPr>
                <w:b w:val="false"/>
                <w:bCs w:val="false"/>
                <w:sz w:val="18"/>
                <w:szCs w:val="18"/>
              </w:rPr>
              <w:t xml:space="preserve">")</w:t>
            </w:r>
          </w:p>
        </w:tc>
        <w:tc>
          <w:tcPr>
            <w:tcW w:type="dxa" w:w="170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Quote ID</w:t>
            </w:r>
          </w:p>
        </w:tc>
        <w:tc>
          <w:tcPr>
            <w:tcW w:type="dxa" w:w="334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b w:val="false"/>
                  <w:bCs w:val="false"/>
                  <w:sz w:val="18"/>
                  <w:szCs w:val="18"/>
                </w:rPr>
                <w:alias w:val="Quote ID"/>
                <w:tag w:val="MIT.QuoteId"/>
                <w:id w:val="1424107815"/>
                <w:text/>
              </w:sdtPr>
              <w:sdtContent>
                <w:r>
                  <w:rPr>
                    <w:b w:val="false"/>
                    <w:bCs w:val="false"/>
                    <w:sz w:val="18"/>
                    <w:szCs w:val="18"/>
                  </w:rPr>
                  <w:t xml:space="preserve">Q-[YYYY]-[NNN]</w:t>
                </w:r>
              </w:sdtContent>
            </w:sdt>
          </w:p>
        </w:tc>
      </w:tr>
      <w:tr>
        <w:tc>
          <w:tcPr>
            <w:tcW w:type="dxa" w:w="170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Prepared for</w:t>
            </w:r>
          </w:p>
        </w:tc>
        <w:tc>
          <w:tcPr>
            <w:tcW w:type="dxa" w:w="334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b w:val="false"/>
                  <w:bCs w:val="false"/>
                  <w:sz w:val="18"/>
                  <w:szCs w:val="18"/>
                </w:rPr>
                <w:alias w:val="Prepared for"/>
                <w:tag w:val="MIT.PreparedFor"/>
                <w:id w:val="938085127"/>
                <w:text/>
              </w:sdtPr>
              <w:sdtContent>
                <w:r>
                  <w:rPr>
                    <w:b w:val="false"/>
                    <w:bCs w:val="false"/>
                    <w:sz w:val="18"/>
                    <w:szCs w:val="18"/>
                  </w:rPr>
                  <w:t xml:space="preserve">[Full name], [Title] — [email]</w:t>
                </w:r>
              </w:sdtContent>
            </w:sdt>
          </w:p>
        </w:tc>
        <w:tc>
          <w:tcPr>
            <w:tcW w:type="dxa" w:w="170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Date</w:t>
            </w:r>
          </w:p>
        </w:tc>
        <w:tc>
          <w:tcPr>
            <w:tcW w:type="dxa" w:w="334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b w:val="false"/>
                  <w:bCs w:val="false"/>
                  <w:sz w:val="18"/>
                  <w:szCs w:val="18"/>
                </w:rPr>
                <w:alias w:val="Date"/>
                <w:tag w:val="MIT.Date"/>
                <w:id w:val="913788856"/>
                <w:text/>
              </w:sdtPr>
              <w:sdtContent>
                <w:r>
                  <w:rPr>
                    <w:b w:val="false"/>
                    <w:bCs w:val="false"/>
                    <w:sz w:val="18"/>
                    <w:szCs w:val="18"/>
                  </w:rPr>
                  <w:t xml:space="preserve">[Month D, YYYY]</w:t>
                </w:r>
              </w:sdtContent>
            </w:sdt>
          </w:p>
        </w:tc>
      </w:tr>
      <w:tr>
        <w:tc>
          <w:tcPr>
            <w:tcW w:type="dxa" w:w="170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Backup contact</w:t>
            </w:r>
          </w:p>
        </w:tc>
        <w:tc>
          <w:tcPr>
            <w:tcW w:type="dxa" w:w="334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b w:val="false"/>
                  <w:bCs w:val="false"/>
                  <w:sz w:val="18"/>
                  <w:szCs w:val="18"/>
                </w:rPr>
                <w:alias w:val="Backup contact"/>
                <w:tag w:val="MIT.BackupContact"/>
                <w:id w:val="789317830"/>
                <w:text/>
              </w:sdtPr>
              <w:sdtContent>
                <w:r>
                  <w:rPr>
                    <w:b w:val="false"/>
                    <w:bCs w:val="false"/>
                    <w:sz w:val="18"/>
                    <w:szCs w:val="18"/>
                  </w:rPr>
                  <w:t xml:space="preserve">[Full name]</w:t>
                </w:r>
              </w:sdtContent>
            </w:sdt>
          </w:p>
        </w:tc>
        <w:tc>
          <w:tcPr>
            <w:tcW w:type="dxa" w:w="170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Prepared by</w:t>
            </w:r>
          </w:p>
        </w:tc>
        <w:tc>
          <w:tcPr>
            <w:tcW w:type="dxa" w:w="334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val="false"/>
                <w:bCs w:val="false"/>
                <w:sz w:val="18"/>
                <w:szCs w:val="18"/>
              </w:rPr>
              <w:t xml:space="preserve">Joshua Herron — Owner / Technical Lead</w:t>
            </w:r>
          </w:p>
        </w:tc>
      </w:tr>
      <w:tr>
        <w:tc>
          <w:tcPr>
            <w:tcW w:type="dxa" w:w="170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Location / domain</w:t>
            </w:r>
          </w:p>
        </w:tc>
        <w:tc>
          <w:tcPr>
            <w:tcW w:type="dxa" w:w="334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b w:val="false"/>
                  <w:bCs w:val="false"/>
                  <w:sz w:val="18"/>
                  <w:szCs w:val="18"/>
                </w:rPr>
                <w:alias w:val="Locations"/>
                <w:tag w:val="MIT.Locations"/>
                <w:id w:val="690803523"/>
                <w:text/>
              </w:sdtPr>
              <w:sdtContent>
                <w:r>
                  <w:rPr>
                    <w:b w:val="false"/>
                    <w:bCs w:val="false"/>
                    <w:sz w:val="18"/>
                    <w:szCs w:val="18"/>
                  </w:rPr>
                  <w:t xml:space="preserve">[Single office / N locations]</w:t>
                </w:r>
              </w:sdtContent>
            </w:sdt>
            <w:r>
              <w:rPr>
                <w:b w:val="false"/>
                <w:bCs w:val="false"/>
                <w:sz w:val="18"/>
                <w:szCs w:val="18"/>
              </w:rPr>
              <w:t xml:space="preserve"> — </w:t>
            </w:r>
            <w:sdt>
              <w:sdtPr>
                <w:rPr>
                  <w:b w:val="false"/>
                  <w:bCs w:val="false"/>
                  <w:sz w:val="18"/>
                  <w:szCs w:val="18"/>
                </w:rPr>
                <w:alias w:val="Domain"/>
                <w:tag w:val="MIT.Domain"/>
                <w:id w:val="497091625"/>
                <w:text/>
              </w:sdtPr>
              <w:sdtContent>
                <w:r>
                  <w:rPr>
                    <w:b w:val="false"/>
                    <w:bCs w:val="false"/>
                    <w:sz w:val="18"/>
                    <w:szCs w:val="18"/>
                  </w:rPr>
                  <w:t xml:space="preserve">[domain]</w:t>
                </w:r>
              </w:sdtContent>
            </w:sdt>
          </w:p>
        </w:tc>
        <w:tc>
          <w:tcPr>
            <w:tcW w:type="dxa" w:w="170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Service start</w:t>
            </w:r>
          </w:p>
        </w:tc>
        <w:tc>
          <w:tcPr>
            <w:tcW w:type="dxa" w:w="334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b w:val="false"/>
                  <w:bCs w:val="false"/>
                  <w:sz w:val="18"/>
                  <w:szCs w:val="18"/>
                </w:rPr>
                <w:alias w:val="Service start"/>
                <w:tag w:val="MIT.ServiceStart"/>
                <w:id w:val="1207121707"/>
                <w:text/>
              </w:sdtPr>
              <w:sdtContent>
                <w:r>
                  <w:rPr>
                    <w:b w:val="false"/>
                    <w:bCs w:val="false"/>
                    <w:sz w:val="18"/>
                    <w:szCs w:val="18"/>
                  </w:rPr>
                  <w:t xml:space="preserve">[Target start date or event]</w:t>
                </w:r>
              </w:sdtContent>
            </w:sdt>
          </w:p>
        </w:tc>
      </w:tr>
    </w:tbl>
    <w:p>
      <w:pPr>
        <w:keepNext/>
        <w:spacing w:after="80" w:before="160"/>
      </w:pPr>
      <w:r>
        <w:rPr>
          <w:b/>
          <w:bCs/>
          <w:color w:val="2E74B5"/>
          <w:sz w:val="24"/>
          <w:szCs w:val="24"/>
        </w:rPr>
        <w:t xml:space="preserve">1. Quote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6"/>
              <w:left w:val="single" w:color="1F3864" w:sz="24"/>
              <w:bottom w:val="single" w:color="1F3864" w:sz="6"/>
              <w:right w:val="single" w:color="1F3864" w:sz="6"/>
            </w:tcBorders>
            <w:shd w:fill="E9EEF7" w:color="auto" w:val="clear"/>
            <w:tcMar>
              <w:top w:type="dxa" w:w="80"/>
              <w:left w:type="dxa" w:w="140"/>
              <w:bottom w:type="dxa" w:w="80"/>
              <w:right w:type="dxa" w:w="140"/>
            </w:tcMar>
          </w:tcPr>
          <w:p>
            <w:pPr>
              <w:spacing w:after="60"/>
            </w:pPr>
            <w:r>
              <w:rPr>
                <w:b/>
                <w:bCs/>
                <w:color w:val="1F3864"/>
                <w:sz w:val="23"/>
                <w:szCs w:val="23"/>
              </w:rPr>
              <w:t xml:space="preserve">Monthly service fee: </w:t>
            </w:r>
            <w:sdt>
              <w:sdtPr>
                <w:rPr>
                  <w:b/>
                  <w:bCs/>
                  <w:color w:val="1F3864"/>
                  <w:sz w:val="23"/>
                  <w:szCs w:val="23"/>
                </w:rPr>
                <w:alias w:val="Monthly total"/>
                <w:tag w:val="MIT.MonthlyTotal"/>
                <w:id w:val="1160106688"/>
                <w:text/>
              </w:sdtPr>
              <w:sdtContent>
                <w:r>
                  <w:rPr>
                    <w:b/>
                    <w:bCs/>
                    <w:color w:val="1F3864"/>
                    <w:sz w:val="23"/>
                    <w:szCs w:val="23"/>
                  </w:rPr>
                  <w:t xml:space="preserve">$[TOTAL]</w:t>
                </w:r>
              </w:sdtContent>
            </w:sdt>
            <w:r>
              <w:rPr>
                <w:b/>
                <w:bCs/>
                <w:color w:val="1F3864"/>
                <w:sz w:val="23"/>
                <w:szCs w:val="23"/>
              </w:rPr>
              <w:t xml:space="preserve">/month — Managed IT (</w:t>
            </w:r>
            <w:sdt>
              <w:sdtPr>
                <w:rPr>
                  <w:b/>
                  <w:bCs/>
                  <w:color w:val="1F3864"/>
                  <w:sz w:val="23"/>
                  <w:szCs w:val="23"/>
                </w:rPr>
                <w:alias w:val="Fee breakdown"/>
                <w:tag w:val="MIT.Breakdown"/>
                <w:id w:val="151411011"/>
                <w:text/>
              </w:sdtPr>
              <w:sdtContent>
                <w:r>
                  <w:rPr>
                    <w:b/>
                    <w:bCs/>
                    <w:color w:val="1F3864"/>
                    <w:sz w:val="23"/>
                    <w:szCs w:val="23"/>
                  </w:rPr>
                  <w:t xml:space="preserve">[BREAKDOWN]</w:t>
                </w:r>
              </w:sdtContent>
            </w:sdt>
            <w:r>
              <w:rPr>
                <w:b/>
                <w:bCs/>
                <w:color w:val="1F3864"/>
                <w:sz w:val="23"/>
                <w:szCs w:val="23"/>
              </w:rPr>
              <w:t xml:space="preserve">) · One-time onboarding: </w:t>
            </w:r>
            <w:sdt>
              <w:sdtPr>
                <w:rPr>
                  <w:b/>
                  <w:bCs/>
                  <w:color w:val="1F3864"/>
                  <w:sz w:val="23"/>
                  <w:szCs w:val="23"/>
                </w:rPr>
                <w:alias w:val="Onboarding fee"/>
                <w:tag w:val="MIT.Onboarding"/>
                <w:id w:val="1847350149"/>
                <w:text/>
              </w:sdtPr>
              <w:sdtContent>
                <w:r>
                  <w:rPr>
                    <w:b/>
                    <w:bCs/>
                    <w:color w:val="1F3864"/>
                    <w:sz w:val="23"/>
                    <w:szCs w:val="23"/>
                  </w:rPr>
                  <w:t xml:space="preserve">$[ONBOARDING]</w:t>
                </w:r>
              </w:sdtContent>
            </w:sdt>
          </w:p>
          <w:p>
            <w:r>
              <w:rPr>
                <w:sz w:val="18"/>
                <w:szCs w:val="18"/>
              </w:rPr>
              <w:t xml:space="preserve">The monthly fee is based on the users and devices described in this Quote. As your environment changes, user, device and other quantities adjust under the Master Services Agreement and Client Service Schedule, generally beginning with the next full billing cycle. Changes to service scope or covered quantities require written documentation or Client authorization as applicable. Automatic annual renewal adjustments and permitted upstream-cost adjustments operate under the Master Services Agreement.</w:t>
            </w:r>
          </w:p>
        </w:tc>
      </w:tr>
    </w:tbl>
    <w:p>
      <w:pPr>
        <w:spacing w:after="60" w:before="0"/>
      </w:pPr>
      <w:r>
        <w:rPr>
          <w:sz w:val="19"/>
          <w:szCs w:val="19"/>
        </w:rPr>
        <w:t xml:space="preserve"/>
      </w:r>
    </w:p>
    <w:p>
      <w:pPr>
        <w:spacing w:after="80" w:before="0"/>
      </w:pPr>
      <w:sdt>
        <w:sdtPr>
          <w:rPr>
            <w:sz w:val="19"/>
            <w:szCs w:val="19"/>
          </w:rPr>
          <w:alias w:val="Summary sentence"/>
          <w:tag w:val="MIT.SummaryText"/>
          <w:id w:val="1107537441"/>
          <w:text/>
        </w:sdtPr>
        <w:sdtContent>
          <w:r>
            <w:rPr>
              <w:sz w:val="19"/>
              <w:szCs w:val="19"/>
            </w:rPr>
            <w:t xml:space="preserve">[One or two plain-language sentences: what The IT Guys will look after for you and the business result. Example: The IT Guys will support your staff, keep your computers and devices protected and up to date, and manage your Microsoft 365 accounts as the business grows.]</w:t>
          </w:r>
        </w:sdtContent>
      </w:sdt>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Included in your monthly fee</w:t>
            </w:r>
          </w:p>
        </w:tc>
        <w:tc>
          <w:tcPr>
            <w:tcW w:type="dxa" w:w="5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Not included — available separately</w:t>
            </w:r>
          </w:p>
        </w:tc>
      </w:tr>
      <w:tr>
        <w:trPr>
          <w:tblHeader w:val="false"/>
        </w:trPr>
        <w:tc>
          <w:tcPr>
            <w:tcW w:type="dxa" w:w="5040"/>
            <w:tcBorders>
              <w:top w:val="single" w:color="BFBFBF" w:sz="4"/>
              <w:left w:val="single" w:color="BFBFBF" w:sz="4"/>
              <w:bottom w:val="single" w:color="BFBFBF" w:sz="4"/>
              <w:right w:val="single" w:color="BFBFBF" w:sz="4"/>
            </w:tcBorders>
            <w:tcMar>
              <w:top w:type="dxa" w:w="50"/>
              <w:left w:type="dxa" w:w="90"/>
              <w:bottom w:type="dxa" w:w="50"/>
              <w:right w:type="dxa" w:w="90"/>
            </w:tcMar>
          </w:tcPr>
          <w:p>
            <w:pPr>
              <w:pStyle w:val="ListParagraph"/>
              <w:numPr>
                <w:ilvl w:val="0"/>
                <w:numId w:val="2"/>
              </w:numPr>
              <w:spacing w:after="20"/>
            </w:pPr>
            <w:sdt>
              <w:sdtPr>
                <w:rPr>
                  <w:sz w:val="18"/>
                  <w:szCs w:val="18"/>
                </w:rPr>
                <w:alias w:val="Users"/>
                <w:tag w:val="MIT.Users"/>
                <w:id w:val="437974951"/>
                <w:text/>
              </w:sdtPr>
              <w:sdtContent>
                <w:r>
                  <w:rPr>
                    <w:sz w:val="18"/>
                    <w:szCs w:val="18"/>
                  </w:rPr>
                  <w:t xml:space="preserve">[N]</w:t>
                </w:r>
              </w:sdtContent>
            </w:sdt>
            <w:r>
              <w:rPr>
                <w:sz w:val="18"/>
                <w:szCs w:val="18"/>
              </w:rPr>
              <w:t xml:space="preserve"> users and their Microsoft 365 accounts</w:t>
            </w:r>
          </w:p>
          <w:p>
            <w:pPr>
              <w:pStyle w:val="ListParagraph"/>
              <w:numPr>
                <w:ilvl w:val="0"/>
                <w:numId w:val="2"/>
              </w:numPr>
              <w:spacing w:after="20"/>
            </w:pPr>
            <w:sdt>
              <w:sdtPr>
                <w:rPr>
                  <w:sz w:val="18"/>
                  <w:szCs w:val="18"/>
                </w:rPr>
                <w:alias w:val="Covered devices summary"/>
                <w:tag w:val="MIT.DevicesSummary"/>
                <w:id w:val="434643198"/>
                <w:text/>
              </w:sdtPr>
              <w:sdtContent>
                <w:r>
                  <w:rPr>
                    <w:sz w:val="18"/>
                    <w:szCs w:val="18"/>
                  </w:rPr>
                  <w:t xml:space="preserve">[N computers][ and N shared iPads/tablets]</w:t>
                </w:r>
              </w:sdtContent>
            </w:sdt>
          </w:p>
          <w:p>
            <w:pPr>
              <w:pStyle w:val="ListParagraph"/>
              <w:numPr>
                <w:ilvl w:val="0"/>
                <w:numId w:val="2"/>
              </w:numPr>
              <w:spacing w:after="20"/>
            </w:pPr>
            <w:r>
              <w:rPr>
                <w:sz w:val="18"/>
                <w:szCs w:val="18"/>
              </w:rPr>
              <w:t xml:space="preserve">Business-hours help desk / remote support</w:t>
            </w:r>
          </w:p>
          <w:p>
            <w:pPr>
              <w:pStyle w:val="ListParagraph"/>
              <w:numPr>
                <w:ilvl w:val="0"/>
                <w:numId w:val="2"/>
              </w:numPr>
              <w:spacing w:after="20"/>
            </w:pPr>
            <w:r>
              <w:rPr>
                <w:sz w:val="18"/>
                <w:szCs w:val="18"/>
              </w:rPr>
              <w:t xml:space="preserve">Endpoint detection and response (EDR) on covered devices</w:t>
            </w:r>
          </w:p>
          <w:p>
            <w:pPr>
              <w:pStyle w:val="ListParagraph"/>
              <w:numPr>
                <w:ilvl w:val="0"/>
                <w:numId w:val="2"/>
              </w:numPr>
              <w:spacing w:after="20"/>
            </w:pPr>
            <w:r>
              <w:rPr>
                <w:sz w:val="18"/>
                <w:szCs w:val="18"/>
              </w:rPr>
              <w:t xml:space="preserve">Patch management for operating systems and common software</w:t>
            </w:r>
          </w:p>
          <w:p>
            <w:pPr>
              <w:pStyle w:val="ListParagraph"/>
              <w:numPr>
                <w:ilvl w:val="0"/>
                <w:numId w:val="2"/>
              </w:numPr>
              <w:spacing w:after="20"/>
            </w:pPr>
            <w:r>
              <w:rPr>
                <w:sz w:val="18"/>
                <w:szCs w:val="18"/>
              </w:rPr>
              <w:t xml:space="preserve">Device management for your </w:t>
            </w:r>
            <w:sdt>
              <w:sdtPr>
                <w:rPr>
                  <w:sz w:val="18"/>
                  <w:szCs w:val="18"/>
                </w:rPr>
                <w:alias w:val="Device kinds"/>
                <w:tag w:val="MIT.DeviceKinds"/>
                <w:id w:val="1332208055"/>
                <w:text/>
              </w:sdtPr>
              <w:sdtContent>
                <w:r>
                  <w:rPr>
                    <w:sz w:val="18"/>
                    <w:szCs w:val="18"/>
                  </w:rPr>
                  <w:t xml:space="preserve">[computers, phones and tablets]</w:t>
                </w:r>
              </w:sdtContent>
            </w:sdt>
          </w:p>
          <w:p>
            <w:pPr>
              <w:pStyle w:val="ListParagraph"/>
              <w:numPr>
                <w:ilvl w:val="0"/>
                <w:numId w:val="2"/>
              </w:numPr>
              <w:spacing w:after="20"/>
            </w:pPr>
            <w:r>
              <w:rPr>
                <w:sz w:val="18"/>
                <w:szCs w:val="18"/>
              </w:rPr>
              <w:t xml:space="preserve">Microsoft 365 / email administration (administration only)</w:t>
            </w:r>
          </w:p>
          <w:p>
            <w:pPr>
              <w:pStyle w:val="ListParagraph"/>
              <w:numPr>
                <w:ilvl w:val="0"/>
                <w:numId w:val="2"/>
              </w:numPr>
              <w:spacing w:after="20"/>
            </w:pPr>
            <w:r>
              <w:rPr>
                <w:sz w:val="18"/>
                <w:szCs w:val="18"/>
              </w:rPr>
              <w:t xml:space="preserve">New employee setup and departing employee removal</w:t>
            </w:r>
          </w:p>
          <w:p>
            <w:pPr>
              <w:pStyle w:val="ListParagraph"/>
              <w:numPr>
                <w:ilvl w:val="0"/>
                <w:numId w:val="2"/>
              </w:numPr>
              <w:spacing w:after="20"/>
            </w:pPr>
            <w:r>
              <w:rPr>
                <w:sz w:val="18"/>
                <w:szCs w:val="18"/>
              </w:rPr>
              <w:t xml:space="preserve">Business password management for shared/team credentials</w:t>
            </w:r>
          </w:p>
          <w:p>
            <w:pPr>
              <w:pStyle w:val="ListParagraph"/>
              <w:numPr>
                <w:ilvl w:val="0"/>
                <w:numId w:val="2"/>
              </w:numPr>
              <w:spacing w:after="20"/>
            </w:pPr>
            <w:r>
              <w:rPr>
                <w:sz w:val="18"/>
                <w:szCs w:val="18"/>
              </w:rPr>
              <w:t xml:space="preserve">Security alert review and routine incident remediation</w:t>
            </w:r>
          </w:p>
          <w:p>
            <w:pPr>
              <w:pStyle w:val="ListParagraph"/>
              <w:numPr>
                <w:ilvl w:val="0"/>
                <w:numId w:val="2"/>
              </w:numPr>
              <w:spacing w:after="20"/>
            </w:pPr>
            <w:r>
              <w:rPr>
                <w:sz w:val="18"/>
                <w:szCs w:val="18"/>
              </w:rPr>
              <w:t xml:space="preserve">Basic network monitoring</w:t>
            </w:r>
          </w:p>
          <w:p>
            <w:pPr>
              <w:pStyle w:val="ListParagraph"/>
              <w:numPr>
                <w:ilvl w:val="0"/>
                <w:numId w:val="2"/>
              </w:numPr>
              <w:spacing w:after="20"/>
            </w:pPr>
            <w:r>
              <w:rPr>
                <w:sz w:val="18"/>
                <w:szCs w:val="18"/>
              </w:rPr>
              <w:t xml:space="preserve">SOC-backed managed detection and response across your devices and Microsoft 365 accounts</w:t>
            </w:r>
          </w:p>
          <w:sdt>
            <w:sdtPr>
              <w:alias w:val="Microsoft 365 backup bullet"/>
              <w:tag w:val="IF.M365Backup"/>
              <w:id w:val="1542939279"/>
            </w:sdtPr>
            <w:sdtContent>
              <w:p>
                <w:pPr>
                  <w:pStyle w:val="ListParagraph"/>
                  <w:numPr>
                    <w:ilvl w:val="0"/>
                    <w:numId w:val="2"/>
                  </w:numPr>
                  <w:spacing w:after="20"/>
                </w:pPr>
                <w:r>
                  <w:rPr>
                    <w:sz w:val="18"/>
                    <w:szCs w:val="18"/>
                  </w:rPr>
                  <w:t xml:space="preserve">Microsoft 365 backup for </w:t>
                </w:r>
                <w:sdt>
                  <w:sdtPr>
                    <w:rPr>
                      <w:sz w:val="18"/>
                      <w:szCs w:val="18"/>
                    </w:rPr>
                    <w:alias w:val="M365 backup users"/>
                    <w:tag w:val="MIT.M365BackupUsers"/>
                    <w:id w:val="1738842013"/>
                    <w:text/>
                  </w:sdtPr>
                  <w:sdtContent>
                    <w:r>
                      <w:rPr>
                        <w:sz w:val="18"/>
                        <w:szCs w:val="18"/>
                      </w:rPr>
                      <w:t xml:space="preserve">[N]</w:t>
                    </w:r>
                  </w:sdtContent>
                </w:sdt>
                <w:r>
                  <w:rPr>
                    <w:sz w:val="18"/>
                    <w:szCs w:val="18"/>
                  </w:rPr>
                  <w:t xml:space="preserve"> users — email, OneDrive, SharePoint and Teams</w:t>
                </w:r>
              </w:p>
            </w:sdtContent>
          </w:sdt>
          <w:sdt>
            <w:sdtPr>
              <w:alias w:val="IF.Servers"/>
              <w:tag w:val="IF.Servers"/>
              <w:id w:val="1123125168"/>
            </w:sdtPr>
            <w:sdtContent>
              <w:p>
                <w:pPr>
                  <w:pStyle w:val="ListParagraph"/>
                  <w:numPr>
                    <w:ilvl w:val="0"/>
                    <w:numId w:val="2"/>
                  </w:numPr>
                  <w:spacing w:after="20"/>
                </w:pPr>
                <w:sdt>
                  <w:sdtPr>
                    <w:rPr>
                      <w:sz w:val="18"/>
                      <w:szCs w:val="18"/>
                    </w:rPr>
                    <w:alias w:val="Servers"/>
                    <w:tag w:val="MIT.Servers"/>
                    <w:id w:val="357483575"/>
                    <w:text/>
                  </w:sdtPr>
                  <w:sdtContent>
                    <w:r>
                      <w:rPr>
                        <w:sz w:val="18"/>
                        <w:szCs w:val="18"/>
                      </w:rPr>
                      <w:t xml:space="preserve">[N]</w:t>
                    </w:r>
                  </w:sdtContent>
                </w:sdt>
                <w:r>
                  <w:rPr>
                    <w:sz w:val="18"/>
                    <w:szCs w:val="18"/>
                  </w:rPr>
                  <w:t xml:space="preserve"> servers — monitoring, patching and maintenance</w:t>
                </w:r>
              </w:p>
            </w:sdtContent>
          </w:sdt>
          <w:sdt>
            <w:sdtPr>
              <w:alias w:val="IF.SystemBackup"/>
              <w:tag w:val="IF.SystemBackup"/>
              <w:id w:val="157929671"/>
            </w:sdtPr>
            <w:sdtContent>
              <w:p>
                <w:pPr>
                  <w:pStyle w:val="ListParagraph"/>
                  <w:numPr>
                    <w:ilvl w:val="0"/>
                    <w:numId w:val="2"/>
                  </w:numPr>
                  <w:spacing w:after="20"/>
                </w:pPr>
                <w:r>
                  <w:rPr>
                    <w:sz w:val="18"/>
                    <w:szCs w:val="18"/>
                  </w:rPr>
                  <w:t xml:space="preserve">Backup of the servers and computers listed in the pricing table</w:t>
                </w:r>
              </w:p>
            </w:sdtContent>
          </w:sdt>
          <w:sdt>
            <w:sdtPr>
              <w:alias w:val="IF.OnSiteBlock"/>
              <w:tag w:val="IF.OnSiteBlock"/>
              <w:id w:val="372251355"/>
            </w:sdtPr>
            <w:sdtContent>
              <w:p>
                <w:pPr>
                  <w:pStyle w:val="ListParagraph"/>
                  <w:numPr>
                    <w:ilvl w:val="0"/>
                    <w:numId w:val="2"/>
                  </w:numPr>
                  <w:spacing w:after="20"/>
                </w:pPr>
                <w:sdt>
                  <w:sdtPr>
                    <w:rPr>
                      <w:sz w:val="18"/>
                      <w:szCs w:val="18"/>
                    </w:rPr>
                    <w:alias w:val="On-site block hours"/>
                    <w:tag w:val="MIT.OnSiteHours"/>
                    <w:id w:val="1186159748"/>
                    <w:text/>
                  </w:sdtPr>
                  <w:sdtContent>
                    <w:r>
                      <w:rPr>
                        <w:sz w:val="18"/>
                        <w:szCs w:val="18"/>
                      </w:rPr>
                      <w:t xml:space="preserve">[N]</w:t>
                    </w:r>
                  </w:sdtContent>
                </w:sdt>
                <w:r>
                  <w:rPr>
                    <w:sz w:val="18"/>
                    <w:szCs w:val="18"/>
                  </w:rPr>
                  <w:t xml:space="preserve"> hours/month of on-site support (pre-purchased block)</w:t>
                </w:r>
              </w:p>
            </w:sdtContent>
          </w:sdt>
        </w:tc>
        <w:tc>
          <w:tcPr>
            <w:tcW w:type="dxa" w:w="5040"/>
            <w:tcBorders>
              <w:top w:val="single" w:color="BFBFBF" w:sz="4"/>
              <w:left w:val="single" w:color="BFBFBF" w:sz="4"/>
              <w:bottom w:val="single" w:color="BFBFBF" w:sz="4"/>
              <w:right w:val="single" w:color="BFBFBF" w:sz="4"/>
            </w:tcBorders>
            <w:tcMar>
              <w:top w:type="dxa" w:w="50"/>
              <w:left w:type="dxa" w:w="90"/>
              <w:bottom w:type="dxa" w:w="50"/>
              <w:right w:type="dxa" w:w="90"/>
            </w:tcMar>
          </w:tcPr>
          <w:p>
            <w:pPr>
              <w:pStyle w:val="ListParagraph"/>
              <w:numPr>
                <w:ilvl w:val="0"/>
                <w:numId w:val="2"/>
              </w:numPr>
              <w:spacing w:after="20"/>
            </w:pPr>
            <w:sdt>
              <w:sdtPr>
                <w:rPr>
                  <w:sz w:val="18"/>
                  <w:szCs w:val="18"/>
                </w:rPr>
                <w:alias w:val="Backup exclusion"/>
                <w:tag w:val="MIT.BackupExclusion"/>
                <w:id w:val="405098590"/>
                <w:text/>
              </w:sdtPr>
              <w:sdtContent>
                <w:r>
                  <w:rPr>
                    <w:sz w:val="18"/>
                    <w:szCs w:val="18"/>
                  </w:rPr>
                  <w:t xml:space="preserve">[Backup of computers or other devices (files kept in OneDrive are covered by Microsoft 365 backup) / Backup, unless selected]</w:t>
                </w:r>
              </w:sdtContent>
            </w:sdt>
          </w:p>
          <w:p>
            <w:pPr>
              <w:pStyle w:val="ListParagraph"/>
              <w:numPr>
                <w:ilvl w:val="0"/>
                <w:numId w:val="2"/>
              </w:numPr>
              <w:spacing w:after="20"/>
            </w:pPr>
            <w:r>
              <w:rPr>
                <w:sz w:val="18"/>
                <w:szCs w:val="18"/>
              </w:rPr>
              <w:t xml:space="preserve">Microsoft 365 licenses (your own cost)</w:t>
            </w:r>
          </w:p>
          <w:p>
            <w:pPr>
              <w:pStyle w:val="ListParagraph"/>
              <w:numPr>
                <w:ilvl w:val="0"/>
                <w:numId w:val="2"/>
              </w:numPr>
              <w:spacing w:after="20"/>
            </w:pPr>
            <w:sdt>
              <w:sdtPr>
                <w:rPr>
                  <w:sz w:val="18"/>
                  <w:szCs w:val="18"/>
                </w:rPr>
                <w:alias w:val="On-site exclusion"/>
                <w:tag w:val="MIT.OnSiteExclusion"/>
                <w:id w:val="486200156"/>
                <w:text/>
              </w:sdtPr>
              <w:sdtContent>
                <w:r>
                  <w:rPr>
                    <w:sz w:val="18"/>
                    <w:szCs w:val="18"/>
                  </w:rPr>
                  <w:t xml:space="preserve">[On-site visits (billed hourly) — Remote-First only]</w:t>
                </w:r>
              </w:sdtContent>
            </w:sdt>
          </w:p>
          <w:p>
            <w:pPr>
              <w:pStyle w:val="ListParagraph"/>
              <w:numPr>
                <w:ilvl w:val="0"/>
                <w:numId w:val="2"/>
              </w:numPr>
              <w:spacing w:after="20"/>
            </w:pPr>
            <w:r>
              <w:rPr>
                <w:sz w:val="18"/>
                <w:szCs w:val="18"/>
              </w:rPr>
              <w:t xml:space="preserve">Projects: new devices, migrations, network or Wi-Fi work, cameras</w:t>
            </w:r>
          </w:p>
          <w:p>
            <w:pPr>
              <w:pStyle w:val="ListParagraph"/>
              <w:numPr>
                <w:ilvl w:val="0"/>
                <w:numId w:val="2"/>
              </w:numPr>
              <w:spacing w:after="20"/>
            </w:pPr>
            <w:r>
              <w:rPr>
                <w:sz w:val="18"/>
                <w:szCs w:val="18"/>
              </w:rPr>
              <w:t xml:space="preserve">Individual end-user password-manager accounts (separately licensed)</w:t>
            </w:r>
          </w:p>
          <w:p>
            <w:pPr>
              <w:pStyle w:val="ListParagraph"/>
              <w:numPr>
                <w:ilvl w:val="0"/>
                <w:numId w:val="2"/>
              </w:numPr>
              <w:spacing w:after="20"/>
            </w:pPr>
            <w:r>
              <w:rPr>
                <w:sz w:val="18"/>
                <w:szCs w:val="18"/>
              </w:rPr>
              <w:t xml:space="preserve">After-hours or emergency work</w:t>
            </w:r>
          </w:p>
        </w:tc>
      </w:tr>
    </w:tbl>
    <w:p>
      <w:pPr>
        <w:keepNext/>
        <w:spacing w:after="60" w:before="100"/>
      </w:pPr>
      <w:r>
        <w:rPr>
          <w:b/>
          <w:bCs/>
          <w:color w:val="1F3864"/>
          <w:sz w:val="20"/>
          <w:szCs w:val="20"/>
        </w:rPr>
        <w:t xml:space="preserve">Standard pricing if your needs grow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640"/>
        <w:gridCol w:w="3400"/>
        <w:gridCol w:w="1640"/>
      </w:tblGrid>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Additional user</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Rate check"/>
                <w:tag w:val="RATE.User"/>
                <w:id w:val="823475996"/>
                <w:text/>
              </w:sdtPr>
              <w:sdtContent>
                <w:r>
                  <w:rPr>
                    <w:sz w:val="18"/>
                    <w:szCs w:val="18"/>
                  </w:rPr>
                  <w:t xml:space="preserve">$125/month</w:t>
                </w:r>
              </w:sdtContent>
            </w:sdt>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 or additional device (phone/tablet)</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Rate check"/>
                <w:tag w:val="RATE.Shared"/>
                <w:id w:val="468166758"/>
                <w:text/>
              </w:sdtPr>
              <w:sdtContent>
                <w:r>
                  <w:rPr>
                    <w:sz w:val="18"/>
                    <w:szCs w:val="18"/>
                  </w:rPr>
                  <w:t xml:space="preserve">$15/device/month</w:t>
                </w:r>
              </w:sdtContent>
            </w:sdt>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On-site support block (pre-purchased monthly)</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Rate check"/>
                <w:tag w:val="RATE.OnSiteBlock"/>
                <w:id w:val="360296977"/>
                <w:text/>
              </w:sdtPr>
              <w:sdtContent>
                <w:r>
                  <w:rPr>
                    <w:sz w:val="18"/>
                    <w:szCs w:val="18"/>
                  </w:rPr>
                  <w:t xml:space="preserve">$115/hour</w:t>
                </w:r>
              </w:sdtContent>
            </w:sdt>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Managed Server Add-On</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Rate check"/>
                <w:tag w:val="RATE.Server"/>
                <w:id w:val="1641414082"/>
                <w:text/>
              </w:sdtPr>
              <w:sdtContent>
                <w:r>
                  <w:rPr>
                    <w:sz w:val="18"/>
                    <w:szCs w:val="18"/>
                  </w:rPr>
                  <w:t xml:space="preserve">$75/server/month</w:t>
                </w:r>
              </w:sdtContent>
            </w:sdt>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Microsoft 365 backup (additional user)</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Rate check"/>
                <w:tag w:val="RATE.M365Backup"/>
                <w:id w:val="610513474"/>
                <w:text/>
              </w:sdtPr>
              <w:sdtContent>
                <w:r>
                  <w:rPr>
                    <w:sz w:val="18"/>
                    <w:szCs w:val="18"/>
                  </w:rPr>
                  <w:t xml:space="preserve">$5/user/month</w:t>
                </w:r>
              </w:sdtContent>
            </w:sdt>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Device or server backup</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Quoted per system</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On-site, project or hourly work</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Rate check"/>
                <w:tag w:val="RATE.Hourly"/>
                <w:id w:val="1954651092"/>
                <w:text/>
              </w:sdtPr>
              <w:sdtContent>
                <w:r>
                  <w:rPr>
                    <w:sz w:val="18"/>
                    <w:szCs w:val="18"/>
                  </w:rPr>
                  <w:t xml:space="preserve">$125/hour</w:t>
                </w:r>
              </w:sdtContent>
            </w:sdt>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After-hours / emergency work</w:t>
            </w:r>
          </w:p>
        </w:tc>
        <w:tc>
          <w:tcPr>
            <w:tcW w:type="dxa" w:w="16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Rate check"/>
                <w:tag w:val="RATE.AfterHours"/>
                <w:id w:val="1578650515"/>
                <w:text/>
              </w:sdtPr>
              <w:sdtContent>
                <w:r>
                  <w:rPr>
                    <w:sz w:val="18"/>
                    <w:szCs w:val="18"/>
                  </w:rPr>
                  <w:t xml:space="preserve">$187.50/hour</w:t>
                </w:r>
              </w:sdtContent>
            </w:sdt>
          </w:p>
        </w:tc>
      </w:tr>
    </w:tbl>
    <w:p>
      <w:pPr>
        <w:spacing w:after="80" w:before="60"/>
      </w:pPr>
      <w:r>
        <w:rPr>
          <w:i/>
          <w:iCs/>
          <w:color w:val="595959"/>
          <w:sz w:val="17"/>
          <w:szCs w:val="17"/>
        </w:rPr>
        <w:t xml:space="preserve">The Managed IT fee has a minimum of $375/month (the price of 3 users); server, backup and on-site block charges are added to it. Changes to quantities or services follow the change rule in §3. Scope or quantity changes require written documentation or Client authorization as applicable; annual renewal and permitted upstream-cost adjustments operate under the MSA.</w:t>
      </w:r>
    </w:p>
    <w:p>
      <w:pPr>
        <w:keepNext/>
        <w:spacing w:after="80" w:before="160"/>
      </w:pPr>
      <w:r>
        <w:rPr>
          <w:b/>
          <w:bCs/>
          <w:color w:val="2E74B5"/>
          <w:sz w:val="24"/>
          <w:szCs w:val="24"/>
        </w:rPr>
        <w:t xml:space="preserve">2. Service Scope</w:t>
      </w:r>
    </w:p>
    <w:p>
      <w:pPr>
        <w:keepNext/>
        <w:spacing w:after="60" w:before="100"/>
      </w:pPr>
      <w:r>
        <w:rPr>
          <w:b/>
          <w:bCs/>
          <w:color w:val="1F3864"/>
          <w:sz w:val="20"/>
          <w:szCs w:val="20"/>
        </w:rPr>
        <w:t xml:space="preserve">What The IT Guys will provide</w:t>
      </w:r>
    </w:p>
    <w:p>
      <w:pPr>
        <w:pStyle w:val="ListParagraph"/>
        <w:numPr>
          <w:ilvl w:val="0"/>
          <w:numId w:val="2"/>
        </w:numPr>
        <w:spacing w:after="30"/>
      </w:pPr>
      <w:r>
        <w:rPr>
          <w:sz w:val="19"/>
          <w:szCs w:val="19"/>
        </w:rPr>
        <w:t xml:space="preserve">Answer and resolve your staff's IT requests during business hours, primarily through remote support.</w:t>
      </w:r>
    </w:p>
    <w:p>
      <w:pPr>
        <w:pStyle w:val="ListParagraph"/>
        <w:numPr>
          <w:ilvl w:val="0"/>
          <w:numId w:val="2"/>
        </w:numPr>
        <w:spacing w:after="30"/>
      </w:pPr>
      <w:r>
        <w:rPr>
          <w:sz w:val="19"/>
          <w:szCs w:val="19"/>
        </w:rPr>
        <w:t xml:space="preserve">Keep your </w:t>
      </w:r>
      <w:sdt>
        <w:sdtPr>
          <w:rPr>
            <w:sz w:val="19"/>
            <w:szCs w:val="19"/>
          </w:rPr>
          <w:alias w:val="MIT.DeviceKinds"/>
          <w:tag w:val="MIT.DeviceKinds"/>
          <w:id w:val="1323355639"/>
          <w:text/>
        </w:sdtPr>
        <w:sdtContent>
          <w:r>
            <w:rPr>
              <w:sz w:val="19"/>
              <w:szCs w:val="19"/>
            </w:rPr>
            <w:t xml:space="preserve">[computers, phones and tablets]</w:t>
          </w:r>
        </w:sdtContent>
      </w:sdt>
      <w:r>
        <w:rPr>
          <w:sz w:val="19"/>
          <w:szCs w:val="19"/>
        </w:rPr>
        <w:t xml:space="preserve"> configured to The IT Guys' standard</w:t>
      </w:r>
      <w:sdt>
        <w:sdtPr>
          <w:rPr>
            <w:sz w:val="19"/>
            <w:szCs w:val="19"/>
          </w:rPr>
          <w:alias w:val="Integration note (blank = removed)"/>
          <w:tag w:val="MIT.IntegrationNote"/>
          <w:id w:val="1535282851"/>
          <w:text/>
        </w:sdtPr>
        <w:sdtContent>
          <w:r>
            <w:rPr>
              <w:sz w:val="19"/>
              <w:szCs w:val="19"/>
            </w:rPr>
            <w:t xml:space="preserve"> [as set up in your integration project]</w:t>
          </w:r>
        </w:sdtContent>
      </w:sdt>
      <w:r>
        <w:rPr>
          <w:sz w:val="19"/>
          <w:szCs w:val="19"/>
        </w:rPr>
        <w:t xml:space="preserve">, and keep their software patched.</w:t>
      </w:r>
    </w:p>
    <w:p>
      <w:pPr>
        <w:pStyle w:val="ListParagraph"/>
        <w:numPr>
          <w:ilvl w:val="0"/>
          <w:numId w:val="2"/>
        </w:numPr>
        <w:spacing w:after="30"/>
      </w:pPr>
      <w:r>
        <w:rPr>
          <w:sz w:val="19"/>
          <w:szCs w:val="19"/>
        </w:rPr>
        <w:t xml:space="preserve">Watch for security threats on your devices and Microsoft 365 accounts with endpoint detection and response and SOC-backed monitoring, respond to them, and coach staff when something risky happens.</w:t>
      </w:r>
    </w:p>
    <w:p>
      <w:pPr>
        <w:pStyle w:val="ListParagraph"/>
        <w:numPr>
          <w:ilvl w:val="0"/>
          <w:numId w:val="2"/>
        </w:numPr>
        <w:spacing w:after="30"/>
      </w:pPr>
      <w:r>
        <w:rPr>
          <w:sz w:val="19"/>
          <w:szCs w:val="19"/>
        </w:rPr>
        <w:t xml:space="preserve">Manage your Microsoft 365 accounts, mailboxes and access, including setting up new staff and promptly removing access for departing staff upon an authorized request.</w:t>
      </w:r>
    </w:p>
    <w:p>
      <w:pPr>
        <w:pStyle w:val="ListParagraph"/>
        <w:numPr>
          <w:ilvl w:val="0"/>
          <w:numId w:val="2"/>
        </w:numPr>
        <w:spacing w:after="30"/>
      </w:pPr>
      <w:r>
        <w:rPr>
          <w:sz w:val="19"/>
          <w:szCs w:val="19"/>
        </w:rPr>
        <w:t xml:space="preserve">Keep shared business passwords in a secure password manager instead of spreadsheets or sticky notes.</w:t>
      </w:r>
    </w:p>
    <w:p>
      <w:pPr>
        <w:pStyle w:val="ListParagraph"/>
        <w:numPr>
          <w:ilvl w:val="0"/>
          <w:numId w:val="2"/>
        </w:numPr>
        <w:spacing w:after="30"/>
      </w:pPr>
      <w:r>
        <w:rPr>
          <w:sz w:val="19"/>
          <w:szCs w:val="19"/>
        </w:rPr>
        <w:t xml:space="preserve">Watch your office network's basic health and availability, and tell you when something needs attention.</w:t>
      </w:r>
    </w:p>
    <w:sdt>
      <w:sdtPr>
        <w:alias w:val="Servers bullet"/>
        <w:tag w:val="IF.Servers"/>
        <w:id w:val="1451252287"/>
      </w:sdtPr>
      <w:sdtContent>
        <w:p>
          <w:pPr>
            <w:pStyle w:val="ListParagraph"/>
            <w:numPr>
              <w:ilvl w:val="0"/>
              <w:numId w:val="2"/>
            </w:numPr>
            <w:spacing w:after="30"/>
          </w:pPr>
          <w:r>
            <w:rPr>
              <w:sz w:val="19"/>
              <w:szCs w:val="19"/>
            </w:rPr>
            <w:t xml:space="preserve">Monitor your servers' health and services, keep them patched, and handle routine server maintenance.</w:t>
          </w:r>
        </w:p>
      </w:sdtContent>
    </w:sdt>
    <w:sdt>
      <w:sdtPr>
        <w:alias w:val="M365 backup bullet"/>
        <w:tag w:val="IF.M365Backup"/>
        <w:id w:val="601882698"/>
      </w:sdtPr>
      <w:sdtContent>
        <w:p>
          <w:pPr>
            <w:pStyle w:val="ListParagraph"/>
            <w:numPr>
              <w:ilvl w:val="0"/>
              <w:numId w:val="2"/>
            </w:numPr>
            <w:spacing w:after="30"/>
          </w:pPr>
          <w:r>
            <w:rPr>
              <w:sz w:val="19"/>
              <w:szCs w:val="19"/>
            </w:rPr>
            <w:t xml:space="preserve">Back up your Microsoft 365 email, OneDrive, SharePoint and Teams data, retain protected data for 7 years, monitor backup status and failures, and test a restore each quarter.</w:t>
          </w:r>
        </w:p>
      </w:sdtContent>
    </w:sdt>
    <w:sdt>
      <w:sdtPr>
        <w:alias w:val="System backup bullet"/>
        <w:tag w:val="IF.SystemBackup"/>
        <w:id w:val="1056852717"/>
      </w:sdtPr>
      <w:sdtContent>
        <w:p>
          <w:pPr>
            <w:pStyle w:val="ListParagraph"/>
            <w:numPr>
              <w:ilvl w:val="0"/>
              <w:numId w:val="2"/>
            </w:numPr>
            <w:spacing w:after="30"/>
          </w:pPr>
          <w:r>
            <w:rPr>
              <w:sz w:val="19"/>
              <w:szCs w:val="19"/>
            </w:rPr>
            <w:t xml:space="preserve">Back up the servers and computers listed in the pricing table, monitor backup status and failures, and test restores.</w:t>
          </w:r>
        </w:p>
      </w:sdtContent>
    </w:sdt>
    <w:p>
      <w:pPr>
        <w:pStyle w:val="ListParagraph"/>
        <w:numPr>
          <w:ilvl w:val="0"/>
          <w:numId w:val="2"/>
        </w:numPr>
        <w:spacing w:after="30"/>
      </w:pPr>
      <w:r>
        <w:rPr>
          <w:sz w:val="19"/>
          <w:szCs w:val="19"/>
        </w:rPr>
        <w:t xml:space="preserve">Fix routine problems as part of the monthly fee, and tell you in writing when something needs a project or a decision.</w:t>
      </w:r>
    </w:p>
    <w:p>
      <w:pPr>
        <w:keepNext/>
        <w:spacing w:after="60" w:before="100"/>
      </w:pPr>
      <w:r>
        <w:rPr>
          <w:b/>
          <w:bCs/>
          <w:color w:val="1F3864"/>
          <w:sz w:val="20"/>
          <w:szCs w:val="20"/>
        </w:rPr>
        <w:t xml:space="preserve">Coverage and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3780"/>
        <w:gridCol w:w="2520"/>
      </w:tblGrid>
      <w:tr>
        <w:trPr>
          <w:tblHeader/>
        </w:trPr>
        <w:tc>
          <w:tcPr>
            <w:tcW w:type="dxa" w:w="3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Item</w:t>
            </w:r>
          </w:p>
        </w:tc>
        <w:tc>
          <w:tcPr>
            <w:tcW w:type="dxa" w:w="37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This Quote</w:t>
            </w:r>
          </w:p>
        </w:tc>
        <w:tc>
          <w:tcPr>
            <w:tcW w:type="dxa" w:w="25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Monthly</w:t>
            </w:r>
          </w:p>
        </w:tc>
      </w:tr>
      <w:tr>
        <w:trPr>
          <w:tblHeader w:val="false"/>
        </w:trPr>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Users</w:t>
            </w:r>
          </w:p>
        </w:tc>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sz w:val="18"/>
                  <w:szCs w:val="18"/>
                </w:rPr>
                <w:alias w:val="Users calc"/>
                <w:tag w:val="MIT.UsersCalc"/>
                <w:id w:val="231078224"/>
                <w:text/>
              </w:sdtPr>
              <w:sdtContent>
                <w:r>
                  <w:rPr>
                    <w:sz w:val="18"/>
                    <w:szCs w:val="18"/>
                  </w:rPr>
                  <w:t xml:space="preserve">[N] × $[RATE]</w:t>
                </w:r>
              </w:sdtContent>
            </w:sdt>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Users fee"/>
                <w:tag w:val="MIT.UsersFee"/>
                <w:id w:val="689008795"/>
                <w:text/>
              </w:sdtPr>
              <w:sdtContent>
                <w:r>
                  <w:rPr>
                    <w:sz w:val="18"/>
                    <w:szCs w:val="18"/>
                  </w:rPr>
                  <w:t xml:space="preserve">$[N × RATE]</w:t>
                </w:r>
              </w:sdtContent>
            </w:sdt>
          </w:p>
        </w:tc>
      </w:tr>
      <w:tr>
        <w:trPr>
          <w:tblHeader w:val="false"/>
        </w:trPr>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Assigned devices (up to 3 per user)</w:t>
            </w:r>
          </w:p>
        </w:tc>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sz w:val="18"/>
                  <w:szCs w:val="18"/>
                </w:rPr>
                <w:alias w:val="Assigned devices"/>
                <w:tag w:val="MIT.AssignedDevices"/>
                <w:id w:val="822539445"/>
                <w:text/>
              </w:sdtPr>
              <w:sdtContent>
                <w:r>
                  <w:rPr>
                    <w:sz w:val="18"/>
                    <w:szCs w:val="18"/>
                  </w:rPr>
                  <w:t xml:space="preserve">[N computers / phones / tablets]</w:t>
                </w:r>
              </w:sdtContent>
            </w:sdt>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Included</w:t>
            </w:r>
          </w:p>
        </w:tc>
      </w:tr>
      <w:tr>
        <w:trPr>
          <w:tblHeader w:val="false"/>
        </w:trPr>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Shared devices</w:t>
            </w:r>
          </w:p>
        </w:tc>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sz w:val="18"/>
                  <w:szCs w:val="18"/>
                </w:rPr>
                <w:alias w:val="Shared calc"/>
                <w:tag w:val="MIT.SharedCalc"/>
                <w:id w:val="108684919"/>
                <w:text/>
              </w:sdtPr>
              <w:sdtContent>
                <w:r>
                  <w:rPr>
                    <w:sz w:val="18"/>
                    <w:szCs w:val="18"/>
                  </w:rPr>
                  <w:t xml:space="preserve">[None / N shared devices × $15]</w:t>
                </w:r>
              </w:sdtContent>
            </w:sdt>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Shared fee"/>
                <w:tag w:val="MIT.SharedFee"/>
                <w:id w:val="784978615"/>
                <w:text/>
              </w:sdtPr>
              <w:sdtContent>
                <w:r>
                  <w:rPr>
                    <w:sz w:val="18"/>
                    <w:szCs w:val="18"/>
                  </w:rPr>
                  <w:t xml:space="preserve">[$0 / $N × 15]</w:t>
                </w:r>
              </w:sdtContent>
            </w:sdt>
          </w:p>
        </w:tc>
      </w:tr>
      <w:tr>
        <w:trPr>
          <w:tblHeader w:val="false"/>
        </w:trPr>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Servers (Managed Server Add-On)</w:t>
            </w:r>
          </w:p>
        </w:tc>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sz w:val="18"/>
                  <w:szCs w:val="18"/>
                </w:rPr>
                <w:alias w:val="Servers calc"/>
                <w:tag w:val="MIT.ServersCalc"/>
                <w:id w:val="461275627"/>
                <w:text/>
              </w:sdtPr>
              <w:sdtContent>
                <w:r>
                  <w:rPr>
                    <w:sz w:val="18"/>
                    <w:szCs w:val="18"/>
                  </w:rPr>
                  <w:t xml:space="preserve">[0 / N]</w:t>
                </w:r>
              </w:sdtContent>
            </w:sdt>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Servers fee"/>
                <w:tag w:val="MIT.ServersFee"/>
                <w:id w:val="1209694058"/>
                <w:text/>
              </w:sdtPr>
              <w:sdtContent>
                <w:r>
                  <w:rPr>
                    <w:sz w:val="18"/>
                    <w:szCs w:val="18"/>
                  </w:rPr>
                  <w:t xml:space="preserve">[$0 / N × $75]</w:t>
                </w:r>
              </w:sdtContent>
            </w:sdt>
          </w:p>
        </w:tc>
      </w:tr>
      <w:tr>
        <w:trPr>
          <w:tblHeader w:val="false"/>
        </w:trPr>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Microsoft 365 backup</w:t>
            </w:r>
          </w:p>
        </w:tc>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sz w:val="18"/>
                  <w:szCs w:val="18"/>
                </w:rPr>
                <w:alias w:val="M365 backup calc"/>
                <w:tag w:val="MIT.M365BackupCalc"/>
                <w:id w:val="822048765"/>
                <w:text/>
              </w:sdtPr>
              <w:sdtContent>
                <w:r>
                  <w:rPr>
                    <w:sz w:val="18"/>
                    <w:szCs w:val="18"/>
                  </w:rPr>
                  <w:t xml:space="preserve">[None selected / Microsoft 365 — N users × $5]</w:t>
                </w:r>
              </w:sdtContent>
            </w:sdt>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M365 backup fee"/>
                <w:tag w:val="MIT.M365BackupFee"/>
                <w:id w:val="1543306346"/>
                <w:text/>
              </w:sdtPr>
              <w:sdtContent>
                <w:r>
                  <w:rPr>
                    <w:sz w:val="18"/>
                    <w:szCs w:val="18"/>
                  </w:rPr>
                  <w:t xml:space="preserve">[Not included / $N × 5]</w:t>
                </w:r>
              </w:sdtContent>
            </w:sdt>
          </w:p>
        </w:tc>
      </w:tr>
      <w:sdt>
        <w:sdtPr>
          <w:alias w:val="System backup rows (repeat)"/>
          <w:tag w:val="REPEAT.SystemBackup"/>
          <w:id w:val="966791590"/>
        </w:sdtPr>
        <w:sdtContent>
          <w:tr>
            <w:trPr>
              <w:tblHeader w:val="false"/>
            </w:trPr>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sz w:val="18"/>
                      <w:szCs w:val="18"/>
                    </w:rPr>
                    <w:alias w:val="System"/>
                    <w:tag w:val="SystemBackup.Label"/>
                    <w:id w:val="863543735"/>
                    <w:text/>
                  </w:sdtPr>
                  <w:sdtContent>
                    <w:r>
                      <w:rPr>
                        <w:sz w:val="18"/>
                        <w:szCs w:val="18"/>
                      </w:rPr>
                      <w:t xml:space="preserve">[System backup — server or computer]</w:t>
                    </w:r>
                  </w:sdtContent>
                </w:sdt>
              </w:p>
            </w:tc>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sz w:val="18"/>
                      <w:szCs w:val="18"/>
                    </w:rPr>
                    <w:alias w:val="Detail"/>
                    <w:tag w:val="SystemBackup.Calc"/>
                    <w:id w:val="1403933876"/>
                    <w:text/>
                  </w:sdtPr>
                  <w:sdtContent>
                    <w:r>
                      <w:rPr>
                        <w:sz w:val="18"/>
                        <w:szCs w:val="18"/>
                      </w:rPr>
                      <w:t xml:space="preserve">[Retention / frequency summary]</w:t>
                    </w:r>
                  </w:sdtContent>
                </w:sdt>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Monthly"/>
                    <w:tag w:val="SystemBackup.Fee"/>
                    <w:id w:val="947241986"/>
                    <w:text/>
                  </w:sdtPr>
                  <w:sdtContent>
                    <w:r>
                      <w:rPr>
                        <w:sz w:val="18"/>
                        <w:szCs w:val="18"/>
                      </w:rPr>
                      <w:t xml:space="preserve">[$ price]</w:t>
                    </w:r>
                  </w:sdtContent>
                </w:sdt>
              </w:p>
            </w:tc>
          </w:tr>
        </w:sdtContent>
      </w:sdt>
      <w:sdt>
        <w:sdtPr>
          <w:alias w:val="On-site block row"/>
          <w:tag w:val="IF.OnSiteBlock"/>
          <w:id w:val="759366278"/>
        </w:sdtPr>
        <w:sdtContent>
          <w:tr>
            <w:trPr>
              <w:tblHeader w:val="false"/>
            </w:trPr>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On-site support block</w:t>
                </w:r>
              </w:p>
            </w:tc>
            <w:tc>
              <w:tcPr>
                <w:tcW w:type="dxa" w:w="3780"/>
                <w:tcBorders>
                  <w:top w:val="single" w:color="BFBFBF" w:sz="4"/>
                  <w:left w:val="single" w:color="BFBFBF" w:sz="4"/>
                  <w:bottom w:val="single" w:color="BFBFBF" w:sz="4"/>
                  <w:right w:val="single" w:color="BFBFBF" w:sz="4"/>
                </w:tcBorders>
                <w:tcMar>
                  <w:top w:type="dxa" w:w="50"/>
                  <w:left w:type="dxa" w:w="90"/>
                  <w:bottom w:type="dxa" w:w="50"/>
                  <w:right w:type="dxa" w:w="90"/>
                </w:tcMar>
              </w:tcPr>
              <w:p>
                <w:sdt>
                  <w:sdtPr>
                    <w:rPr>
                      <w:sz w:val="18"/>
                      <w:szCs w:val="18"/>
                    </w:rPr>
                    <w:alias w:val="On-site block calc"/>
                    <w:tag w:val="MIT.OnSiteCalc"/>
                    <w:id w:val="788959833"/>
                    <w:text/>
                  </w:sdtPr>
                  <w:sdtContent>
                    <w:r>
                      <w:rPr>
                        <w:sz w:val="18"/>
                        <w:szCs w:val="18"/>
                      </w:rPr>
                      <w:t xml:space="preserve">[N hours × $115]</w:t>
                    </w:r>
                  </w:sdtContent>
                </w:sdt>
              </w:p>
            </w:tc>
            <w:tc>
              <w:tcPr>
                <w:tcW w:type="dxa" w:w="25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sdt>
                  <w:sdtPr>
                    <w:rPr>
                      <w:sz w:val="18"/>
                      <w:szCs w:val="18"/>
                    </w:rPr>
                    <w:alias w:val="On-site block fee"/>
                    <w:tag w:val="MIT.OnSiteFee"/>
                    <w:id w:val="1685373877"/>
                    <w:text/>
                  </w:sdtPr>
                  <w:sdtContent>
                    <w:r>
                      <w:rPr>
                        <w:sz w:val="18"/>
                        <w:szCs w:val="18"/>
                      </w:rPr>
                      <w:t xml:space="preserve">[$ block fee]</w:t>
                    </w:r>
                  </w:sdtContent>
                </w:sdt>
              </w:p>
            </w:tc>
          </w:tr>
        </w:sdtContent>
      </w:sdt>
      <w:tr>
        <w:trPr>
          <w:tblHeader w:val="false"/>
        </w:trPr>
        <w:tc>
          <w:tcPr>
            <w:tcW w:type="dxa" w:w="378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Monthly total</w:t>
            </w:r>
          </w:p>
        </w:tc>
        <w:tc>
          <w:tcPr>
            <w:tcW w:type="dxa" w:w="378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
            </w:r>
          </w:p>
        </w:tc>
        <w:tc>
          <w:tcPr>
            <w:tcW w:type="dxa" w:w="252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pPr>
              <w:jc w:val="right"/>
            </w:pPr>
            <w:sdt>
              <w:sdtPr>
                <w:rPr>
                  <w:b/>
                  <w:bCs/>
                  <w:sz w:val="18"/>
                  <w:szCs w:val="18"/>
                </w:rPr>
                <w:alias w:val="MIT.MonthlyTotal"/>
                <w:tag w:val="MIT.MonthlyTotal"/>
                <w:id w:val="1789015241"/>
                <w:text/>
              </w:sdtPr>
              <w:sdtContent>
                <w:r>
                  <w:rPr>
                    <w:b/>
                    <w:bCs/>
                    <w:sz w:val="18"/>
                    <w:szCs w:val="18"/>
                  </w:rPr>
                  <w:t xml:space="preserve">$[TOTAL]</w:t>
                </w:r>
              </w:sdtContent>
            </w:sdt>
          </w:p>
        </w:tc>
      </w:tr>
      <w:tr>
        <w:trPr>
          <w:tblHeader w:val="false"/>
        </w:trPr>
        <w:tc>
          <w:tcPr>
            <w:tcW w:type="dxa" w:w="378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One-time onboarding</w:t>
            </w:r>
          </w:p>
        </w:tc>
        <w:tc>
          <w:tcPr>
            <w:tcW w:type="dxa" w:w="378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r>
              <w:rPr>
                <w:b/>
                <w:bCs/>
                <w:sz w:val="18"/>
                <w:szCs w:val="18"/>
              </w:rPr>
              <w:t xml:space="preserve"/>
            </w:r>
          </w:p>
        </w:tc>
        <w:tc>
          <w:tcPr>
            <w:tcW w:type="dxa" w:w="2520"/>
            <w:tcBorders>
              <w:top w:val="single" w:color="BFBFBF" w:sz="4"/>
              <w:left w:val="single" w:color="BFBFBF" w:sz="4"/>
              <w:bottom w:val="single" w:color="BFBFBF" w:sz="4"/>
              <w:right w:val="single" w:color="BFBFBF" w:sz="4"/>
            </w:tcBorders>
            <w:shd w:fill="E9EEF7" w:color="auto" w:val="clear"/>
            <w:tcMar>
              <w:top w:type="dxa" w:w="50"/>
              <w:left w:type="dxa" w:w="90"/>
              <w:bottom w:type="dxa" w:w="50"/>
              <w:right w:type="dxa" w:w="90"/>
            </w:tcMar>
          </w:tcPr>
          <w:p>
            <w:pPr>
              <w:jc w:val="right"/>
            </w:pPr>
            <w:sdt>
              <w:sdtPr>
                <w:rPr>
                  <w:b/>
                  <w:bCs/>
                  <w:sz w:val="18"/>
                  <w:szCs w:val="18"/>
                </w:rPr>
                <w:alias w:val="MIT.Onboarding"/>
                <w:tag w:val="MIT.Onboarding"/>
                <w:id w:val="460251422"/>
                <w:text/>
              </w:sdtPr>
              <w:sdtContent>
                <w:r>
                  <w:rPr>
                    <w:b/>
                    <w:bCs/>
                    <w:sz w:val="18"/>
                    <w:szCs w:val="18"/>
                  </w:rPr>
                  <w:t xml:space="preserve">$[ONBOARDING]</w:t>
                </w:r>
              </w:sdtContent>
            </w:sdt>
          </w:p>
        </w:tc>
      </w:tr>
    </w:tbl>
    <w:p>
      <w:pPr>
        <w:spacing w:after="40" w:before="0"/>
      </w:pPr>
      <w:r>
        <w:rPr>
          <w:sz w:val="19"/>
          <w:szCs w:val="19"/>
        </w:rPr>
        <w:t xml:space="preserve"/>
      </w:r>
    </w:p>
    <w:p>
      <w:pPr>
        <w:spacing w:after="80" w:before="0"/>
      </w:pPr>
      <w:r>
        <w:rPr>
          <w:b/>
          <w:bCs/>
          <w:sz w:val="19"/>
          <w:szCs w:val="19"/>
        </w:rPr>
        <w:t xml:space="preserve">Devices. </w:t>
      </w:r>
      <w:r>
        <w:rPr>
          <w:sz w:val="19"/>
          <w:szCs w:val="19"/>
        </w:rPr>
        <w:t xml:space="preserve">Each user includes up to 3 assigned business-owned devices (computers, phones and tablets)</w:t>
      </w:r>
      <w:sdt>
        <w:sdtPr>
          <w:rPr>
            <w:sz w:val="19"/>
            <w:szCs w:val="19"/>
          </w:rPr>
          <w:alias w:val="Devices note (blank = removed)"/>
          <w:tag w:val="MIT.DevicesCoveredNote"/>
          <w:id w:val="839514053"/>
          <w:text/>
        </w:sdtPr>
        <w:sdtContent>
          <w:r>
            <w:rPr>
              <w:sz w:val="19"/>
              <w:szCs w:val="19"/>
            </w:rPr>
            <w:t xml:space="preserve">[; your N computers are covered within that allowance]</w:t>
          </w:r>
        </w:sdtContent>
      </w:sdt>
      <w:r>
        <w:rPr>
          <w:sz w:val="19"/>
          <w:szCs w:val="19"/>
        </w:rPr>
        <w:t xml:space="preserve">. Shared devices used by more than one person are $15/device/month each</w:t>
      </w:r>
      <w:sdt>
        <w:sdtPr>
          <w:rPr>
            <w:sz w:val="19"/>
            <w:szCs w:val="19"/>
          </w:rPr>
          <w:alias w:val="Shared devices note (blank = removed)"/>
          <w:tag w:val="MIT.SharedNote"/>
          <w:id w:val="1391334444"/>
          <w:text/>
        </w:sdtPr>
        <w:sdtContent>
          <w:r>
            <w:rPr>
              <w:sz w:val="19"/>
              <w:szCs w:val="19"/>
            </w:rPr>
            <w:t xml:space="preserve">[, so your N shared devices are $[N × 15]/month]</w:t>
          </w:r>
        </w:sdtContent>
      </w:sdt>
      <w:r>
        <w:rPr>
          <w:sz w:val="19"/>
          <w:szCs w:val="19"/>
        </w:rPr>
        <w:t xml:space="preserve">; shared devices added later are billed at the same rate. Covered phones and tablets must stay within 3 months of the current operating-system release to keep access to company data. Personal phones, printers, cameras and specialty equipment are not covered.</w:t>
      </w:r>
    </w:p>
    <w:p>
      <w:pPr>
        <w:spacing w:after="80" w:before="0"/>
      </w:pPr>
      <w:r>
        <w:rPr>
          <w:b/>
          <w:bCs/>
          <w:sz w:val="19"/>
          <w:szCs w:val="19"/>
        </w:rPr>
        <w:t xml:space="preserve">Onboarding. </w:t>
      </w:r>
      <w:sdt>
        <w:sdtPr>
          <w:rPr>
            <w:sz w:val="19"/>
            <w:szCs w:val="19"/>
          </w:rPr>
          <w:alias w:val="Onboarding text"/>
          <w:tag w:val="MIT.OnboardingText"/>
          <w:id w:val="1302075617"/>
          <w:text/>
        </w:sdtPr>
        <w:sdtContent>
          <w:r>
            <w:rPr>
              <w:sz w:val="19"/>
              <w:szCs w:val="19"/>
            </w:rPr>
            <w:t xml:space="preserve">[Onboarding covers installing The IT Guys' monitoring and support tools, reviewing and documenting your environment, setting up shared-credential password management, and connecting your staff to The IT Guys' support process.]</w:t>
          </w:r>
        </w:sdtContent>
      </w:sdt>
    </w:p>
    <w:p>
      <w:pPr>
        <w:spacing w:after="80" w:before="0"/>
      </w:pPr>
      <w:r>
        <w:rPr>
          <w:b/>
          <w:bCs/>
          <w:sz w:val="19"/>
          <w:szCs w:val="19"/>
        </w:rPr>
        <w:t xml:space="preserve">On-site support. </w:t>
      </w:r>
      <w:sdt>
        <w:sdtPr>
          <w:rPr>
            <w:sz w:val="19"/>
            <w:szCs w:val="19"/>
          </w:rPr>
          <w:alias w:val="On-site text"/>
          <w:tag w:val="MIT.OnSiteText"/>
          <w:id w:val="1141276425"/>
          <w:text/>
        </w:sdtPr>
        <w:sdtContent>
          <w:r>
            <w:rPr>
              <w:sz w:val="19"/>
              <w:szCs w:val="19"/>
            </w:rPr>
            <w:t xml:space="preserve">[On-site visits, when needed, are billed at $125/hour in 30-minute increments.]</w:t>
          </w:r>
        </w:sdtContent>
      </w:sdt>
    </w:p>
    <w:p>
      <w:pPr>
        <w:spacing w:after="80" w:before="0"/>
      </w:pPr>
      <w:r>
        <w:rPr>
          <w:b/>
          <w:bCs/>
          <w:sz w:val="19"/>
          <w:szCs w:val="19"/>
        </w:rPr>
        <w:t xml:space="preserve">Security protection. </w:t>
      </w:r>
      <w:r>
        <w:rPr>
          <w:sz w:val="19"/>
          <w:szCs w:val="19"/>
        </w:rPr>
        <w:t xml:space="preserve">Every covered computer runs The IT Guys' endpoint detection and response platform, and a security operations center monitors your devices and Microsoft 365 accounts for threats, with The IT Guys responding within the scope of this plan. Any exception is listed under Client-specific terms.</w:t>
      </w:r>
    </w:p>
    <w:sdt>
      <w:sdtPr>
        <w:alias w:val="M365 backup paragraph"/>
        <w:tag w:val="IF.M365Backup"/>
        <w:id w:val="1838414082"/>
      </w:sdtPr>
      <w:sdtContent>
        <w:p>
          <w:pPr>
            <w:spacing w:after="80" w:before="0"/>
          </w:pPr>
          <w:r>
            <w:rPr>
              <w:b/>
              <w:bCs/>
              <w:sz w:val="19"/>
              <w:szCs w:val="19"/>
            </w:rPr>
            <w:t xml:space="preserve">Microsoft 365 backup. </w:t>
          </w:r>
          <w:r>
            <w:rPr>
              <w:sz w:val="19"/>
              <w:szCs w:val="19"/>
            </w:rPr>
            <w:t xml:space="preserve">Microsoft 365 backup covers your </w:t>
          </w:r>
          <w:sdt>
            <w:sdtPr>
              <w:rPr>
                <w:sz w:val="19"/>
                <w:szCs w:val="19"/>
              </w:rPr>
              <w:alias w:val="MIT.M365BackupUsers"/>
              <w:tag w:val="MIT.M365BackupUsers"/>
              <w:id w:val="675433707"/>
              <w:text/>
            </w:sdtPr>
            <w:sdtContent>
              <w:r>
                <w:rPr>
                  <w:sz w:val="19"/>
                  <w:szCs w:val="19"/>
                </w:rPr>
                <w:t xml:space="preserve">[N]</w:t>
              </w:r>
            </w:sdtContent>
          </w:sdt>
          <w:r>
            <w:rPr>
              <w:sz w:val="19"/>
              <w:szCs w:val="19"/>
            </w:rPr>
            <w:t xml:space="preserve"> users' email, OneDrive, SharePoint and Teams data. Backups run several times a day, protected Microsoft 365 data is retained for 7 years, and backup status and failures are monitored by The IT Guys, with a test restore each quarter. The price includes up to 1 TB of backed-up data per user, pooled across your organization </w:t>
          </w:r>
          <w:sdt>
            <w:sdtPr>
              <w:rPr>
                <w:sz w:val="19"/>
                <w:szCs w:val="19"/>
              </w:rPr>
              <w:alias w:val="Pooled TB note"/>
              <w:tag w:val="MIT.M365Pool"/>
              <w:id w:val="1046289865"/>
              <w:text/>
            </w:sdtPr>
            <w:sdtContent>
              <w:r>
                <w:rPr>
                  <w:sz w:val="19"/>
                  <w:szCs w:val="19"/>
                </w:rPr>
                <w:t xml:space="preserve">([N] TB at [N] users)</w:t>
              </w:r>
            </w:sdtContent>
          </w:sdt>
          <w:r>
            <w:rPr>
              <w:sz w:val="19"/>
              <w:szCs w:val="19"/>
            </w:rPr>
            <w:t xml:space="preserve">; if backed-up data ever exceeds that, additional storage is billed at The IT Guys' cost plus 20%, only after written notice to you. Restoring deleted email or files is part of normal support; a large-scale recovery after a major incident may be quoted separately.</w:t>
          </w:r>
          <w:sdt>
            <w:sdtPr>
              <w:rPr>
                <w:sz w:val="19"/>
                <w:szCs w:val="19"/>
              </w:rPr>
              <w:alias w:val="Computer backup note (blank = removed)"/>
              <w:tag w:val="MIT.ComputerBackupNote"/>
              <w:id w:val="269111510"/>
              <w:text/>
            </w:sdtPr>
            <w:sdtContent>
              <w:r>
                <w:rPr>
                  <w:sz w:val="19"/>
                  <w:szCs w:val="19"/>
                </w:rPr>
                <w:t xml:space="preserve"> [Computers are not backed up separately, so staff should keep work files in OneDrive.]</w:t>
              </w:r>
            </w:sdtContent>
          </w:sdt>
        </w:p>
      </w:sdtContent>
    </w:sdt>
    <w:sdt>
      <w:sdtPr>
        <w:alias w:val="System backup paragraph"/>
        <w:tag w:val="IF.SystemBackup"/>
        <w:id w:val="1989690231"/>
      </w:sdtPr>
      <w:sdtContent>
        <w:p>
          <w:pPr>
            <w:spacing w:after="80" w:before="0"/>
          </w:pPr>
          <w:r>
            <w:rPr>
              <w:b/>
              <w:bCs/>
              <w:sz w:val="19"/>
              <w:szCs w:val="19"/>
            </w:rPr>
            <w:t xml:space="preserve">Server and computer backup. </w:t>
          </w:r>
          <w:r>
            <w:rPr>
              <w:sz w:val="19"/>
              <w:szCs w:val="19"/>
            </w:rPr>
            <w:t xml:space="preserve">The systems listed in the pricing table are backed up, with backup status and failures monitored by The IT Guys and restores tested. Each price includes stored backup data up to 1 TB per server and 200 GB per computer, pooled across your protected systems; if stored data ever exceeds that, additional storage is billed at The IT Guys' cost plus 20%, only after written notice to you. Backup frequency and retention for each system are set out in your Client Service Schedule. Routine restores are part of normal support; a large-scale recovery after a major incident may be quoted separately.</w:t>
          </w:r>
        </w:p>
      </w:sdtContent>
    </w:sdt>
    <w:sdt>
      <w:sdtPr>
        <w:alias w:val="Health information paragraph"/>
        <w:tag w:val="IF.HIPAA"/>
        <w:id w:val="1914393526"/>
      </w:sdtPr>
      <w:sdtContent>
        <w:p>
          <w:pPr>
            <w:spacing w:after="80" w:before="0"/>
          </w:pPr>
          <w:r>
            <w:rPr>
              <w:b/>
              <w:bCs/>
              <w:sz w:val="19"/>
              <w:szCs w:val="19"/>
            </w:rPr>
            <w:t xml:space="preserve">Health information. </w:t>
          </w:r>
          <w:r>
            <w:rPr>
              <w:sz w:val="19"/>
              <w:szCs w:val="19"/>
            </w:rPr>
            <w:t xml:space="preserve">A Business Associate Agreement covering these managed services is signed with the Master Services Agreement.</w:t>
          </w:r>
          <w:sdt>
            <w:sdtPr>
              <w:rPr>
                <w:sz w:val="19"/>
                <w:szCs w:val="19"/>
              </w:rPr>
              <w:alias w:val="BAA note (blank = removed)"/>
              <w:tag w:val="MIT.BAANote"/>
              <w:id w:val="1653846452"/>
              <w:text/>
            </w:sdtPr>
            <w:sdtContent>
              <w:r>
                <w:rPr>
                  <w:sz w:val="19"/>
                  <w:szCs w:val="19"/>
                </w:rPr>
                <w:t xml:space="preserve">[ Your existing Business Associate Agreement covers the integration project only.]</w:t>
              </w:r>
            </w:sdtContent>
          </w:sdt>
        </w:p>
      </w:sdtContent>
    </w:sdt>
    <w:p>
      <w:pPr>
        <w:spacing w:after="80" w:before="0"/>
      </w:pPr>
      <w:r>
        <w:rPr>
          <w:b/>
          <w:bCs/>
          <w:sz w:val="19"/>
          <w:szCs w:val="19"/>
        </w:rPr>
        <w:t xml:space="preserve">Client-specific terms. </w:t>
      </w:r>
      <w:sdt>
        <w:sdtPr>
          <w:rPr>
            <w:sz w:val="19"/>
            <w:szCs w:val="19"/>
          </w:rPr>
          <w:alias w:val="Client-specific terms"/>
          <w:tag w:val="MIT.ClientTerms"/>
          <w:id w:val="1126998265"/>
          <w:text/>
        </w:sdtPr>
        <w:sdtContent>
          <w:r>
            <w:rPr>
              <w:sz w:val="19"/>
              <w:szCs w:val="19"/>
            </w:rPr>
            <w:t xml:space="preserve">[None. / List each term in one sentence — e.g., Endpoint protection uses your Microsoft Defender for Business instead of The IT Guys' endpoint protection platform. Every client-specific term is also recorded in your Client Service Schedule.]</w:t>
          </w:r>
        </w:sdtContent>
      </w:sdt>
    </w:p>
    <w:p>
      <w:pPr>
        <w:spacing w:after="80" w:before="0"/>
      </w:pPr>
      <w:r>
        <w:rPr>
          <w:b/>
          <w:bCs/>
          <w:sz w:val="19"/>
          <w:szCs w:val="19"/>
        </w:rPr>
        <w:t xml:space="preserve">Review. </w:t>
      </w:r>
      <w:r>
        <w:rPr>
          <w:sz w:val="19"/>
          <w:szCs w:val="19"/>
        </w:rPr>
        <w:t xml:space="preserve">This plan is sized for </w:t>
      </w:r>
      <w:sdt>
        <w:sdtPr>
          <w:rPr>
            <w:sz w:val="19"/>
            <w:szCs w:val="19"/>
          </w:rPr>
          <w:alias w:val="Sized for"/>
          <w:tag w:val="MIT.SizedFor"/>
          <w:id w:val="651042186"/>
          <w:text/>
        </w:sdtPr>
        <w:sdtContent>
          <w:r>
            <w:rPr>
              <w:sz w:val="19"/>
              <w:szCs w:val="19"/>
            </w:rPr>
            <w:t xml:space="preserve">[your business as it is today / the clinic as it opens]</w:t>
          </w:r>
        </w:sdtContent>
      </w:sdt>
      <w:r>
        <w:rPr>
          <w:sz w:val="19"/>
          <w:szCs w:val="19"/>
        </w:rPr>
        <w:t xml:space="preserve">. If your actual support needs turn out to be materially different, The IT Guys will review the plan with you and adjust it together.</w:t>
      </w:r>
    </w:p>
    <w:p>
      <w:pPr>
        <w:spacing w:after="80" w:before="0"/>
      </w:pPr>
      <w:r>
        <w:rPr>
          <w:b/>
          <w:bCs/>
          <w:sz w:val="19"/>
          <w:szCs w:val="19"/>
        </w:rPr>
        <w:t xml:space="preserve">Not included. </w:t>
      </w:r>
      <w:sdt>
        <w:sdtPr>
          <w:rPr>
            <w:sz w:val="19"/>
            <w:szCs w:val="19"/>
          </w:rPr>
          <w:alias w:val="MIT.BackupExclusion"/>
          <w:tag w:val="MIT.BackupExclusion"/>
          <w:id w:val="458729071"/>
          <w:text/>
        </w:sdtPr>
        <w:sdtContent>
          <w:r>
            <w:rPr>
              <w:sz w:val="19"/>
              <w:szCs w:val="19"/>
            </w:rPr>
            <w:t xml:space="preserve">[Backup of computers, phones, tablets or any system other than the Microsoft 365 data listed above / Backup, unless selected]</w:t>
          </w:r>
        </w:sdtContent>
      </w:sdt>
      <w:r>
        <w:rPr>
          <w:sz w:val="19"/>
          <w:szCs w:val="19"/>
        </w:rPr>
        <w:t xml:space="preserve">; Microsoft 365 and other third-party licenses and subscriptions; individual end-user password-manager accounts (shared/team credential management is included); project work (new device deployments, migrations, network, firewall and Wi-Fi work, cameras and physical security); </w:t>
      </w:r>
      <w:sdt>
        <w:sdtPr>
          <w:rPr>
            <w:sz w:val="19"/>
            <w:szCs w:val="19"/>
          </w:rPr>
          <w:alias w:val="LOB prefix (blank = removed)"/>
          <w:tag w:val="MIT.LOBPrefix"/>
          <w:id w:val="1412695373"/>
          <w:text/>
        </w:sdtPr>
        <w:sdtContent>
          <w:r>
            <w:rPr>
              <w:sz w:val="19"/>
              <w:szCs w:val="19"/>
            </w:rPr>
            <w:t xml:space="preserve">[EMR or other ]</w:t>
          </w:r>
        </w:sdtContent>
      </w:sdt>
      <w:r>
        <w:rPr>
          <w:sz w:val="19"/>
          <w:szCs w:val="19"/>
        </w:rPr>
        <w:t xml:space="preserve">line-of-business application support beyond ordinary access issues; after-hours or emergency work; compliance certification</w:t>
      </w:r>
      <w:sdt>
        <w:sdtPr>
          <w:rPr>
            <w:sz w:val="19"/>
            <w:szCs w:val="19"/>
          </w:rPr>
          <w:alias w:val="Extra exclusions (blank = removed)"/>
          <w:tag w:val="MIT.ExtraExclusions"/>
          <w:id w:val="456646286"/>
          <w:text/>
        </w:sdtPr>
        <w:sdtContent>
          <w:r>
            <w:rPr>
              <w:sz w:val="19"/>
              <w:szCs w:val="19"/>
            </w:rPr>
            <w:t xml:space="preserve">[; other client-specific exclusions]</w:t>
          </w:r>
        </w:sdtContent>
      </w:sdt>
      <w:r>
        <w:rPr>
          <w:sz w:val="19"/>
          <w:szCs w:val="19"/>
        </w:rPr>
        <w:t xml:space="preserve">.</w:t>
      </w:r>
    </w:p>
    <w:p>
      <w:pPr>
        <w:keepNext/>
        <w:spacing w:after="80" w:before="160"/>
      </w:pPr>
      <w:r>
        <w:rPr>
          <w:b/>
          <w:bCs/>
          <w:color w:val="2E74B5"/>
          <w:sz w:val="24"/>
          <w:szCs w:val="24"/>
        </w:rPr>
        <w:t xml:space="preserve">3. Term, Payment &amp; Agreement</w:t>
      </w:r>
    </w:p>
    <w:p>
      <w:pPr>
        <w:spacing w:after="80" w:before="0"/>
      </w:pPr>
      <w:r>
        <w:rPr>
          <w:b/>
          <w:bCs/>
          <w:sz w:val="19"/>
          <w:szCs w:val="19"/>
        </w:rPr>
        <w:t xml:space="preserve">Term. </w:t>
      </w:r>
      <w:r>
        <w:rPr>
          <w:sz w:val="19"/>
          <w:szCs w:val="19"/>
        </w:rPr>
        <w:t xml:space="preserve">The relationship is subject to the 12-month minimum Initial Term stated in the Master Services Agreement, beginning on the MSA Effective Date. Recurring service billing begins on the service start date stated in this Quote and the Client Service Schedule. The Agreement automatically renews for successive 12-month terms unless either Party gives written non-renewal notice at least 30 days before the end of the then-current term. Termination, nonpayment and breach remedies are governed by the Master Services Agreement.</w:t>
      </w:r>
    </w:p>
    <w:p>
      <w:pPr>
        <w:spacing w:after="80" w:before="0"/>
      </w:pPr>
      <w:r>
        <w:rPr>
          <w:b/>
          <w:bCs/>
          <w:sz w:val="19"/>
          <w:szCs w:val="19"/>
        </w:rPr>
        <w:t xml:space="preserve">Annual pricing. </w:t>
      </w:r>
      <w:r>
        <w:rPr>
          <w:sz w:val="19"/>
          <w:szCs w:val="19"/>
        </w:rPr>
        <w:t xml:space="preserve">Recurring service fees automatically increase 4% at each annual renewal unless the signed Client Service Schedule states a different arrangement. The IT Guys gives at least 45 days' written notice of upcoming renewal pricing.</w:t>
      </w:r>
    </w:p>
    <w:p>
      <w:pPr>
        <w:spacing w:after="80" w:before="0"/>
      </w:pPr>
      <w:r>
        <w:rPr>
          <w:b/>
          <w:bCs/>
          <w:sz w:val="19"/>
          <w:szCs w:val="19"/>
        </w:rPr>
        <w:t xml:space="preserve">Third-party cost changes. </w:t>
      </w:r>
      <w:r>
        <w:rPr>
          <w:sz w:val="19"/>
          <w:szCs w:val="19"/>
        </w:rPr>
        <w:t xml:space="preserve">Material changes in third-party vendor, licensing, security, backup, cloud, tax or other externally imposed costs affecting an included service may result in a separate adjustment to the affected service fee as permitted by the Master Services Agreement. The same underlying cost component will not receive both adjustments for the same period.</w:t>
      </w:r>
    </w:p>
    <w:p>
      <w:pPr>
        <w:spacing w:after="80" w:before="0"/>
      </w:pPr>
      <w:r>
        <w:rPr>
          <w:b/>
          <w:bCs/>
          <w:sz w:val="19"/>
          <w:szCs w:val="19"/>
        </w:rPr>
        <w:t xml:space="preserve">Changes. </w:t>
      </w:r>
      <w:r>
        <w:rPr>
          <w:sz w:val="19"/>
          <w:szCs w:val="19"/>
        </w:rPr>
        <w:t xml:space="preserve">Adding or removing users, devices, servers, backup, or on-site block hours is documented and authorized as applicable under the Master Services Agreement and Client Service Schedule; recurring fees generally adjust beginning with the next full billing cycle. Project work, on-site visits beyond any pre-purchased block, and after-hours work are billed at the rates on page 1 and are not part of the monthly fee.</w:t>
      </w:r>
    </w:p>
    <w:p>
      <w:pPr>
        <w:spacing w:after="80" w:before="0"/>
      </w:pPr>
      <w:r>
        <w:rPr>
          <w:b/>
          <w:bCs/>
          <w:sz w:val="19"/>
          <w:szCs w:val="19"/>
        </w:rPr>
        <w:t xml:space="preserve">Client responsibilities. </w:t>
      </w:r>
      <w:r>
        <w:rPr>
          <w:sz w:val="19"/>
          <w:szCs w:val="19"/>
        </w:rPr>
        <w:t xml:space="preserve">Provide timely access to systems, accounts and locations; keep an authorized decision maker available for approvals; maintain the Client's own subscriptions and services (Microsoft 365, internet, domain/hosting, line-of-business software); notify The IT Guys promptly of material changes; and consider the recommendations The IT Guys documents in writing.</w:t>
      </w:r>
    </w:p>
    <w:p>
      <w:pPr>
        <w:spacing w:after="80" w:before="0"/>
      </w:pPr>
      <w:r>
        <w:rPr>
          <w:b/>
          <w:bCs/>
          <w:sz w:val="19"/>
          <w:szCs w:val="19"/>
        </w:rPr>
        <w:t xml:space="preserve">Payment. </w:t>
      </w:r>
      <w:r>
        <w:rPr>
          <w:sz w:val="19"/>
          <w:szCs w:val="19"/>
        </w:rPr>
        <w:t xml:space="preserve">The one-time onboarding fee is invoiced when the Client Service Schedule is signed and is due within 15 days. The monthly service fee begins on the service start date and is billed as set out in the Client Service Schedule. Project, hourly and after-hours work is invoiced separately, and invoices are due within 15 days in accordance with the Master Services Agreement. Applicable taxes are billed in addition.</w:t>
      </w:r>
    </w:p>
    <w:p>
      <w:pPr>
        <w:spacing w:after="80" w:before="0"/>
      </w:pPr>
      <w:r>
        <w:rPr>
          <w:b/>
          <w:bCs/>
          <w:sz w:val="19"/>
          <w:szCs w:val="19"/>
        </w:rPr>
        <w:t xml:space="preserve">Agreement. </w:t>
      </w:r>
      <w:r>
        <w:rPr>
          <w:sz w:val="19"/>
          <w:szCs w:val="19"/>
        </w:rPr>
        <w:t xml:space="preserve">The Master Services Agreement governs the general legal terms of the relationship, including liability, confidentiality, payment default and termination. This Quote is not signed separately: the signed Client Service Schedule, which references and incorporates this Quote, establishes the Client's service tier, quantities, pricing and any client-specific terms. Where the Client's work involves protected health information, a Business Associate Agreement covering these services is signed with the Master Services Agreement. This Quote is not a compliance certification or legal advice; The IT Guys does not guarantee legal or regulatory compliance or certify HIPAA, PCI or other frameworks.</w:t>
      </w:r>
    </w:p>
    <w:p>
      <w:pPr>
        <w:spacing w:after="80" w:before="0"/>
      </w:pPr>
      <w:r>
        <w:rPr>
          <w:b/>
          <w:bCs/>
          <w:sz w:val="19"/>
          <w:szCs w:val="19"/>
        </w:rPr>
        <w:t xml:space="preserve">How to accept. </w:t>
      </w:r>
      <w:r>
        <w:rPr>
          <w:sz w:val="19"/>
          <w:szCs w:val="19"/>
        </w:rPr>
        <w:t xml:space="preserve">To accept, reply to this Quote in writing. The IT Guys will then send the Master Services Agreement and Client Service Schedule</w:t>
      </w:r>
      <w:sdt>
        <w:sdtPr>
          <w:rPr>
            <w:sz w:val="19"/>
            <w:szCs w:val="19"/>
          </w:rPr>
          <w:alias w:val="BAA in acceptance (blank = removed)"/>
          <w:tag w:val="MIT.BAAAccept"/>
          <w:id w:val="704826969"/>
          <w:text/>
        </w:sdtPr>
        <w:sdtContent>
          <w:r>
            <w:rPr>
              <w:sz w:val="19"/>
              <w:szCs w:val="19"/>
            </w:rPr>
            <w:t xml:space="preserve">[, plus a Business Associate Agreement, — only if health information]</w:t>
          </w:r>
        </w:sdtContent>
      </w:sdt>
      <w:r>
        <w:rPr>
          <w:sz w:val="19"/>
          <w:szCs w:val="19"/>
        </w:rPr>
        <w:t xml:space="preserve"> for electronic signature. Services and billing begin only after those documents are signed. This Quote is valid for 30 days from the date above.</w:t>
      </w:r>
    </w:p>
    <w:sectPr>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The IT Guys LLC  |  </w:t>
    </w:r>
    <w:sdt>
      <w:sdtPr>
        <w:rPr>
          <w:color w:val="595959"/>
          <w:sz w:val="15"/>
          <w:szCs w:val="15"/>
        </w:rPr>
        <w:alias w:val="Client short name"/>
        <w:tag w:val="MIT.ClientShortName"/>
        <w:id w:val="1131986701"/>
        <w:text/>
      </w:sdtPr>
      <w:sdtContent>
        <w:r>
          <w:rPr>
            <w:color w:val="595959"/>
            <w:sz w:val="15"/>
            <w:szCs w:val="15"/>
          </w:rPr>
          <w:t xml:space="preserve">[Client short name]</w:t>
        </w:r>
      </w:sdtContent>
    </w:sdt>
    <w:r>
      <w:rPr>
        <w:color w:val="595959"/>
        <w:sz w:val="15"/>
        <w:szCs w:val="15"/>
      </w:rPr>
      <w:t xml:space="preserve"> — Managed IT Quote  |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338B486414664D93AA26AFA4B50BB2" ma:contentTypeVersion="24" ma:contentTypeDescription="Create a new document." ma:contentTypeScope="" ma:versionID="f0c454b941055ce4ac1cd6c404789bef">
  <xsd:schema xmlns:xsd="http://www.w3.org/2001/XMLSchema" xmlns:xs="http://www.w3.org/2001/XMLSchema" xmlns:p="http://schemas.microsoft.com/office/2006/metadata/properties" xmlns:ns2="6d050ea7-5be1-4548-b554-ae046de0be96" xmlns:ns3="c4e5d2ca-fcb5-4b35-88d8-e7c78262eba0" targetNamespace="http://schemas.microsoft.com/office/2006/metadata/properties" ma:root="true" ma:fieldsID="206911466b2446140b7581ddfd1b5b10" ns2:_="" ns3:_="">
    <xsd:import namespace="6d050ea7-5be1-4548-b554-ae046de0be96"/>
    <xsd:import namespace="c4e5d2ca-fcb5-4b35-88d8-e7c78262eba0"/>
    <xsd:element name="properties">
      <xsd:complexType>
        <xsd:sequence>
          <xsd:element name="documentManagement">
            <xsd:complexType>
              <xsd:all>
                <xsd:element ref="ns2:TIG_DocumentKey" minOccurs="0"/>
                <xsd:element ref="ns2:TIG_ShortName" minOccurs="0"/>
                <xsd:element ref="ns2:TIG_DocumentType" minOccurs="0"/>
                <xsd:element ref="ns2:TIG_ServiceLane" minOccurs="0"/>
                <xsd:element ref="ns2:TIG_LifecycleStage" minOccurs="0"/>
                <xsd:element ref="ns2:TIG_PrimaryRole" minOccurs="0"/>
                <xsd:element ref="ns2:TIG_Trigger" minOccurs="0"/>
                <xsd:element ref="ns2:TIG_CurrentVersion" minOccurs="0"/>
                <xsd:element ref="ns2:TIG_VersionLabel" minOccurs="0"/>
                <xsd:element ref="ns2:TIG_Status" minOccurs="0"/>
                <xsd:element ref="ns2:TIG_UsageMode" minOccurs="0"/>
                <xsd:element ref="ns2:TIG_ClientCopyRequired" minOccurs="0"/>
                <xsd:element ref="ns2:TIG_BlocksNextStage" minOccurs="0"/>
                <xsd:element ref="ns2:TIG_SignatureRequired" minOccurs="0"/>
                <xsd:element ref="ns2:TIG_TargetClientFolder" minOccurs="0"/>
                <xsd:element ref="ns2:TIG_ProcessOwner" minOccurs="0"/>
                <xsd:element ref="ns2:TIG_EffectiveDate" minOccurs="0"/>
                <xsd:element ref="ns2:TIG_Supersedes" minOccurs="0"/>
                <xsd:element ref="ns2:TIG_ReviewDate" minOccurs="0"/>
                <xsd:element ref="ns2:TIG_ApprovedBy" minOccurs="0"/>
                <xsd:element ref="ns2:TIG_Notes"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050ea7-5be1-4548-b554-ae046de0be96" elementFormDefault="qualified">
    <xsd:import namespace="http://schemas.microsoft.com/office/2006/documentManagement/types"/>
    <xsd:import namespace="http://schemas.microsoft.com/office/infopath/2007/PartnerControls"/>
    <xsd:element name="TIG_DocumentKey" ma:index="8" nillable="true" ma:displayName="Document Key" ma:indexed="true" ma:internalName="TIG_DocumentKey">
      <xsd:simpleType>
        <xsd:restriction base="dms:Text"/>
      </xsd:simpleType>
    </xsd:element>
    <xsd:element name="TIG_ShortName" ma:index="9" nillable="true" ma:displayName="Short Name" ma:internalName="TIG_ShortName">
      <xsd:simpleType>
        <xsd:restriction base="dms:Text"/>
      </xsd:simpleType>
    </xsd:element>
    <xsd:element name="TIG_DocumentType" ma:index="10" nillable="true" ma:displayName="Document Type" ma:internalName="TIG_DocumentType">
      <xsd:simpleType>
        <xsd:restriction base="dms:Choice">
          <xsd:enumeration value="Standard"/>
          <xsd:enumeration value="SOP"/>
          <xsd:enumeration value="Runbook"/>
          <xsd:enumeration value="Checklist"/>
          <xsd:enumeration value="Form"/>
          <xsd:enumeration value="Template"/>
          <xsd:enumeration value="Policy"/>
          <xsd:enumeration value="Commercial Reference"/>
          <xsd:enumeration value="Assessment"/>
          <xsd:enumeration value="Review"/>
          <xsd:enumeration value="Configuration Artifact"/>
        </xsd:restriction>
      </xsd:simpleType>
    </xsd:element>
    <xsd:element name="TIG_ServiceLane" ma:index="11" nillable="true" ma:displayName="Service Lane" ma:internalName="TIG_ServiceLane">
      <xsd:complexType>
        <xsd:complexContent>
          <xsd:extension base="dms:MultiChoice">
            <xsd:sequence>
              <xsd:element name="Value" maxOccurs="unbounded" minOccurs="0" nillable="true">
                <xsd:simpleType>
                  <xsd:restriction base="dms:Choice">
                    <xsd:enumeration value="All"/>
                    <xsd:enumeration value="Managed IT"/>
                    <xsd:enumeration value="Business IT Integration"/>
                    <xsd:enumeration value="Network Integration"/>
                    <xsd:enumeration value="Managed Backup"/>
                    <xsd:enumeration value="Business Technology Projects"/>
                    <xsd:enumeration value="Security"/>
                    <xsd:enumeration value="Administration / Billing"/>
                  </xsd:restriction>
                </xsd:simpleType>
              </xsd:element>
            </xsd:sequence>
          </xsd:extension>
        </xsd:complexContent>
      </xsd:complexType>
    </xsd:element>
    <xsd:element name="TIG_LifecycleStage" ma:index="12" nillable="true" ma:displayName="Lifecycle Stage" ma:internalName="TIG_LifecycleStage">
      <xsd:complexType>
        <xsd:complexContent>
          <xsd:extension base="dms:MultiChoice">
            <xsd:sequence>
              <xsd:element name="Value" maxOccurs="unbounded" minOccurs="0" nillable="true">
                <xsd:simpleType>
                  <xsd:restriction base="dms:Choice">
                    <xsd:enumeration value="Sales Discovery"/>
                    <xsd:enumeration value="Technical Assessment"/>
                    <xsd:enumeration value="Risk Review"/>
                    <xsd:enumeration value="Quoting"/>
                    <xsd:enumeration value="Contracting"/>
                    <xsd:enumeration value="Client Activation"/>
                    <xsd:enumeration value="Onboarding"/>
                    <xsd:enumeration value="Go-Live"/>
                    <xsd:enumeration value="Operations"/>
                    <xsd:enumeration value="Stabilization"/>
                    <xsd:enumeration value="Monthly Review"/>
                    <xsd:enumeration value="Quarterly Review"/>
                    <xsd:enumeration value="Lifecycle Planning"/>
                    <xsd:enumeration value="Change Management"/>
                    <xsd:enumeration value="Incident Response"/>
                    <xsd:enumeration value="Project Delivery"/>
                    <xsd:enumeration value="Acceptance"/>
                    <xsd:enumeration value="Offboarding"/>
                    <xsd:enumeration value="Internal Governance"/>
                  </xsd:restriction>
                </xsd:simpleType>
              </xsd:element>
            </xsd:sequence>
          </xsd:extension>
        </xsd:complexContent>
      </xsd:complexType>
    </xsd:element>
    <xsd:element name="TIG_PrimaryRole" ma:index="13" nillable="true" ma:displayName="Primary Role" ma:internalName="TIG_PrimaryRole">
      <xsd:simpleType>
        <xsd:restriction base="dms:Choice">
          <xsd:enumeration value="Sales"/>
          <xsd:enumeration value="Client Relations"/>
          <xsd:enumeration value="Technical Lead"/>
          <xsd:enumeration value="Technician"/>
          <xsd:enumeration value="Administration"/>
          <xsd:enumeration value="Management"/>
          <xsd:enumeration value="All Technical Staff"/>
        </xsd:restriction>
      </xsd:simpleType>
    </xsd:element>
    <xsd:element name="TIG_Trigger" ma:index="14" nillable="true" ma:displayName="Trigger" ma:internalName="TIG_Trigger">
      <xsd:simpleType>
        <xsd:restriction base="dms:Note">
          <xsd:maxLength value="255"/>
        </xsd:restriction>
      </xsd:simpleType>
    </xsd:element>
    <xsd:element name="TIG_CurrentVersion" ma:index="15" nillable="true" ma:displayName="Current Version" ma:decimals="2" ma:internalName="TIG_CurrentVersion">
      <xsd:simpleType>
        <xsd:restriction base="dms:Number"/>
      </xsd:simpleType>
    </xsd:element>
    <xsd:element name="TIG_VersionLabel" ma:index="16" nillable="true" ma:displayName="Version Label" ma:internalName="TIG_VersionLabel">
      <xsd:simpleType>
        <xsd:restriction base="dms:Text"/>
      </xsd:simpleType>
    </xsd:element>
    <xsd:element name="TIG_Status" ma:index="17" nillable="true" ma:displayName="Status" ma:default="Draft" ma:indexed="true" ma:internalName="TIG_Status">
      <xsd:simpleType>
        <xsd:restriction base="dms:Choice">
          <xsd:enumeration value="Draft"/>
          <xsd:enumeration value="Review"/>
          <xsd:enumeration value="Approved"/>
          <xsd:enumeration value="Superseded"/>
          <xsd:enumeration value="Retired"/>
        </xsd:restriction>
      </xsd:simpleType>
    </xsd:element>
    <xsd:element name="TIG_UsageMode" ma:index="18" nillable="true" ma:displayName="Usage Mode" ma:internalName="TIG_UsageMode">
      <xsd:simpleType>
        <xsd:restriction base="dms:Choice">
          <xsd:enumeration value="Client Copy Template"/>
          <xsd:enumeration value="Reference Only"/>
          <xsd:enumeration value="Internal Only"/>
          <xsd:enumeration value="Internal Record"/>
          <xsd:enumeration value="Client Record"/>
        </xsd:restriction>
      </xsd:simpleType>
    </xsd:element>
    <xsd:element name="TIG_ClientCopyRequired" ma:index="19" nillable="true" ma:displayName="Client Copy Required" ma:default="0" ma:internalName="TIG_ClientCopyRequired">
      <xsd:simpleType>
        <xsd:restriction base="dms:Boolean"/>
      </xsd:simpleType>
    </xsd:element>
    <xsd:element name="TIG_BlocksNextStage" ma:index="20" nillable="true" ma:displayName="Blocks Next Stage" ma:default="0" ma:internalName="TIG_BlocksNextStage">
      <xsd:simpleType>
        <xsd:restriction base="dms:Boolean"/>
      </xsd:simpleType>
    </xsd:element>
    <xsd:element name="TIG_SignatureRequired" ma:index="21" nillable="true" ma:displayName="Signature Required" ma:default="0" ma:internalName="TIG_SignatureRequired">
      <xsd:simpleType>
        <xsd:restriction base="dms:Boolean"/>
      </xsd:simpleType>
    </xsd:element>
    <xsd:element name="TIG_TargetClientFolder" ma:index="22" nillable="true" ma:displayName="Target Client Folder" ma:internalName="TIG_TargetClientFolder">
      <xsd:simpleType>
        <xsd:restriction base="dms:Choice">
          <xsd:enumeration value="Commercial"/>
          <xsd:enumeration value="Assessments"/>
          <xsd:enumeration value="Risk"/>
          <xsd:enumeration value="Activation"/>
          <xsd:enumeration value="Onboarding"/>
          <xsd:enumeration value="Reviews"/>
          <xsd:enumeration value="Projects"/>
          <xsd:enumeration value="Acceptance"/>
          <xsd:enumeration value="Offboarding"/>
        </xsd:restriction>
      </xsd:simpleType>
    </xsd:element>
    <xsd:element name="TIG_ProcessOwner" ma:index="23" nillable="true" ma:displayName="Process Owner" ma:internalName="TIG_Process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G_EffectiveDate" ma:index="24" nillable="true" ma:displayName="Effective Date" ma:format="DateOnly" ma:internalName="TIG_EffectiveDate">
      <xsd:simpleType>
        <xsd:restriction base="dms:DateTime"/>
      </xsd:simpleType>
    </xsd:element>
    <xsd:element name="TIG_Supersedes" ma:index="25" nillable="true" ma:displayName="Supersedes" ma:internalName="TIG_Supersedes">
      <xsd:simpleType>
        <xsd:restriction base="dms:Text"/>
      </xsd:simpleType>
    </xsd:element>
    <xsd:element name="TIG_ReviewDate" ma:index="26" nillable="true" ma:displayName="Review Date" ma:format="DateOnly" ma:indexed="true" ma:internalName="TIG_ReviewDate">
      <xsd:simpleType>
        <xsd:restriction base="dms:DateTime"/>
      </xsd:simpleType>
    </xsd:element>
    <xsd:element name="TIG_ApprovedBy" ma:index="27" nillable="true" ma:displayName="Approved By" ma:internalName="TIG_Appro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G_Notes" ma:index="28" nillable="true" ma:displayName="Notes" ma:internalName="TIG_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e5d2ca-fcb5-4b35-88d8-e7c78262eba0"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G_Trigger xmlns="6d050ea7-5be1-4548-b554-ae046de0be96">Quote-ready: assessment done or not required, and Risk Register approved for quoting if one exists</TIG_Trigger>
    <TIG_TargetClientFolder xmlns="6d050ea7-5be1-4548-b554-ae046de0be96">Commercial</TIG_TargetClientFolder>
    <TIG_ReviewDate xmlns="6d050ea7-5be1-4548-b554-ae046de0be96">2027-04-08T07:00:00+00:00</TIG_ReviewDate>
    <TIG_PrimaryRole xmlns="6d050ea7-5be1-4548-b554-ae046de0be96">Management</TIG_PrimaryRole>
    <TIG_DocumentType xmlns="6d050ea7-5be1-4548-b554-ae046de0be96">Template</TIG_DocumentType>
    <TIG_ClientCopyRequired xmlns="6d050ea7-5be1-4548-b554-ae046de0be96">true</TIG_ClientCopyRequired>
    <TIG_EffectiveDate xmlns="6d050ea7-5be1-4548-b554-ae046de0be96" xsi:nil="true"/>
    <TIG_ServiceLane xmlns="6d050ea7-5be1-4548-b554-ae046de0be96">
      <Value>Managed IT</Value>
      <Value>Managed Backup</Value>
      <Value>Security</Value>
    </TIG_ServiceLane>
    <TIG_VersionLabel xmlns="6d050ea7-5be1-4548-b554-ae046de0be96">v1.7</TIG_VersionLabel>
    <TIG_ShortName xmlns="6d050ea7-5be1-4548-b554-ae046de0be96">Proposal</TIG_ShortName>
    <TIG_LifecycleStage xmlns="6d050ea7-5be1-4548-b554-ae046de0be96">
      <Value>Quoting</Value>
    </TIG_LifecycleStage>
    <TIG_CurrentVersion xmlns="6d050ea7-5be1-4548-b554-ae046de0be96">1.7</TIG_CurrentVersion>
    <TIG_DocumentKey xmlns="6d050ea7-5be1-4548-b554-ae046de0be96">COM-PRP</TIG_DocumentKey>
    <TIG_BlocksNextStage xmlns="6d050ea7-5be1-4548-b554-ae046de0be96">true</TIG_BlocksNextStage>
    <TIG_Supersedes xmlns="6d050ea7-5be1-4548-b554-ae046de0be96">v12</TIG_Supersedes>
    <TIG_ApprovedBy xmlns="6d050ea7-5be1-4548-b554-ae046de0be96">
      <UserInfo>
        <DisplayName/>
        <AccountId xsi:nil="true"/>
        <AccountType/>
      </UserInfo>
    </TIG_ApprovedBy>
    <TIG_UsageMode xmlns="6d050ea7-5be1-4548-b554-ae046de0be96">Client Copy Template</TIG_UsageMode>
    <TIG_Notes xmlns="6d050ea7-5be1-4548-b554-ae046de0be96">Blocks Contracting until accepted. Acceptance is recorded by Mark Won; if the template has a client acceptance signature block, set Signature Required = Yes</TIG_Notes>
    <TIG_Status xmlns="6d050ea7-5be1-4548-b554-ae046de0be96">Approved</TIG_Status>
    <TIG_SignatureRequired xmlns="6d050ea7-5be1-4548-b554-ae046de0be96">false</TIG_SignatureRequired>
    <TIG_ProcessOwner xmlns="6d050ea7-5be1-4548-b554-ae046de0be96">
      <UserInfo>
        <DisplayName>Joshua Herron</DisplayName>
        <AccountId>11</AccountId>
        <AccountType/>
      </UserInfo>
    </TIG_ProcessOwner>
  </documentManagement>
</p:properties>
</file>

<file path=customXml/itemProps1.xml><?xml version="1.0" encoding="utf-8"?>
<ds:datastoreItem xmlns:ds="http://schemas.openxmlformats.org/officeDocument/2006/customXml" ds:itemID="{DF4A4317-7ABC-41D2-B6D9-432D88CFC30D}"/>
</file>

<file path=customXml/itemProps2.xml><?xml version="1.0" encoding="utf-8"?>
<ds:datastoreItem xmlns:ds="http://schemas.openxmlformats.org/officeDocument/2006/customXml" ds:itemID="{71E5048F-DBE2-4DF0-A96F-E12F2C1717A0}"/>
</file>

<file path=customXml/itemProps3.xml><?xml version="1.0" encoding="utf-8"?>
<ds:datastoreItem xmlns:ds="http://schemas.openxmlformats.org/officeDocument/2006/customXml" ds:itemID="{093AA70B-FEAA-40BD-AF18-4326768DF9D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IT Guys — Managed IT Quote template</dc:title>
  <dc:creator>The IT Guys LLC</dc:creator>
  <cp:lastModifiedBy>Un-named</cp:lastModifiedBy>
  <cp:revision>1</cp:revision>
  <dcterms:created xsi:type="dcterms:W3CDTF">2026-10-09T01:41:08Z</dcterms:created>
  <dcterms:modified xsi:type="dcterms:W3CDTF">2026-10-09T01:41:08Z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0x01010078338B486414664D93AA26AFA4B50BB2</vt:lpwstr>
  </property>
</Properties>
</file>