
<file path=[Content_Types].xml><?xml version="1.0" encoding="utf-8"?>
<Types xmlns="http://schemas.openxmlformats.org/package/2006/content-types">
  <Default Extension="rels" ContentType="application/vnd.openxmlformats-package.relationships+xml"/>
  <Default Extension="xml" ContentType="application/xml"/>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line="240" w:lineRule="auto"/>
        <w:jc w:val="center"/>
      </w:pPr>
      <w:r>
        <w:rPr>
          <w:rFonts w:ascii="Calibri" w:hAnsi="Calibri" w:eastAsia="Calibri" w:cs="Calibri"/>
          <w:b/>
          <w:bCs/>
          <w:color w:val="1F3864"/>
          <w:sz w:val="24"/>
          <w:szCs w:val="24"/>
        </w:rPr>
        <w:t xml:space="preserve">THE IT GUYS</w:t>
      </w:r>
    </w:p>
    <w:p>
      <w:pPr>
        <w:spacing w:before="0" w:after="20" w:line="240" w:lineRule="auto"/>
        <w:jc w:val="center"/>
      </w:pPr>
      <w:r>
        <w:rPr>
          <w:rFonts w:ascii="Calibri" w:hAnsi="Calibri" w:eastAsia="Calibri" w:cs="Calibri"/>
          <w:b/>
          <w:bCs/>
          <w:sz w:val="30"/>
          <w:szCs w:val="30"/>
        </w:rPr>
        <w:t xml:space="preserve">Project Quote &amp; Statement of Work</w:t>
      </w:r>
    </w:p>
    <w:p>
      <w:pPr>
        <w:spacing w:before="0" w:after="80" w:line="240" w:lineRule="auto"/>
        <w:jc w:val="center"/>
      </w:pPr>
      <w:r>
        <w:rPr>
          <w:rFonts w:ascii="Calibri" w:hAnsi="Calibri" w:eastAsia="Calibri" w:cs="Calibri"/>
          <w:color w:val="595959"/>
          <w:sz w:val="19"/>
          <w:szCs w:val="19"/>
        </w:rPr>
        <w:t xml:space="preserve">One-time project — complete terms included, no other agreement required</w:t>
      </w:r>
    </w:p>
    <w:tbl>
      <w:tblPr>
        <w:tblW w:w="10080" w:type="dxa"/>
        <w:tblLayout w:type="fixed"/>
      </w:tblPr>
      <w:tblGrid>
        <w:gridCol w:w="1500"/>
        <w:gridCol w:w="3540"/>
        <w:gridCol w:w="1500"/>
        <w:gridCol w:w="3540"/>
      </w:tblGrid>
      <w:tr>
        <w:trPr>
          <w:cantSplit/>
        </w:trPr>
        <w:tc>
          <w:tcPr>
            <w:tcW w:w="1500" w:type="dxa"/>
            <w:tcBorders>
              <w:top w:val="single" w:color="BFBFBF" w:sz="4"/>
              <w:left w:val="single" w:color="BFBFBF" w:sz="4"/>
              <w:bottom w:val="single" w:color="BFBFBF" w:sz="4"/>
              <w:right w:val="single" w:color="BFBFBF" w:sz="4"/>
            </w:tcBorders>
            <w:shd w:val="clear" w:color="auto" w:fill="F2F2F2"/>
            <w:tcMar>
              <w:top w:w="35" w:type="dxa"/>
              <w:left w:w="90" w:type="dxa"/>
              <w:bottom w:w="35" w:type="dxa"/>
              <w:right w:w="90" w:type="dxa"/>
            </w:tcMar>
          </w:tcPr>
          <w:p>
            <w:pPr>
              <w:spacing w:before="0" w:after="0" w:line="240" w:lineRule="auto"/>
            </w:pPr>
            <w:r>
              <w:rPr>
                <w:rFonts w:ascii="Calibri" w:hAnsi="Calibri" w:eastAsia="Calibri" w:cs="Calibri"/>
                <w:b/>
                <w:bCs/>
                <w:sz w:val="17"/>
                <w:szCs w:val="17"/>
              </w:rPr>
              <w:t xml:space="preserve">Client</w:t>
            </w:r>
          </w:p>
        </w:tc>
        <w:tc>
          <w:tcPr>
            <w:tcW w:w="354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pPr>
              <w:spacing w:before="0" w:after="0" w:line="240" w:lineRule="auto"/>
            </w:pPr>
            <w:sdt>
              <w:sdtPr>
                <w:rPr>
                  <w:rFonts w:ascii="Calibri" w:hAnsi="Calibri" w:eastAsia="Calibri" w:cs="Calibri"/>
                  <w:sz w:val="17"/>
                  <w:szCs w:val="17"/>
                </w:rPr>
                <w:alias w:val="Business name"/>
                <w:tag w:val="ENG.BusinessName"/>
                <w:id w:val="1473158606"/>
                <w:text w:multiLine="1"/>
              </w:sdtPr>
              <w:sdtContent>
                <w:r>
                  <w:rPr>
                    <w:rFonts w:ascii="Calibri" w:hAnsi="Calibri" w:eastAsia="Calibri" w:cs="Calibri"/>
                    <w:sz w:val="17"/>
                    <w:szCs w:val="17"/>
                  </w:rPr>
                  <w:t xml:space="preserve">[Client business name]</w:t>
                </w:r>
              </w:sdtContent>
            </w:sdt>
          </w:p>
        </w:tc>
        <w:tc>
          <w:tcPr>
            <w:tcW w:w="1500" w:type="dxa"/>
            <w:tcBorders>
              <w:top w:val="single" w:color="BFBFBF" w:sz="4"/>
              <w:left w:val="single" w:color="BFBFBF" w:sz="4"/>
              <w:bottom w:val="single" w:color="BFBFBF" w:sz="4"/>
              <w:right w:val="single" w:color="BFBFBF" w:sz="4"/>
            </w:tcBorders>
            <w:shd w:val="clear" w:color="auto" w:fill="F2F2F2"/>
            <w:tcMar>
              <w:top w:w="35" w:type="dxa"/>
              <w:left w:w="90" w:type="dxa"/>
              <w:bottom w:w="35" w:type="dxa"/>
              <w:right w:w="90" w:type="dxa"/>
            </w:tcMar>
          </w:tcPr>
          <w:p>
            <w:pPr>
              <w:spacing w:before="0" w:after="0" w:line="240" w:lineRule="auto"/>
            </w:pPr>
            <w:r>
              <w:rPr>
                <w:rFonts w:ascii="Calibri" w:hAnsi="Calibri" w:eastAsia="Calibri" w:cs="Calibri"/>
                <w:b/>
                <w:bCs/>
                <w:sz w:val="17"/>
                <w:szCs w:val="17"/>
              </w:rPr>
              <w:t xml:space="preserve">Quote ID</w:t>
            </w:r>
          </w:p>
        </w:tc>
        <w:tc>
          <w:tcPr>
            <w:tcW w:w="354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pPr>
              <w:spacing w:before="0" w:after="0" w:line="240" w:lineRule="auto"/>
            </w:pPr>
            <w:sdt>
              <w:sdtPr>
                <w:rPr>
                  <w:rFonts w:ascii="Calibri" w:hAnsi="Calibri" w:eastAsia="Calibri" w:cs="Calibri"/>
                  <w:sz w:val="17"/>
                  <w:szCs w:val="17"/>
                </w:rPr>
                <w:alias w:val="Quote ID"/>
                <w:tag w:val="ENG.QuoteId"/>
                <w:id w:val="339081663"/>
                <w:text w:multiLine="1"/>
              </w:sdtPr>
              <w:sdtContent>
                <w:r>
                  <w:rPr>
                    <w:rFonts w:ascii="Calibri" w:hAnsi="Calibri" w:eastAsia="Calibri" w:cs="Calibri"/>
                    <w:sz w:val="17"/>
                    <w:szCs w:val="17"/>
                  </w:rPr>
                  <w:t xml:space="preserve">[Quote ID]</w:t>
                </w:r>
              </w:sdtContent>
            </w:sdt>
          </w:p>
        </w:tc>
      </w:tr>
      <w:tr>
        <w:trPr>
          <w:cantSplit/>
        </w:trPr>
        <w:tc>
          <w:tcPr>
            <w:tcW w:w="1500" w:type="dxa"/>
            <w:tcBorders>
              <w:top w:val="single" w:color="BFBFBF" w:sz="4"/>
              <w:left w:val="single" w:color="BFBFBF" w:sz="4"/>
              <w:bottom w:val="single" w:color="BFBFBF" w:sz="4"/>
              <w:right w:val="single" w:color="BFBFBF" w:sz="4"/>
            </w:tcBorders>
            <w:shd w:val="clear" w:color="auto" w:fill="F2F2F2"/>
            <w:tcMar>
              <w:top w:w="35" w:type="dxa"/>
              <w:left w:w="90" w:type="dxa"/>
              <w:bottom w:w="35" w:type="dxa"/>
              <w:right w:w="90" w:type="dxa"/>
            </w:tcMar>
          </w:tcPr>
          <w:p>
            <w:pPr>
              <w:spacing w:before="0" w:after="0" w:line="240" w:lineRule="auto"/>
            </w:pPr>
            <w:r>
              <w:rPr>
                <w:rFonts w:ascii="Calibri" w:hAnsi="Calibri" w:eastAsia="Calibri" w:cs="Calibri"/>
                <w:b/>
                <w:bCs/>
                <w:sz w:val="17"/>
                <w:szCs w:val="17"/>
              </w:rPr>
              <w:t xml:space="preserve">Prepared for</w:t>
            </w:r>
          </w:p>
        </w:tc>
        <w:tc>
          <w:tcPr>
            <w:tcW w:w="354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pPr>
              <w:spacing w:before="0" w:after="0" w:line="240" w:lineRule="auto"/>
            </w:pPr>
            <w:sdt>
              <w:sdtPr>
                <w:rPr>
                  <w:rFonts w:ascii="Calibri" w:hAnsi="Calibri" w:eastAsia="Calibri" w:cs="Calibri"/>
                  <w:sz w:val="17"/>
                  <w:szCs w:val="17"/>
                </w:rPr>
                <w:alias w:val="Contact"/>
                <w:tag w:val="ENG.Contact"/>
                <w:id w:val="153710184"/>
                <w:text w:multiLine="1"/>
              </w:sdtPr>
              <w:sdtContent>
                <w:r>
                  <w:rPr>
                    <w:rFonts w:ascii="Calibri" w:hAnsi="Calibri" w:eastAsia="Calibri" w:cs="Calibri"/>
                    <w:sz w:val="17"/>
                    <w:szCs w:val="17"/>
                  </w:rPr>
                  <w:t xml:space="preserve">[Contact name]</w:t>
                </w:r>
              </w:sdtContent>
            </w:sdt>
          </w:p>
        </w:tc>
        <w:tc>
          <w:tcPr>
            <w:tcW w:w="1500" w:type="dxa"/>
            <w:tcBorders>
              <w:top w:val="single" w:color="BFBFBF" w:sz="4"/>
              <w:left w:val="single" w:color="BFBFBF" w:sz="4"/>
              <w:bottom w:val="single" w:color="BFBFBF" w:sz="4"/>
              <w:right w:val="single" w:color="BFBFBF" w:sz="4"/>
            </w:tcBorders>
            <w:shd w:val="clear" w:color="auto" w:fill="F2F2F2"/>
            <w:tcMar>
              <w:top w:w="35" w:type="dxa"/>
              <w:left w:w="90" w:type="dxa"/>
              <w:bottom w:w="35" w:type="dxa"/>
              <w:right w:w="90" w:type="dxa"/>
            </w:tcMar>
          </w:tcPr>
          <w:p>
            <w:pPr>
              <w:spacing w:before="0" w:after="0" w:line="240" w:lineRule="auto"/>
            </w:pPr>
            <w:r>
              <w:rPr>
                <w:rFonts w:ascii="Calibri" w:hAnsi="Calibri" w:eastAsia="Calibri" w:cs="Calibri"/>
                <w:b/>
                <w:bCs/>
                <w:sz w:val="17"/>
                <w:szCs w:val="17"/>
              </w:rPr>
              <w:t xml:space="preserve">Date</w:t>
            </w:r>
          </w:p>
        </w:tc>
        <w:tc>
          <w:tcPr>
            <w:tcW w:w="354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pPr>
              <w:spacing w:before="0" w:after="0" w:line="240" w:lineRule="auto"/>
            </w:pPr>
            <w:sdt>
              <w:sdtPr>
                <w:rPr>
                  <w:rFonts w:ascii="Calibri" w:hAnsi="Calibri" w:eastAsia="Calibri" w:cs="Calibri"/>
                  <w:sz w:val="17"/>
                  <w:szCs w:val="17"/>
                </w:rPr>
                <w:alias w:val="Issue date"/>
                <w:tag w:val="ENG.IssueDate"/>
                <w:id w:val="1692467581"/>
                <w:text w:multiLine="1"/>
              </w:sdtPr>
              <w:sdtContent>
                <w:r>
                  <w:rPr>
                    <w:rFonts w:ascii="Calibri" w:hAnsi="Calibri" w:eastAsia="Calibri" w:cs="Calibri"/>
                    <w:sz w:val="17"/>
                    <w:szCs w:val="17"/>
                  </w:rPr>
                  <w:t xml:space="preserve">[YYYY-MM-DD]</w:t>
                </w:r>
              </w:sdtContent>
            </w:sdt>
          </w:p>
        </w:tc>
      </w:tr>
      <w:tr>
        <w:trPr>
          <w:cantSplit/>
        </w:trPr>
        <w:tc>
          <w:tcPr>
            <w:tcW w:w="1500" w:type="dxa"/>
            <w:tcBorders>
              <w:top w:val="single" w:color="BFBFBF" w:sz="4"/>
              <w:left w:val="single" w:color="BFBFBF" w:sz="4"/>
              <w:bottom w:val="single" w:color="BFBFBF" w:sz="4"/>
              <w:right w:val="single" w:color="BFBFBF" w:sz="4"/>
            </w:tcBorders>
            <w:shd w:val="clear" w:color="auto" w:fill="F2F2F2"/>
            <w:tcMar>
              <w:top w:w="35" w:type="dxa"/>
              <w:left w:w="90" w:type="dxa"/>
              <w:bottom w:w="35" w:type="dxa"/>
              <w:right w:w="90" w:type="dxa"/>
            </w:tcMar>
          </w:tcPr>
          <w:p>
            <w:pPr>
              <w:spacing w:before="0" w:after="0" w:line="240" w:lineRule="auto"/>
            </w:pPr>
            <w:r>
              <w:rPr>
                <w:rFonts w:ascii="Calibri" w:hAnsi="Calibri" w:eastAsia="Calibri" w:cs="Calibri"/>
                <w:b/>
                <w:bCs/>
                <w:sz w:val="17"/>
                <w:szCs w:val="17"/>
              </w:rPr>
              <w:t xml:space="preserve">Engagement</w:t>
            </w:r>
          </w:p>
        </w:tc>
        <w:tc>
          <w:tcPr>
            <w:tcW w:w="354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pPr>
              <w:spacing w:before="0" w:after="0" w:line="240" w:lineRule="auto"/>
            </w:pPr>
            <w:sdt>
              <w:sdtPr>
                <w:rPr>
                  <w:rFonts w:ascii="Calibri" w:hAnsi="Calibri" w:eastAsia="Calibri" w:cs="Calibri"/>
                  <w:sz w:val="17"/>
                  <w:szCs w:val="17"/>
                </w:rPr>
                <w:alias w:val="Engagement type"/>
                <w:tag w:val="ENG.EngagementType"/>
                <w:id w:val="690620971"/>
                <w:text w:multiLine="1"/>
              </w:sdtPr>
              <w:sdtContent>
                <w:r>
                  <w:rPr>
                    <w:rFonts w:ascii="Calibri" w:hAnsi="Calibri" w:eastAsia="Calibri" w:cs="Calibri"/>
                    <w:sz w:val="17"/>
                    <w:szCs w:val="17"/>
                  </w:rPr>
                  <w:t xml:space="preserve">[One-Time Project — fixed / estimate]</w:t>
                </w:r>
              </w:sdtContent>
            </w:sdt>
          </w:p>
        </w:tc>
        <w:tc>
          <w:tcPr>
            <w:tcW w:w="1500" w:type="dxa"/>
            <w:tcBorders>
              <w:top w:val="single" w:color="BFBFBF" w:sz="4"/>
              <w:left w:val="single" w:color="BFBFBF" w:sz="4"/>
              <w:bottom w:val="single" w:color="BFBFBF" w:sz="4"/>
              <w:right w:val="single" w:color="BFBFBF" w:sz="4"/>
            </w:tcBorders>
            <w:shd w:val="clear" w:color="auto" w:fill="F2F2F2"/>
            <w:tcMar>
              <w:top w:w="35" w:type="dxa"/>
              <w:left w:w="90" w:type="dxa"/>
              <w:bottom w:w="35" w:type="dxa"/>
              <w:right w:w="90" w:type="dxa"/>
            </w:tcMar>
          </w:tcPr>
          <w:p>
            <w:pPr>
              <w:spacing w:before="0" w:after="0" w:line="240" w:lineRule="auto"/>
            </w:pPr>
            <w:r>
              <w:rPr>
                <w:rFonts w:ascii="Calibri" w:hAnsi="Calibri" w:eastAsia="Calibri" w:cs="Calibri"/>
                <w:b/>
                <w:bCs/>
                <w:sz w:val="17"/>
                <w:szCs w:val="17"/>
              </w:rPr>
              <w:t xml:space="preserve">Prepared by</w:t>
            </w:r>
          </w:p>
        </w:tc>
        <w:tc>
          <w:tcPr>
            <w:tcW w:w="354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pPr>
              <w:spacing w:before="0" w:after="0" w:line="240" w:lineRule="auto"/>
            </w:pPr>
            <w:r>
              <w:rPr>
                <w:rFonts w:ascii="Calibri" w:hAnsi="Calibri" w:eastAsia="Calibri" w:cs="Calibri"/>
                <w:sz w:val="17"/>
                <w:szCs w:val="17"/>
              </w:rPr>
              <w:t xml:space="preserve">Joshua Herron — Owner / Technical Lead</w:t>
            </w:r>
          </w:p>
        </w:tc>
      </w:tr>
    </w:tbl>
    <w:p>
      <w:pPr>
        <w:keepNext/>
        <w:pBdr>
          <w:bottom w:val="single" w:color="1F3864" w:sz="6" w:space="2"/>
        </w:pBdr>
        <w:spacing w:before="140" w:after="60" w:line="240" w:lineRule="auto"/>
      </w:pPr>
      <w:r>
        <w:rPr>
          <w:rFonts w:ascii="Calibri" w:hAnsi="Calibri" w:eastAsia="Calibri" w:cs="Calibri"/>
          <w:b/>
          <w:bCs/>
          <w:color w:val="1F3864"/>
          <w:sz w:val="23"/>
          <w:szCs w:val="23"/>
        </w:rPr>
        <w:t xml:space="preserve">1. Quote Summary</w:t>
      </w:r>
    </w:p>
    <w:tbl>
      <w:tblPr>
        <w:tblW w:w="10080" w:type="dxa"/>
        <w:tblLayout w:type="fixed"/>
      </w:tblPr>
      <w:tblGrid>
        <w:gridCol w:w="10080"/>
      </w:tblGrid>
      <w:tr>
        <w:trPr>
          <w:cantSplit/>
        </w:trPr>
        <w:tc>
          <w:tcPr>
            <w:tcW w:w="10080" w:type="dxa"/>
            <w:tcBorders>
              <w:top w:val="single" w:color="BFBFBF" w:sz="4"/>
              <w:left w:val="single" w:color="BFBFBF" w:sz="4"/>
              <w:bottom w:val="single" w:color="BFBFBF" w:sz="4"/>
              <w:right w:val="single" w:color="BFBFBF" w:sz="4"/>
            </w:tcBorders>
            <w:shd w:val="clear" w:color="auto" w:fill="E9EEF7"/>
            <w:tcMar>
              <w:top w:w="35" w:type="dxa"/>
              <w:left w:w="90" w:type="dxa"/>
              <w:bottom w:w="35" w:type="dxa"/>
              <w:right w:w="90" w:type="dxa"/>
            </w:tcMar>
          </w:tcPr>
          <w:p>
            <w:pPr>
              <w:spacing w:before="0" w:after="30" w:line="240" w:lineRule="auto"/>
            </w:pPr>
            <w:r>
              <w:rPr>
                <w:rFonts w:ascii="Calibri" w:hAnsi="Calibri" w:eastAsia="Calibri" w:cs="Calibri"/>
                <w:b/>
                <w:bCs/>
                <w:color w:val="1F3864"/>
                <w:sz w:val="24"/>
                <w:szCs w:val="24"/>
              </w:rPr>
              <w:t xml:space="preserve">One-time project price: </w:t>
            </w:r>
            <w:sdt>
              <w:sdtPr>
                <w:rPr>
                  <w:rFonts w:ascii="Calibri" w:hAnsi="Calibri" w:eastAsia="Calibri" w:cs="Calibri"/>
                  <w:b/>
                  <w:bCs/>
                  <w:color w:val="1F3864"/>
                  <w:sz w:val="24"/>
                  <w:szCs w:val="24"/>
                </w:rPr>
                <w:alias w:val="One-time total"/>
                <w:tag w:val="ENG.OneTimeTotal"/>
                <w:id w:val="625901256"/>
                <w:text w:multiLine="1"/>
              </w:sdtPr>
              <w:sdtContent>
                <w:r>
                  <w:rPr>
                    <w:rFonts w:ascii="Calibri" w:hAnsi="Calibri" w:eastAsia="Calibri" w:cs="Calibri"/>
                    <w:b/>
                    <w:bCs/>
                    <w:color w:val="1F3864"/>
                    <w:sz w:val="24"/>
                    <w:szCs w:val="24"/>
                  </w:rPr>
                  <w:t xml:space="preserve">$[0.00]</w:t>
                </w:r>
              </w:sdtContent>
            </w:sdt>
          </w:p>
          <w:p>
            <w:pPr>
              <w:spacing w:before="0" w:after="40" w:line="240" w:lineRule="auto"/>
            </w:pPr>
            <w:r>
              <w:rPr>
                <w:rFonts w:ascii="Calibri" w:hAnsi="Calibri" w:eastAsia="Calibri" w:cs="Calibri"/>
                <w:b/>
                <w:bCs/>
                <w:sz w:val="18"/>
                <w:szCs w:val="18"/>
              </w:rPr>
              <w:t xml:space="preserve">Optional monthly charges (only lines marked Monthly below): </w:t>
            </w:r>
            <w:sdt>
              <w:sdtPr>
                <w:rPr>
                  <w:rFonts w:ascii="Calibri" w:hAnsi="Calibri" w:eastAsia="Calibri" w:cs="Calibri"/>
                  <w:b/>
                  <w:bCs/>
                  <w:sz w:val="18"/>
                  <w:szCs w:val="18"/>
                </w:rPr>
                <w:alias w:val="Monthly total"/>
                <w:tag w:val="ENG.MonthlyTotal"/>
                <w:id w:val="579341423"/>
                <w:text w:multiLine="1"/>
              </w:sdtPr>
              <w:sdtContent>
                <w:r>
                  <w:rPr>
                    <w:rFonts w:ascii="Calibri" w:hAnsi="Calibri" w:eastAsia="Calibri" w:cs="Calibri"/>
                    <w:b/>
                    <w:bCs/>
                    <w:sz w:val="18"/>
                    <w:szCs w:val="18"/>
                  </w:rPr>
                  <w:t xml:space="preserve">$[0.00]</w:t>
                </w:r>
              </w:sdtContent>
            </w:sdt>
          </w:p>
          <w:p>
            <w:pPr>
              <w:spacing w:before="0" w:after="0" w:line="240" w:lineRule="auto"/>
            </w:pPr>
            <w:r>
              <w:rPr>
                <w:rFonts w:ascii="Calibri" w:hAnsi="Calibri" w:eastAsia="Calibri" w:cs="Calibri"/>
                <w:sz w:val="17"/>
                <w:szCs w:val="17"/>
              </w:rPr>
              <w:t xml:space="preserve">Prices exclude applicable sales tax. This quote covers only the work described in it. It does not include ongoing managed IT, monitoring, help desk, security or backup services, and no Master Services Agreement or other agreement is needed: this document contains the complete terms for this project.</w:t>
            </w:r>
          </w:p>
        </w:tc>
      </w:tr>
    </w:tbl>
    <w:p>
      <w:pPr>
        <w:spacing w:before="80" w:after="60" w:line="240" w:lineRule="auto"/>
      </w:pPr>
      <w:r>
        <w:rPr>
          <w:rFonts w:ascii="Calibri" w:hAnsi="Calibri" w:eastAsia="Calibri" w:cs="Calibri"/>
          <w:b/>
          <w:bCs/>
          <w:sz w:val="18"/>
          <w:szCs w:val="18"/>
        </w:rPr>
        <w:t xml:space="preserve">How the price works. </w:t>
      </w:r>
      <w:r>
        <w:rPr>
          <w:rFonts w:ascii="Calibri" w:hAnsi="Calibri" w:eastAsia="Calibri" w:cs="Calibri"/>
          <w:sz w:val="18"/>
          <w:szCs w:val="18"/>
        </w:rPr>
        <w:t xml:space="preserve">If the engagement above is a fixed-price project, the one-time price is fixed for the work described here, and ordinary work that takes longer than expected is The IT Guys’ responsibility. If it is an estimate, The IT Guys bills the actual quantities at the line prices below and will not go over the one-time estimate without the Client’s written approval.</w:t>
      </w:r>
    </w:p>
    <w:p>
      <w:pPr>
        <w:keepNext/>
        <w:pBdr>
          <w:bottom w:val="single" w:color="1F3864" w:sz="6" w:space="2"/>
        </w:pBdr>
        <w:spacing w:before="140" w:after="60" w:line="240" w:lineRule="auto"/>
      </w:pPr>
      <w:r>
        <w:rPr>
          <w:rFonts w:ascii="Calibri" w:hAnsi="Calibri" w:eastAsia="Calibri" w:cs="Calibri"/>
          <w:b/>
          <w:bCs/>
          <w:color w:val="1F3864"/>
          <w:sz w:val="23"/>
          <w:szCs w:val="23"/>
        </w:rPr>
        <w:t xml:space="preserve">2. Project Scope</w:t>
      </w:r>
    </w:p>
    <w:p>
      <w:pPr>
        <w:keepNext/>
        <w:spacing w:before="80" w:after="30" w:line="240" w:lineRule="auto"/>
      </w:pPr>
      <w:r>
        <w:rPr>
          <w:rFonts w:ascii="Calibri" w:hAnsi="Calibri" w:eastAsia="Calibri" w:cs="Calibri"/>
          <w:b/>
          <w:bCs/>
          <w:color w:val="1F3864"/>
          <w:sz w:val="19"/>
          <w:szCs w:val="19"/>
        </w:rPr>
        <w:t xml:space="preserve">What The IT Guys will do</w:t>
      </w:r>
    </w:p>
    <w:p>
      <w:pPr>
        <w:spacing w:before="0" w:after="60" w:line="240" w:lineRule="auto"/>
      </w:pPr>
      <w:sdt>
        <w:sdtPr>
          <w:rPr>
            <w:rFonts w:ascii="Calibri" w:hAnsi="Calibri" w:eastAsia="Calibri" w:cs="Calibri"/>
            <w:sz w:val="18"/>
            <w:szCs w:val="18"/>
          </w:rPr>
          <w:alias w:val="Scope"/>
          <w:tag w:val="ENG.Scope"/>
          <w:id w:val="399655412"/>
          <w:text w:multiLine="1"/>
        </w:sdtPr>
        <w:sdtContent>
          <w:r>
            <w:rPr>
              <w:rFonts w:ascii="Calibri" w:hAnsi="Calibri" w:eastAsia="Calibri" w:cs="Calibri"/>
              <w:sz w:val="18"/>
              <w:szCs w:val="18"/>
            </w:rPr>
            <w:t xml:space="preserve">[Approved project scope]</w:t>
          </w:r>
        </w:sdtContent>
      </w:sdt>
    </w:p>
    <w:p>
      <w:pPr>
        <w:keepNext/>
        <w:spacing w:before="80" w:after="30" w:line="240" w:lineRule="auto"/>
      </w:pPr>
      <w:r>
        <w:rPr>
          <w:rFonts w:ascii="Calibri" w:hAnsi="Calibri" w:eastAsia="Calibri" w:cs="Calibri"/>
          <w:b/>
          <w:bCs/>
          <w:color w:val="1F3864"/>
          <w:sz w:val="19"/>
          <w:szCs w:val="19"/>
        </w:rPr>
        <w:t xml:space="preserve">Quote lines</w:t>
      </w:r>
    </w:p>
    <w:tbl>
      <w:tblPr>
        <w:tblW w:w="10080" w:type="dxa"/>
        <w:tblLayout w:type="fixed"/>
      </w:tblPr>
      <w:tblGrid>
        <w:gridCol w:w="3700"/>
        <w:gridCol w:w="1150"/>
        <w:gridCol w:w="800"/>
        <w:gridCol w:w="1350"/>
        <w:gridCol w:w="1400"/>
        <w:gridCol w:w="1680"/>
      </w:tblGrid>
      <w:tr>
        <w:trPr>
          <w:cantSplit/>
          <w:tblHeader/>
        </w:trPr>
        <w:tc>
          <w:tcPr>
            <w:tcW w:w="3700" w:type="dxa"/>
            <w:tcBorders>
              <w:top w:val="single" w:color="BFBFBF" w:sz="4"/>
              <w:left w:val="single" w:color="BFBFBF" w:sz="4"/>
              <w:bottom w:val="single" w:color="BFBFBF" w:sz="4"/>
              <w:right w:val="single" w:color="BFBFBF" w:sz="4"/>
            </w:tcBorders>
            <w:shd w:val="clear" w:color="auto" w:fill="1F3864"/>
            <w:tcMar>
              <w:top w:w="35" w:type="dxa"/>
              <w:left w:w="90" w:type="dxa"/>
              <w:bottom w:w="35" w:type="dxa"/>
              <w:right w:w="90" w:type="dxa"/>
            </w:tcMar>
          </w:tcPr>
          <w:p>
            <w:pPr>
              <w:spacing w:before="0" w:after="0" w:line="240" w:lineRule="auto"/>
            </w:pPr>
            <w:r>
              <w:rPr>
                <w:rFonts w:ascii="Calibri" w:hAnsi="Calibri" w:eastAsia="Calibri" w:cs="Calibri"/>
                <w:b/>
                <w:bCs/>
                <w:color w:val="FFFFFF"/>
                <w:sz w:val="17"/>
                <w:szCs w:val="17"/>
              </w:rPr>
              <w:t xml:space="preserve">Description</w:t>
            </w:r>
          </w:p>
        </w:tc>
        <w:tc>
          <w:tcPr>
            <w:tcW w:w="1150" w:type="dxa"/>
            <w:tcBorders>
              <w:top w:val="single" w:color="BFBFBF" w:sz="4"/>
              <w:left w:val="single" w:color="BFBFBF" w:sz="4"/>
              <w:bottom w:val="single" w:color="BFBFBF" w:sz="4"/>
              <w:right w:val="single" w:color="BFBFBF" w:sz="4"/>
            </w:tcBorders>
            <w:shd w:val="clear" w:color="auto" w:fill="1F3864"/>
            <w:tcMar>
              <w:top w:w="35" w:type="dxa"/>
              <w:left w:w="90" w:type="dxa"/>
              <w:bottom w:w="35" w:type="dxa"/>
              <w:right w:w="90" w:type="dxa"/>
            </w:tcMar>
          </w:tcPr>
          <w:p>
            <w:pPr>
              <w:spacing w:before="0" w:after="0" w:line="240" w:lineRule="auto"/>
            </w:pPr>
            <w:r>
              <w:rPr>
                <w:rFonts w:ascii="Calibri" w:hAnsi="Calibri" w:eastAsia="Calibri" w:cs="Calibri"/>
                <w:b/>
                <w:bCs/>
                <w:color w:val="FFFFFF"/>
                <w:sz w:val="17"/>
                <w:szCs w:val="17"/>
              </w:rPr>
              <w:t xml:space="preserve">Type</w:t>
            </w:r>
          </w:p>
        </w:tc>
        <w:tc>
          <w:tcPr>
            <w:tcW w:w="800" w:type="dxa"/>
            <w:tcBorders>
              <w:top w:val="single" w:color="BFBFBF" w:sz="4"/>
              <w:left w:val="single" w:color="BFBFBF" w:sz="4"/>
              <w:bottom w:val="single" w:color="BFBFBF" w:sz="4"/>
              <w:right w:val="single" w:color="BFBFBF" w:sz="4"/>
            </w:tcBorders>
            <w:shd w:val="clear" w:color="auto" w:fill="1F3864"/>
            <w:tcMar>
              <w:top w:w="35" w:type="dxa"/>
              <w:left w:w="90" w:type="dxa"/>
              <w:bottom w:w="35" w:type="dxa"/>
              <w:right w:w="90" w:type="dxa"/>
            </w:tcMar>
          </w:tcPr>
          <w:p>
            <w:pPr>
              <w:spacing w:before="0" w:after="0" w:line="240" w:lineRule="auto"/>
            </w:pPr>
            <w:r>
              <w:rPr>
                <w:rFonts w:ascii="Calibri" w:hAnsi="Calibri" w:eastAsia="Calibri" w:cs="Calibri"/>
                <w:b/>
                <w:bCs/>
                <w:color w:val="FFFFFF"/>
                <w:sz w:val="17"/>
                <w:szCs w:val="17"/>
              </w:rPr>
              <w:t xml:space="preserve">Qty</w:t>
            </w:r>
          </w:p>
        </w:tc>
        <w:tc>
          <w:tcPr>
            <w:tcW w:w="1350" w:type="dxa"/>
            <w:tcBorders>
              <w:top w:val="single" w:color="BFBFBF" w:sz="4"/>
              <w:left w:val="single" w:color="BFBFBF" w:sz="4"/>
              <w:bottom w:val="single" w:color="BFBFBF" w:sz="4"/>
              <w:right w:val="single" w:color="BFBFBF" w:sz="4"/>
            </w:tcBorders>
            <w:shd w:val="clear" w:color="auto" w:fill="1F3864"/>
            <w:tcMar>
              <w:top w:w="35" w:type="dxa"/>
              <w:left w:w="90" w:type="dxa"/>
              <w:bottom w:w="35" w:type="dxa"/>
              <w:right w:w="90" w:type="dxa"/>
            </w:tcMar>
          </w:tcPr>
          <w:p>
            <w:pPr>
              <w:spacing w:before="0" w:after="0" w:line="240" w:lineRule="auto"/>
            </w:pPr>
            <w:r>
              <w:rPr>
                <w:rFonts w:ascii="Calibri" w:hAnsi="Calibri" w:eastAsia="Calibri" w:cs="Calibri"/>
                <w:b/>
                <w:bCs/>
                <w:color w:val="FFFFFF"/>
                <w:sz w:val="17"/>
                <w:szCs w:val="17"/>
              </w:rPr>
              <w:t xml:space="preserve">Unit price</w:t>
            </w:r>
          </w:p>
        </w:tc>
        <w:tc>
          <w:tcPr>
            <w:tcW w:w="1400" w:type="dxa"/>
            <w:tcBorders>
              <w:top w:val="single" w:color="BFBFBF" w:sz="4"/>
              <w:left w:val="single" w:color="BFBFBF" w:sz="4"/>
              <w:bottom w:val="single" w:color="BFBFBF" w:sz="4"/>
              <w:right w:val="single" w:color="BFBFBF" w:sz="4"/>
            </w:tcBorders>
            <w:shd w:val="clear" w:color="auto" w:fill="1F3864"/>
            <w:tcMar>
              <w:top w:w="35" w:type="dxa"/>
              <w:left w:w="90" w:type="dxa"/>
              <w:bottom w:w="35" w:type="dxa"/>
              <w:right w:w="90" w:type="dxa"/>
            </w:tcMar>
          </w:tcPr>
          <w:p>
            <w:pPr>
              <w:spacing w:before="0" w:after="0" w:line="240" w:lineRule="auto"/>
            </w:pPr>
            <w:r>
              <w:rPr>
                <w:rFonts w:ascii="Calibri" w:hAnsi="Calibri" w:eastAsia="Calibri" w:cs="Calibri"/>
                <w:b/>
                <w:bCs/>
                <w:color w:val="FFFFFF"/>
                <w:sz w:val="17"/>
                <w:szCs w:val="17"/>
              </w:rPr>
              <w:t xml:space="preserve">Amount</w:t>
            </w:r>
          </w:p>
        </w:tc>
        <w:tc>
          <w:tcPr>
            <w:tcW w:w="1680" w:type="dxa"/>
            <w:tcBorders>
              <w:top w:val="single" w:color="BFBFBF" w:sz="4"/>
              <w:left w:val="single" w:color="BFBFBF" w:sz="4"/>
              <w:bottom w:val="single" w:color="BFBFBF" w:sz="4"/>
              <w:right w:val="single" w:color="BFBFBF" w:sz="4"/>
            </w:tcBorders>
            <w:shd w:val="clear" w:color="auto" w:fill="1F3864"/>
            <w:tcMar>
              <w:top w:w="35" w:type="dxa"/>
              <w:left w:w="90" w:type="dxa"/>
              <w:bottom w:w="35" w:type="dxa"/>
              <w:right w:w="90" w:type="dxa"/>
            </w:tcMar>
          </w:tcPr>
          <w:p>
            <w:pPr>
              <w:spacing w:before="0" w:after="0" w:line="240" w:lineRule="auto"/>
            </w:pPr>
            <w:r>
              <w:rPr>
                <w:rFonts w:ascii="Calibri" w:hAnsi="Calibri" w:eastAsia="Calibri" w:cs="Calibri"/>
                <w:b/>
                <w:bCs/>
                <w:color w:val="FFFFFF"/>
                <w:sz w:val="17"/>
                <w:szCs w:val="17"/>
              </w:rPr>
              <w:t xml:space="preserve">Billing</w:t>
            </w:r>
          </w:p>
        </w:tc>
      </w:tr>
      <w:sdt>
        <w:sdtPr>
          <w:alias w:val="Quote lines (repeat)"/>
          <w:tag w:val="REPEAT.Line"/>
          <w:id w:val="1368073012"/>
        </w:sdtPr>
        <w:sdtContent>
          <w:tr>
            <w:trPr>
              <w:cantSplit/>
            </w:trPr>
            <w:tc>
              <w:tcPr>
                <w:tcW w:w="370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pPr>
                  <w:spacing w:before="0" w:after="0" w:line="240" w:lineRule="auto"/>
                </w:pPr>
                <w:sdt>
                  <w:sdtPr>
                    <w:rPr>
                      <w:rFonts w:ascii="Calibri" w:hAnsi="Calibri" w:eastAsia="Calibri" w:cs="Calibri"/>
                      <w:sz w:val="17"/>
                      <w:szCs w:val="17"/>
                    </w:rPr>
                    <w:alias w:val="Line description"/>
                    <w:tag w:val="Line.Description"/>
                    <w:id w:val="1681559892"/>
                    <w:text w:multiLine="1"/>
                  </w:sdtPr>
                  <w:sdtContent>
                    <w:r>
                      <w:rPr>
                        <w:rFonts w:ascii="Calibri" w:hAnsi="Calibri" w:eastAsia="Calibri" w:cs="Calibri"/>
                        <w:sz w:val="17"/>
                        <w:szCs w:val="17"/>
                      </w:rPr>
                      <w:t xml:space="preserve">[Description]</w:t>
                    </w:r>
                  </w:sdtContent>
                </w:sdt>
              </w:p>
            </w:tc>
            <w:tc>
              <w:tcPr>
                <w:tcW w:w="115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pPr>
                  <w:spacing w:before="0" w:after="0" w:line="240" w:lineRule="auto"/>
                </w:pPr>
                <w:sdt>
                  <w:sdtPr>
                    <w:rPr>
                      <w:rFonts w:ascii="Calibri" w:hAnsi="Calibri" w:eastAsia="Calibri" w:cs="Calibri"/>
                      <w:sz w:val="17"/>
                      <w:szCs w:val="17"/>
                    </w:rPr>
                    <w:alias w:val="Line type"/>
                    <w:tag w:val="Line.Kind"/>
                    <w:id w:val="320106707"/>
                    <w:text w:multiLine="1"/>
                  </w:sdtPr>
                  <w:sdtContent>
                    <w:r>
                      <w:rPr>
                        <w:rFonts w:ascii="Calibri" w:hAnsi="Calibri" w:eastAsia="Calibri" w:cs="Calibri"/>
                        <w:sz w:val="17"/>
                        <w:szCs w:val="17"/>
                      </w:rPr>
                      <w:t xml:space="preserve">[labor]</w:t>
                    </w:r>
                  </w:sdtContent>
                </w:sdt>
              </w:p>
            </w:tc>
            <w:tc>
              <w:tcPr>
                <w:tcW w:w="80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pPr>
                  <w:spacing w:before="0" w:after="0" w:line="240" w:lineRule="auto"/>
                </w:pPr>
                <w:sdt>
                  <w:sdtPr>
                    <w:rPr>
                      <w:rFonts w:ascii="Calibri" w:hAnsi="Calibri" w:eastAsia="Calibri" w:cs="Calibri"/>
                      <w:sz w:val="17"/>
                      <w:szCs w:val="17"/>
                    </w:rPr>
                    <w:alias w:val="Line quantity"/>
                    <w:tag w:val="Line.Quantity"/>
                    <w:id w:val="1553201078"/>
                    <w:text w:multiLine="1"/>
                  </w:sdtPr>
                  <w:sdtContent>
                    <w:r>
                      <w:rPr>
                        <w:rFonts w:ascii="Calibri" w:hAnsi="Calibri" w:eastAsia="Calibri" w:cs="Calibri"/>
                        <w:sz w:val="17"/>
                        <w:szCs w:val="17"/>
                      </w:rPr>
                      <w:t xml:space="preserve">[1]</w:t>
                    </w:r>
                  </w:sdtContent>
                </w:sdt>
              </w:p>
            </w:tc>
            <w:tc>
              <w:tcPr>
                <w:tcW w:w="135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pPr>
                  <w:spacing w:before="0" w:after="0" w:line="240" w:lineRule="auto"/>
                </w:pPr>
                <w:sdt>
                  <w:sdtPr>
                    <w:rPr>
                      <w:rFonts w:ascii="Calibri" w:hAnsi="Calibri" w:eastAsia="Calibri" w:cs="Calibri"/>
                      <w:sz w:val="17"/>
                      <w:szCs w:val="17"/>
                    </w:rPr>
                    <w:alias w:val="Line unit price"/>
                    <w:tag w:val="Line.UnitPrice"/>
                    <w:id w:val="1690571865"/>
                    <w:text w:multiLine="1"/>
                  </w:sdtPr>
                  <w:sdtContent>
                    <w:r>
                      <w:rPr>
                        <w:rFonts w:ascii="Calibri" w:hAnsi="Calibri" w:eastAsia="Calibri" w:cs="Calibri"/>
                        <w:sz w:val="17"/>
                        <w:szCs w:val="17"/>
                      </w:rPr>
                      <w:t xml:space="preserve">$[0.00]</w:t>
                    </w:r>
                  </w:sdtContent>
                </w:sdt>
              </w:p>
            </w:tc>
            <w:tc>
              <w:tcPr>
                <w:tcW w:w="140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pPr>
                  <w:spacing w:before="0" w:after="0" w:line="240" w:lineRule="auto"/>
                </w:pPr>
                <w:sdt>
                  <w:sdtPr>
                    <w:rPr>
                      <w:rFonts w:ascii="Calibri" w:hAnsi="Calibri" w:eastAsia="Calibri" w:cs="Calibri"/>
                      <w:sz w:val="17"/>
                      <w:szCs w:val="17"/>
                    </w:rPr>
                    <w:alias w:val="Line amount"/>
                    <w:tag w:val="Line.Amount"/>
                    <w:id w:val="1271165722"/>
                    <w:text w:multiLine="1"/>
                  </w:sdtPr>
                  <w:sdtContent>
                    <w:r>
                      <w:rPr>
                        <w:rFonts w:ascii="Calibri" w:hAnsi="Calibri" w:eastAsia="Calibri" w:cs="Calibri"/>
                        <w:sz w:val="17"/>
                        <w:szCs w:val="17"/>
                      </w:rPr>
                      <w:t xml:space="preserve">$[0.00]</w:t>
                    </w:r>
                  </w:sdtContent>
                </w:sdt>
              </w:p>
            </w:tc>
            <w:tc>
              <w:tcPr>
                <w:tcW w:w="168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pPr>
                  <w:spacing w:before="0" w:after="0" w:line="240" w:lineRule="auto"/>
                </w:pPr>
                <w:sdt>
                  <w:sdtPr>
                    <w:rPr>
                      <w:rFonts w:ascii="Calibri" w:hAnsi="Calibri" w:eastAsia="Calibri" w:cs="Calibri"/>
                      <w:sz w:val="17"/>
                      <w:szCs w:val="17"/>
                    </w:rPr>
                    <w:alias w:val="Line billing"/>
                    <w:tag w:val="Line.Billing"/>
                    <w:id w:val="286699713"/>
                    <w:text w:multiLine="1"/>
                  </w:sdtPr>
                  <w:sdtContent>
                    <w:r>
                      <w:rPr>
                        <w:rFonts w:ascii="Calibri" w:hAnsi="Calibri" w:eastAsia="Calibri" w:cs="Calibri"/>
                        <w:sz w:val="17"/>
                        <w:szCs w:val="17"/>
                      </w:rPr>
                      <w:t xml:space="preserve">[One-time]</w:t>
                    </w:r>
                  </w:sdtContent>
                </w:sdt>
              </w:p>
            </w:tc>
          </w:tr>
        </w:sdtContent>
      </w:sdt>
    </w:tbl>
    <w:p>
      <w:pPr>
        <w:spacing w:before="40" w:after="60" w:line="240" w:lineRule="auto"/>
      </w:pPr>
      <w:r>
        <w:rPr>
          <w:rFonts w:ascii="Calibri" w:hAnsi="Calibri" w:eastAsia="Calibri" w:cs="Calibri"/>
          <w:i/>
          <w:iCs/>
          <w:color w:val="595959"/>
          <w:sz w:val="16"/>
          <w:szCs w:val="16"/>
        </w:rPr>
        <w:t xml:space="preserve">Monthly lines are billed monthly from delivery of that item until either Party cancels it with thirty (30) days’ written notice. They cover only the item described and do not create Managed IT or any other ongoing service.</w:t>
      </w:r>
    </w:p>
    <w:p>
      <w:pPr>
        <w:keepNext/>
        <w:spacing w:before="80" w:after="30" w:line="240" w:lineRule="auto"/>
      </w:pPr>
      <w:r>
        <w:rPr>
          <w:rFonts w:ascii="Calibri" w:hAnsi="Calibri" w:eastAsia="Calibri" w:cs="Calibri"/>
          <w:b/>
          <w:bCs/>
          <w:color w:val="1F3864"/>
          <w:sz w:val="19"/>
          <w:szCs w:val="19"/>
        </w:rPr>
        <w:t xml:space="preserve">Labor estimate basis</w:t>
      </w:r>
    </w:p>
    <w:tbl>
      <w:tblPr>
        <w:tblW w:w="10080" w:type="dxa"/>
        <w:tblLayout w:type="fixed"/>
      </w:tblPr>
      <w:tblGrid>
        <w:gridCol w:w="1680"/>
        <w:gridCol w:w="1680"/>
        <w:gridCol w:w="1680"/>
        <w:gridCol w:w="1680"/>
        <w:gridCol w:w="1680"/>
        <w:gridCol w:w="1680"/>
      </w:tblGrid>
      <w:tr>
        <w:trPr>
          <w:cantSplit/>
        </w:trPr>
        <w:tc>
          <w:tcPr>
            <w:tcW w:w="1680" w:type="dxa"/>
            <w:tcBorders>
              <w:top w:val="single" w:color="BFBFBF" w:sz="4"/>
              <w:left w:val="single" w:color="BFBFBF" w:sz="4"/>
              <w:bottom w:val="single" w:color="BFBFBF" w:sz="4"/>
              <w:right w:val="single" w:color="BFBFBF" w:sz="4"/>
            </w:tcBorders>
            <w:shd w:val="clear" w:color="auto" w:fill="F2F2F2"/>
            <w:tcMar>
              <w:top w:w="35" w:type="dxa"/>
              <w:left w:w="90" w:type="dxa"/>
              <w:bottom w:w="35" w:type="dxa"/>
              <w:right w:w="90" w:type="dxa"/>
            </w:tcMar>
          </w:tcPr>
          <w:p>
            <w:pPr>
              <w:spacing w:before="0" w:after="0" w:line="240" w:lineRule="auto"/>
            </w:pPr>
            <w:r>
              <w:rPr>
                <w:rFonts w:ascii="Calibri" w:hAnsi="Calibri" w:eastAsia="Calibri" w:cs="Calibri"/>
                <w:b/>
                <w:bCs/>
                <w:sz w:val="17"/>
                <w:szCs w:val="17"/>
              </w:rPr>
              <w:t xml:space="preserve">Estimated hours</w:t>
            </w:r>
          </w:p>
        </w:tc>
        <w:tc>
          <w:tcPr>
            <w:tcW w:w="168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pPr>
              <w:spacing w:before="0" w:after="0" w:line="240" w:lineRule="auto"/>
            </w:pPr>
            <w:sdt>
              <w:sdtPr>
                <w:rPr>
                  <w:rFonts w:ascii="Calibri" w:hAnsi="Calibri" w:eastAsia="Calibri" w:cs="Calibri"/>
                  <w:sz w:val="17"/>
                  <w:szCs w:val="17"/>
                </w:rPr>
                <w:alias w:val="Estimated hours"/>
                <w:tag w:val="ENG.EstimatedHours"/>
                <w:id w:val="1006070220"/>
                <w:text w:multiLine="1"/>
              </w:sdtPr>
              <w:sdtContent>
                <w:r>
                  <w:rPr>
                    <w:rFonts w:ascii="Calibri" w:hAnsi="Calibri" w:eastAsia="Calibri" w:cs="Calibri"/>
                    <w:sz w:val="17"/>
                    <w:szCs w:val="17"/>
                  </w:rPr>
                  <w:t xml:space="preserve">[0]</w:t>
                </w:r>
              </w:sdtContent>
            </w:sdt>
          </w:p>
        </w:tc>
        <w:tc>
          <w:tcPr>
            <w:tcW w:w="1680" w:type="dxa"/>
            <w:tcBorders>
              <w:top w:val="single" w:color="BFBFBF" w:sz="4"/>
              <w:left w:val="single" w:color="BFBFBF" w:sz="4"/>
              <w:bottom w:val="single" w:color="BFBFBF" w:sz="4"/>
              <w:right w:val="single" w:color="BFBFBF" w:sz="4"/>
            </w:tcBorders>
            <w:shd w:val="clear" w:color="auto" w:fill="F2F2F2"/>
            <w:tcMar>
              <w:top w:w="35" w:type="dxa"/>
              <w:left w:w="90" w:type="dxa"/>
              <w:bottom w:w="35" w:type="dxa"/>
              <w:right w:w="90" w:type="dxa"/>
            </w:tcMar>
          </w:tcPr>
          <w:p>
            <w:pPr>
              <w:spacing w:before="0" w:after="0" w:line="240" w:lineRule="auto"/>
            </w:pPr>
            <w:r>
              <w:rPr>
                <w:rFonts w:ascii="Calibri" w:hAnsi="Calibri" w:eastAsia="Calibri" w:cs="Calibri"/>
                <w:b/>
                <w:bCs/>
                <w:sz w:val="17"/>
                <w:szCs w:val="17"/>
              </w:rPr>
              <w:t xml:space="preserve">Hourly rate</w:t>
            </w:r>
          </w:p>
        </w:tc>
        <w:tc>
          <w:tcPr>
            <w:tcW w:w="168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pPr>
              <w:spacing w:before="0" w:after="0" w:line="240" w:lineRule="auto"/>
            </w:pPr>
            <w:sdt>
              <w:sdtPr>
                <w:rPr>
                  <w:rFonts w:ascii="Calibri" w:hAnsi="Calibri" w:eastAsia="Calibri" w:cs="Calibri"/>
                  <w:sz w:val="17"/>
                  <w:szCs w:val="17"/>
                </w:rPr>
                <w:alias w:val="Hourly rate"/>
                <w:tag w:val="ENG.HourlyRate"/>
                <w:id w:val="168252793"/>
                <w:text w:multiLine="1"/>
              </w:sdtPr>
              <w:sdtContent>
                <w:r>
                  <w:rPr>
                    <w:rFonts w:ascii="Calibri" w:hAnsi="Calibri" w:eastAsia="Calibri" w:cs="Calibri"/>
                    <w:sz w:val="17"/>
                    <w:szCs w:val="17"/>
                  </w:rPr>
                  <w:t xml:space="preserve">$[0.00]</w:t>
                </w:r>
              </w:sdtContent>
            </w:sdt>
          </w:p>
        </w:tc>
        <w:tc>
          <w:tcPr>
            <w:tcW w:w="1680" w:type="dxa"/>
            <w:tcBorders>
              <w:top w:val="single" w:color="BFBFBF" w:sz="4"/>
              <w:left w:val="single" w:color="BFBFBF" w:sz="4"/>
              <w:bottom w:val="single" w:color="BFBFBF" w:sz="4"/>
              <w:right w:val="single" w:color="BFBFBF" w:sz="4"/>
            </w:tcBorders>
            <w:shd w:val="clear" w:color="auto" w:fill="F2F2F2"/>
            <w:tcMar>
              <w:top w:w="35" w:type="dxa"/>
              <w:left w:w="90" w:type="dxa"/>
              <w:bottom w:w="35" w:type="dxa"/>
              <w:right w:w="90" w:type="dxa"/>
            </w:tcMar>
          </w:tcPr>
          <w:p>
            <w:pPr>
              <w:spacing w:before="0" w:after="0" w:line="240" w:lineRule="auto"/>
            </w:pPr>
            <w:r>
              <w:rPr>
                <w:rFonts w:ascii="Calibri" w:hAnsi="Calibri" w:eastAsia="Calibri" w:cs="Calibri"/>
                <w:b/>
                <w:bCs/>
                <w:sz w:val="17"/>
                <w:szCs w:val="17"/>
              </w:rPr>
              <w:t xml:space="preserve">Minimum hours</w:t>
            </w:r>
          </w:p>
        </w:tc>
        <w:tc>
          <w:tcPr>
            <w:tcW w:w="168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pPr>
              <w:spacing w:before="0" w:after="0" w:line="240" w:lineRule="auto"/>
            </w:pPr>
            <w:sdt>
              <w:sdtPr>
                <w:rPr>
                  <w:rFonts w:ascii="Calibri" w:hAnsi="Calibri" w:eastAsia="Calibri" w:cs="Calibri"/>
                  <w:sz w:val="17"/>
                  <w:szCs w:val="17"/>
                </w:rPr>
                <w:alias w:val="Minimum hours"/>
                <w:tag w:val="ENG.MinimumHours"/>
                <w:id w:val="163989047"/>
                <w:text w:multiLine="1"/>
              </w:sdtPr>
              <w:sdtContent>
                <w:r>
                  <w:rPr>
                    <w:rFonts w:ascii="Calibri" w:hAnsi="Calibri" w:eastAsia="Calibri" w:cs="Calibri"/>
                    <w:sz w:val="17"/>
                    <w:szCs w:val="17"/>
                  </w:rPr>
                  <w:t xml:space="preserve">[0]</w:t>
                </w:r>
              </w:sdtContent>
            </w:sdt>
          </w:p>
        </w:tc>
      </w:tr>
    </w:tbl>
    <w:p>
      <w:pPr>
        <w:spacing w:before="40" w:after="60" w:line="240" w:lineRule="auto"/>
      </w:pPr>
      <w:r>
        <w:rPr>
          <w:rFonts w:ascii="Calibri" w:hAnsi="Calibri" w:eastAsia="Calibri" w:cs="Calibri"/>
          <w:i/>
          <w:iCs/>
          <w:color w:val="595959"/>
          <w:sz w:val="16"/>
          <w:szCs w:val="16"/>
        </w:rPr>
        <w:t xml:space="preserve">Used only for hour-based estimates. A value of 0 or $0.00 means the price above is not based on hours.</w:t>
      </w:r>
    </w:p>
    <w:p>
      <w:pPr>
        <w:keepNext/>
        <w:spacing w:before="80" w:after="30" w:line="240" w:lineRule="auto"/>
      </w:pPr>
      <w:r>
        <w:rPr>
          <w:rFonts w:ascii="Calibri" w:hAnsi="Calibri" w:eastAsia="Calibri" w:cs="Calibri"/>
          <w:b/>
          <w:bCs/>
          <w:color w:val="1F3864"/>
          <w:sz w:val="19"/>
          <w:szCs w:val="19"/>
        </w:rPr>
        <w:t xml:space="preserve">Not included</w:t>
      </w:r>
    </w:p>
    <w:p>
      <w:pPr>
        <w:spacing w:before="0" w:after="60" w:line="240" w:lineRule="auto"/>
      </w:pPr>
      <w:sdt>
        <w:sdtPr>
          <w:rPr>
            <w:rFonts w:ascii="Calibri" w:hAnsi="Calibri" w:eastAsia="Calibri" w:cs="Calibri"/>
            <w:sz w:val="18"/>
            <w:szCs w:val="18"/>
          </w:rPr>
          <w:alias w:val="Exclusions"/>
          <w:tag w:val="ENG.Exclusions"/>
          <w:id w:val="301209005"/>
          <w:text w:multiLine="1"/>
        </w:sdtPr>
        <w:sdtContent>
          <w:r>
            <w:rPr>
              <w:rFonts w:ascii="Calibri" w:hAnsi="Calibri" w:eastAsia="Calibri" w:cs="Calibri"/>
              <w:sz w:val="18"/>
              <w:szCs w:val="18"/>
            </w:rPr>
            <w:t xml:space="preserve">[Approved exclusions]</w:t>
          </w:r>
        </w:sdtContent>
      </w:sdt>
    </w:p>
    <w:p>
      <w:pPr>
        <w:spacing w:before="0" w:after="60" w:line="240" w:lineRule="auto"/>
      </w:pPr>
      <w:r>
        <w:rPr>
          <w:rFonts w:ascii="Calibri" w:hAnsi="Calibri" w:eastAsia="Calibri" w:cs="Calibri"/>
          <w:sz w:val="18"/>
          <w:szCs w:val="18"/>
        </w:rPr>
        <w:t xml:space="preserve">Unless it appears in the quote lines above, this project also does not include ongoing managed IT (monitoring, patching, help desk, backup or security operations), support after acceptance other than The IT Guys Project Promise, compliance certification or legal advice, or the purchase of hardware, software or licensing.</w:t>
      </w:r>
    </w:p>
    <w:p>
      <w:pPr>
        <w:keepNext/>
        <w:spacing w:before="80" w:after="30" w:line="240" w:lineRule="auto"/>
      </w:pPr>
      <w:r>
        <w:rPr>
          <w:rFonts w:ascii="Calibri" w:hAnsi="Calibri" w:eastAsia="Calibri" w:cs="Calibri"/>
          <w:b/>
          <w:bCs/>
          <w:color w:val="1F3864"/>
          <w:sz w:val="19"/>
          <w:szCs w:val="19"/>
        </w:rPr>
        <w:t xml:space="preserve">Assumptions and dependencies</w:t>
      </w:r>
    </w:p>
    <w:p>
      <w:pPr>
        <w:spacing w:before="0" w:after="60" w:line="240" w:lineRule="auto"/>
      </w:pPr>
      <w:sdt>
        <w:sdtPr>
          <w:rPr>
            <w:rFonts w:ascii="Calibri" w:hAnsi="Calibri" w:eastAsia="Calibri" w:cs="Calibri"/>
            <w:sz w:val="18"/>
            <w:szCs w:val="18"/>
          </w:rPr>
          <w:alias w:val="Assumptions"/>
          <w:tag w:val="ENG.Assumptions"/>
          <w:id w:val="569521477"/>
          <w:text w:multiLine="1"/>
        </w:sdtPr>
        <w:sdtContent>
          <w:r>
            <w:rPr>
              <w:rFonts w:ascii="Calibri" w:hAnsi="Calibri" w:eastAsia="Calibri" w:cs="Calibri"/>
              <w:sz w:val="18"/>
              <w:szCs w:val="18"/>
            </w:rPr>
            <w:t xml:space="preserve">[Approved assumptions / dependencies]</w:t>
          </w:r>
        </w:sdtContent>
      </w:sdt>
    </w:p>
    <w:p>
      <w:pPr>
        <w:spacing w:before="0" w:after="60" w:line="240" w:lineRule="auto"/>
      </w:pPr>
      <w:r>
        <w:rPr>
          <w:rFonts w:ascii="Calibri" w:hAnsi="Calibri" w:eastAsia="Calibri" w:cs="Calibri"/>
          <w:sz w:val="18"/>
          <w:szCs w:val="18"/>
        </w:rPr>
        <w:t xml:space="preserve">This quote is based on the information the Client has provided about its environment. It assumes that information is accurate and that the environment does not materially change before the work begins.</w:t>
      </w:r>
    </w:p>
    <w:p>
      <w:pPr>
        <w:keepNext/>
        <w:spacing w:before="80" w:after="30" w:line="240" w:lineRule="auto"/>
      </w:pPr>
      <w:r>
        <w:rPr>
          <w:rFonts w:ascii="Calibri" w:hAnsi="Calibri" w:eastAsia="Calibri" w:cs="Calibri"/>
          <w:b/>
          <w:bCs/>
          <w:color w:val="1F3864"/>
          <w:sz w:val="19"/>
          <w:szCs w:val="19"/>
        </w:rPr>
        <w:t xml:space="preserve">Project terms</w:t>
      </w:r>
    </w:p>
    <w:p>
      <w:pPr>
        <w:spacing w:before="0" w:after="60" w:line="240" w:lineRule="auto"/>
      </w:pPr>
      <w:sdt>
        <w:sdtPr>
          <w:rPr>
            <w:rFonts w:ascii="Calibri" w:hAnsi="Calibri" w:eastAsia="Calibri" w:cs="Calibri"/>
            <w:sz w:val="18"/>
            <w:szCs w:val="18"/>
          </w:rPr>
          <w:alias w:val="Project terms"/>
          <w:tag w:val="ENG.Terms"/>
          <w:id w:val="599635468"/>
          <w:text w:multiLine="1"/>
        </w:sdtPr>
        <w:sdtContent>
          <w:r>
            <w:rPr>
              <w:rFonts w:ascii="Calibri" w:hAnsi="Calibri" w:eastAsia="Calibri" w:cs="Calibri"/>
              <w:sz w:val="18"/>
              <w:szCs w:val="18"/>
            </w:rPr>
            <w:t xml:space="preserve">[Owner-approved terms for this quote]</w:t>
          </w:r>
        </w:sdtContent>
      </w:sdt>
    </w:p>
    <w:p>
      <w:pPr>
        <w:spacing w:before="0" w:after="60" w:line="240" w:lineRule="auto"/>
      </w:pPr>
      <w:r>
        <w:rPr>
          <w:rFonts w:ascii="Calibri" w:hAnsi="Calibri" w:eastAsia="Calibri" w:cs="Calibri"/>
          <w:i/>
          <w:iCs/>
          <w:color w:val="595959"/>
          <w:sz w:val="16"/>
          <w:szCs w:val="16"/>
        </w:rPr>
        <w:t xml:space="preserve">Where these project terms conflict with Sections 4 and 5, these project terms control for this project. They do not change Section 5.6 (Warranty disclaimer and limitation of liability) unless they expressly say so.</w:t>
      </w:r>
    </w:p>
    <w:p>
      <w:pPr>
        <w:keepNext/>
        <w:pBdr>
          <w:bottom w:val="single" w:color="1F3864" w:sz="6" w:space="2"/>
        </w:pBdr>
        <w:spacing w:before="140" w:after="60" w:line="240" w:lineRule="auto"/>
      </w:pPr>
      <w:r>
        <w:rPr>
          <w:rFonts w:ascii="Calibri" w:hAnsi="Calibri" w:eastAsia="Calibri" w:cs="Calibri"/>
          <w:b/>
          <w:bCs/>
          <w:color w:val="1F3864"/>
          <w:sz w:val="23"/>
          <w:szCs w:val="23"/>
        </w:rPr>
        <w:t xml:space="preserve">3. The IT Guys Project Promise</w:t>
      </w:r>
    </w:p>
    <w:p>
      <w:pPr>
        <w:spacing w:before="0" w:after="60" w:line="240" w:lineRule="auto"/>
      </w:pPr>
      <w:r>
        <w:rPr>
          <w:rFonts w:ascii="Calibri" w:hAnsi="Calibri" w:eastAsia="Calibri" w:cs="Calibri"/>
          <w:b/>
          <w:bCs/>
          <w:color w:val="1F3864"/>
          <w:sz w:val="19"/>
          <w:szCs w:val="19"/>
        </w:rPr>
        <w:t xml:space="preserve">We do the work right, or we make it right.</w:t>
      </w:r>
    </w:p>
    <w:p>
      <w:pPr>
        <w:spacing w:before="0" w:after="60" w:line="240" w:lineRule="auto"/>
      </w:pPr>
      <w:r>
        <w:rPr>
          <w:rFonts w:ascii="Calibri" w:hAnsi="Calibri" w:eastAsia="Calibri" w:cs="Calibri"/>
          <w:sz w:val="18"/>
          <w:szCs w:val="18"/>
        </w:rPr>
        <w:t xml:space="preserve">The IT Guys will perform this project in a professional and workmanlike manner, using qualified people and generally accepted industry practices, and will deliver what this Quote/SOW describes. If any delivered work does not perform as described here because of The IT Guys’ workmanship, and the Client reports it in writing within thirty (30) days after acceptance, The IT Guys will correct or re-perform that work at no additional labor charge.</w:t>
      </w:r>
    </w:p>
    <w:p>
      <w:pPr>
        <w:pStyle w:val="ListParagraph"/>
        <w:numPr>
          <w:ilvl w:val="0"/>
          <w:numId w:val="2"/>
        </w:numPr>
        <w:spacing w:before="0" w:after="20" w:line="240" w:lineRule="auto"/>
      </w:pPr>
      <w:r>
        <w:rPr>
          <w:rFonts w:ascii="Calibri" w:hAnsi="Calibri" w:eastAsia="Calibri" w:cs="Calibri"/>
          <w:b/>
          <w:bCs/>
          <w:sz w:val="18"/>
          <w:szCs w:val="18"/>
        </w:rPr>
        <w:t xml:space="preserve">No surprise billing. </w:t>
      </w:r>
      <w:r>
        <w:rPr>
          <w:rFonts w:ascii="Calibri" w:hAnsi="Calibri" w:eastAsia="Calibri" w:cs="Calibri"/>
          <w:sz w:val="18"/>
          <w:szCs w:val="18"/>
        </w:rPr>
        <w:t xml:space="preserve">Nothing changes in scope or price without the Client’s written approval. For fixed-price work, ordinary work that simply takes longer than expected is The IT Guys’ responsibility and is never a change.</w:t>
      </w:r>
    </w:p>
    <w:p>
      <w:pPr>
        <w:pStyle w:val="ListParagraph"/>
        <w:numPr>
          <w:ilvl w:val="0"/>
          <w:numId w:val="2"/>
        </w:numPr>
        <w:spacing w:before="0" w:after="20" w:line="240" w:lineRule="auto"/>
      </w:pPr>
      <w:r>
        <w:rPr>
          <w:rFonts w:ascii="Calibri" w:hAnsi="Calibri" w:eastAsia="Calibri" w:cs="Calibri"/>
          <w:b/>
          <w:bCs/>
          <w:sz w:val="18"/>
          <w:szCs w:val="18"/>
        </w:rPr>
        <w:t xml:space="preserve">Clean handoff. </w:t>
      </w:r>
      <w:r>
        <w:rPr>
          <w:rFonts w:ascii="Calibri" w:hAnsi="Calibri" w:eastAsia="Calibri" w:cs="Calibri"/>
          <w:sz w:val="18"/>
          <w:szCs w:val="18"/>
        </w:rPr>
        <w:t xml:space="preserve">At completion, The IT Guys leaves the Client with the administrative access, credentials and client-specific documentation for the work performed, and removes its own access on request.</w:t>
      </w:r>
    </w:p>
    <w:p>
      <w:pPr>
        <w:pStyle w:val="ListParagraph"/>
        <w:numPr>
          <w:ilvl w:val="0"/>
          <w:numId w:val="2"/>
        </w:numPr>
        <w:spacing w:before="0" w:after="60" w:line="240" w:lineRule="auto"/>
      </w:pPr>
      <w:r>
        <w:rPr>
          <w:rFonts w:ascii="Calibri" w:hAnsi="Calibri" w:eastAsia="Calibri" w:cs="Calibri"/>
          <w:b/>
          <w:bCs/>
          <w:sz w:val="18"/>
          <w:szCs w:val="18"/>
        </w:rPr>
        <w:t xml:space="preserve">Plain answers. </w:t>
      </w:r>
      <w:r>
        <w:rPr>
          <w:rFonts w:ascii="Calibri" w:hAnsi="Calibri" w:eastAsia="Calibri" w:cs="Calibri"/>
          <w:sz w:val="18"/>
          <w:szCs w:val="18"/>
        </w:rPr>
        <w:t xml:space="preserve">If The IT Guys finds a problem outside the scope while working, it tells the Client what it found, what it recommends and what it would cost, before doing anything chargeable.</w:t>
      </w:r>
    </w:p>
    <w:p>
      <w:pPr>
        <w:spacing w:before="0" w:after="60" w:line="240" w:lineRule="auto"/>
      </w:pPr>
      <w:r>
        <w:rPr>
          <w:rFonts w:ascii="Calibri" w:hAnsi="Calibri" w:eastAsia="Calibri" w:cs="Calibri"/>
          <w:sz w:val="18"/>
          <w:szCs w:val="18"/>
        </w:rPr>
        <w:t xml:space="preserve">The Project Promise does not promise uninterrupted operation, prevention of every security incident, legal or regulatory compliance, or the performance of third-party products, vendors or services. It does not cover work outside this Quote/SOW, changes made by the Client or third parties after delivery, pre-existing conditions, or ongoing support after acceptance. Correction or re-performance under the Project Promise is the Client’s remedy for work that does not meet it.</w:t>
      </w:r>
    </w:p>
    <w:p>
      <w:pPr>
        <w:keepNext/>
        <w:pBdr>
          <w:bottom w:val="single" w:color="1F3864" w:sz="6" w:space="2"/>
        </w:pBdr>
        <w:spacing w:before="140" w:after="60" w:line="240" w:lineRule="auto"/>
      </w:pPr>
      <w:r>
        <w:rPr>
          <w:rFonts w:ascii="Calibri" w:hAnsi="Calibri" w:eastAsia="Calibri" w:cs="Calibri"/>
          <w:b/>
          <w:bCs/>
          <w:color w:val="1F3864"/>
          <w:sz w:val="23"/>
          <w:szCs w:val="23"/>
        </w:rPr>
        <w:t xml:space="preserve">4. Changes, Acceptance &amp; Payment</w:t>
      </w:r>
    </w:p>
    <w:p>
      <w:pPr>
        <w:spacing w:before="0" w:after="60" w:line="240" w:lineRule="auto"/>
      </w:pPr>
      <w:r>
        <w:rPr>
          <w:rFonts w:ascii="Calibri" w:hAnsi="Calibri" w:eastAsia="Calibri" w:cs="Calibri"/>
          <w:b/>
          <w:bCs/>
          <w:sz w:val="18"/>
          <w:szCs w:val="18"/>
        </w:rPr>
        <w:t xml:space="preserve">4.1 Change orders. </w:t>
      </w:r>
      <w:r>
        <w:rPr>
          <w:rFonts w:ascii="Calibri" w:hAnsi="Calibri" w:eastAsia="Calibri" w:cs="Calibri"/>
          <w:sz w:val="18"/>
          <w:szCs w:val="18"/>
        </w:rPr>
        <w:t xml:space="preserve">If the Client requests additional work, quantities increase, or the work reveals a material condition outside the described scope, The IT Guys will document it, pause only the affected work, and obtain written approval (email is sufficient) from the Client’s authorized decision maker for any change in scope, schedule or price before proceeding. The Client may instead choose to proceed without that work.</w:t>
      </w:r>
    </w:p>
    <w:p>
      <w:pPr>
        <w:spacing w:before="0" w:after="60" w:line="240" w:lineRule="auto"/>
      </w:pPr>
      <w:r>
        <w:rPr>
          <w:rFonts w:ascii="Calibri" w:hAnsi="Calibri" w:eastAsia="Calibri" w:cs="Calibri"/>
          <w:b/>
          <w:bCs/>
          <w:sz w:val="18"/>
          <w:szCs w:val="18"/>
        </w:rPr>
        <w:t xml:space="preserve">4.2 Client responsibilities. </w:t>
      </w:r>
      <w:r>
        <w:rPr>
          <w:rFonts w:ascii="Calibri" w:hAnsi="Calibri" w:eastAsia="Calibri" w:cs="Calibri"/>
          <w:sz w:val="18"/>
          <w:szCs w:val="18"/>
        </w:rPr>
        <w:t xml:space="preserve">The Client will provide timely access to the systems, accounts, locations and people the work needs; provide accurate information about its environment; make an authorized decision maker available for approvals; maintain its own subscriptions, licenses and vendor services; have the lawful right to the systems and data The IT Guys is asked to work on; keep current backups of data affected by the work unless backup is included in the quote lines; and tell The IT Guys before the work begins if health or other regulated data may be involved. Schedule dates move to the extent the Client’s delays affect them.</w:t>
      </w:r>
    </w:p>
    <w:p>
      <w:pPr>
        <w:spacing w:before="0" w:after="60" w:line="240" w:lineRule="auto"/>
      </w:pPr>
      <w:r>
        <w:rPr>
          <w:rFonts w:ascii="Calibri" w:hAnsi="Calibri" w:eastAsia="Calibri" w:cs="Calibri"/>
          <w:b/>
          <w:bCs/>
          <w:sz w:val="18"/>
          <w:szCs w:val="18"/>
        </w:rPr>
        <w:t xml:space="preserve">4.3 Acceptance. </w:t>
      </w:r>
      <w:r>
        <w:rPr>
          <w:rFonts w:ascii="Calibri" w:hAnsi="Calibri" w:eastAsia="Calibri" w:cs="Calibri"/>
          <w:sz w:val="18"/>
          <w:szCs w:val="18"/>
        </w:rPr>
        <w:t xml:space="preserve">The project is complete when the work described in this Quote/SOW has been delivered and The IT Guys has given the Client written notice of completion. If the Client does not report a material deficiency in writing within five (5) business days after that notice, the project is deemed accepted. Minor issues that do not materially prevent use do not delay acceptance and are corrected under the Project Promise. Acceptance does not waive defects in The IT Guys’ work that were not reasonably discoverable during review.</w:t>
      </w:r>
    </w:p>
    <w:p>
      <w:pPr>
        <w:spacing w:before="0" w:after="60" w:line="240" w:lineRule="auto"/>
      </w:pPr>
      <w:r>
        <w:rPr>
          <w:rFonts w:ascii="Calibri" w:hAnsi="Calibri" w:eastAsia="Calibri" w:cs="Calibri"/>
          <w:b/>
          <w:bCs/>
          <w:sz w:val="18"/>
          <w:szCs w:val="18"/>
        </w:rPr>
        <w:t xml:space="preserve">4.4 Payment. </w:t>
      </w:r>
      <w:r>
        <w:rPr>
          <w:rFonts w:ascii="Calibri" w:hAnsi="Calibri" w:eastAsia="Calibri" w:cs="Calibri"/>
          <w:sz w:val="18"/>
          <w:szCs w:val="18"/>
        </w:rPr>
        <w:t xml:space="preserve">Payment milestones are stated in Project terms above. If none are stated, 50% of the one-time price is due on acceptance of this Quote/SOW and is required to schedule the work, and the balance is invoiced on completion (for an estimate, the balance reflects actual quantities within the approved estimate). Invoices are due within fifteen (15) days of the invoice date. Hardware, software, licensing and other third-party items must be paid in full before they are ordered, and once ordered at the Client’s approval they are the Client’s cost whether or not the project is completed. If completion is materially delayed by the Client after The IT Guys has substantially completed its scheduled work, The IT Guys may invoice the remaining balance, with the Client-dependent items documented and completed when the Client is ready. Prices exclude applicable sales and use taxes, which the Client pays.</w:t>
      </w:r>
    </w:p>
    <w:p>
      <w:pPr>
        <w:spacing w:before="0" w:after="60" w:line="240" w:lineRule="auto"/>
      </w:pPr>
      <w:r>
        <w:rPr>
          <w:rFonts w:ascii="Calibri" w:hAnsi="Calibri" w:eastAsia="Calibri" w:cs="Calibri"/>
          <w:b/>
          <w:bCs/>
          <w:sz w:val="18"/>
          <w:szCs w:val="18"/>
        </w:rPr>
        <w:t xml:space="preserve">4.5 Billing disputes and collection. </w:t>
      </w:r>
      <w:r>
        <w:rPr>
          <w:rFonts w:ascii="Calibri" w:hAnsi="Calibri" w:eastAsia="Calibri" w:cs="Calibri"/>
          <w:sz w:val="18"/>
          <w:szCs w:val="18"/>
        </w:rPr>
        <w:t xml:space="preserve">The Client will raise any billing dispute in writing within fifteen (15) days of the invoice date; undisputed amounts remain due on the original terms. If The IT Guys must use a collection agency or legal counsel to collect an overdue undisputed balance, the Client will pay reasonable collection costs, court costs and attorney’s fees actually incurred, to the extent permitted by law.</w:t>
      </w:r>
    </w:p>
    <w:p>
      <w:pPr>
        <w:keepNext/>
        <w:pBdr>
          <w:bottom w:val="single" w:color="1F3864" w:sz="6" w:space="2"/>
        </w:pBdr>
        <w:spacing w:before="140" w:after="60" w:line="240" w:lineRule="auto"/>
      </w:pPr>
      <w:r>
        <w:rPr>
          <w:rFonts w:ascii="Calibri" w:hAnsi="Calibri" w:eastAsia="Calibri" w:cs="Calibri"/>
          <w:b/>
          <w:bCs/>
          <w:color w:val="1F3864"/>
          <w:sz w:val="23"/>
          <w:szCs w:val="23"/>
        </w:rPr>
        <w:t xml:space="preserve">5. Terms of Service</w:t>
      </w:r>
    </w:p>
    <w:p>
      <w:pPr>
        <w:spacing w:before="0" w:after="60" w:line="240" w:lineRule="auto"/>
      </w:pPr>
      <w:r>
        <w:rPr>
          <w:rFonts w:ascii="Calibri" w:hAnsi="Calibri" w:eastAsia="Calibri" w:cs="Calibri"/>
          <w:b/>
          <w:bCs/>
          <w:sz w:val="18"/>
          <w:szCs w:val="18"/>
        </w:rPr>
        <w:t xml:space="preserve">5.1 Standalone agreement. </w:t>
      </w:r>
      <w:r>
        <w:rPr>
          <w:rFonts w:ascii="Calibri" w:hAnsi="Calibri" w:eastAsia="Calibri" w:cs="Calibri"/>
          <w:sz w:val="18"/>
          <w:szCs w:val="18"/>
        </w:rPr>
        <w:t xml:space="preserve">Once accepted, this Quote/SOW is the complete agreement between the Parties for this project. No Master Services Agreement, Project Services Agreement or other agreement is required. It covers this project only and creates no obligation to buy or provide recurring services; any recurring managed services would be provided only under a separate written agreement. Approved change orders become part of this Quote/SOW. Pre-printed terms on purchase orders or similar documents do not apply.</w:t>
      </w:r>
    </w:p>
    <w:p>
      <w:pPr>
        <w:spacing w:before="0" w:after="60" w:line="240" w:lineRule="auto"/>
      </w:pPr>
      <w:r>
        <w:rPr>
          <w:rFonts w:ascii="Calibri" w:hAnsi="Calibri" w:eastAsia="Calibri" w:cs="Calibri"/>
          <w:b/>
          <w:bCs/>
          <w:sz w:val="18"/>
          <w:szCs w:val="18"/>
        </w:rPr>
        <w:t xml:space="preserve">5.2 Third parties and existing conditions. </w:t>
      </w:r>
      <w:r>
        <w:rPr>
          <w:rFonts w:ascii="Calibri" w:hAnsi="Calibri" w:eastAsia="Calibri" w:cs="Calibri"/>
          <w:sz w:val="18"/>
          <w:szCs w:val="18"/>
        </w:rPr>
        <w:t xml:space="preserve">Third-party products and services, including Microsoft, internet providers, software vendors and hardware manufacturers, are subject to their providers’ own terms, and The IT Guys is not responsible for their outages, defects, security events, or licensing or policy changes. Hardware returns, cancellations and warranties follow the manufacturer’s or distributor’s terms. The IT Guys may coordinate with the Client’s vendors but cannot commit the Client to any new charge without the Client’s approval. The IT Guys is not responsible for compromises, vulnerabilities, data loss, misconfigurations or defects that existed before the work began, unless this Quote/SOW includes correcting them.</w:t>
      </w:r>
    </w:p>
    <w:p>
      <w:pPr>
        <w:spacing w:before="0" w:after="60" w:line="240" w:lineRule="auto"/>
      </w:pPr>
      <w:r>
        <w:rPr>
          <w:rFonts w:ascii="Calibri" w:hAnsi="Calibri" w:eastAsia="Calibri" w:cs="Calibri"/>
          <w:b/>
          <w:bCs/>
          <w:sz w:val="18"/>
          <w:szCs w:val="18"/>
        </w:rPr>
        <w:t xml:space="preserve">5.3 Data, ownership and credentials. </w:t>
      </w:r>
      <w:r>
        <w:rPr>
          <w:rFonts w:ascii="Calibri" w:hAnsi="Calibri" w:eastAsia="Calibri" w:cs="Calibri"/>
          <w:sz w:val="18"/>
          <w:szCs w:val="18"/>
        </w:rPr>
        <w:t xml:space="preserve">The Client owns its data, accounts, domains, licenses and credentials, and the client-specific configuration and documentation produced for it. The IT Guys uses them only to perform this project. The IT Guys keeps ownership of its pre-existing tools, scripts, templates and methods, and grants the Client a perpetual, non-exclusive, non-transferable license to use any of them included in the deliverables for the Client’s own business.</w:t>
      </w:r>
    </w:p>
    <w:p>
      <w:pPr>
        <w:spacing w:before="0" w:after="60" w:line="240" w:lineRule="auto"/>
      </w:pPr>
      <w:r>
        <w:rPr>
          <w:rFonts w:ascii="Calibri" w:hAnsi="Calibri" w:eastAsia="Calibri" w:cs="Calibri"/>
          <w:b/>
          <w:bCs/>
          <w:sz w:val="18"/>
          <w:szCs w:val="18"/>
        </w:rPr>
        <w:t xml:space="preserve">5.4 Confidentiality and security. </w:t>
      </w:r>
      <w:r>
        <w:rPr>
          <w:rFonts w:ascii="Calibri" w:hAnsi="Calibri" w:eastAsia="Calibri" w:cs="Calibri"/>
          <w:sz w:val="18"/>
          <w:szCs w:val="18"/>
        </w:rPr>
        <w:t xml:space="preserve">Each Party will use the other’s non-public information, including Client data, credentials, security settings and pricing, only for this project, protect it with at least reasonable care, and share it only with people who need it and are bound to keep it confidential, unless disclosure is required by law. The IT Guys will use reasonable safeguards for Client data and credentials in its possession and will promptly tell the Client if it becomes aware of unauthorized access to them. On written request after the project ends, each Party will return or destroy the other’s confidential information, except routine backups and records kept for legal, accounting or business purposes, which stay confidential.</w:t>
      </w:r>
    </w:p>
    <w:p>
      <w:pPr>
        <w:spacing w:before="0" w:after="60" w:line="240" w:lineRule="auto"/>
      </w:pPr>
      <w:r>
        <w:rPr>
          <w:rFonts w:ascii="Calibri" w:hAnsi="Calibri" w:eastAsia="Calibri" w:cs="Calibri"/>
          <w:b/>
          <w:bCs/>
          <w:sz w:val="18"/>
          <w:szCs w:val="18"/>
        </w:rPr>
        <w:t xml:space="preserve">5.5 Regulated data. </w:t>
      </w:r>
      <w:r>
        <w:rPr>
          <w:rFonts w:ascii="Calibri" w:hAnsi="Calibri" w:eastAsia="Calibri" w:cs="Calibri"/>
          <w:sz w:val="18"/>
          <w:szCs w:val="18"/>
        </w:rPr>
        <w:t xml:space="preserve">This project does not by itself make The IT Guys a HIPAA Business Associate. If the work requires access to Protected Health Information in a capacity that requires a Business Associate Agreement, the Parties will sign one before that access begins, and The IT Guys may defer only the work that requires it. The work may support the Client’s compliance efforts, but it is not a certification or guarantee of compliance with HIPAA or any other law, and The IT Guys is not the Client’s compliance officer, auditor or attorney unless separately engaged in writing for that role.</w:t>
      </w:r>
    </w:p>
    <w:p>
      <w:pPr>
        <w:spacing w:before="0" w:after="60" w:line="240" w:lineRule="auto"/>
      </w:pPr>
      <w:r>
        <w:rPr>
          <w:rFonts w:ascii="Calibri" w:hAnsi="Calibri" w:eastAsia="Calibri" w:cs="Calibri"/>
          <w:b/>
          <w:bCs/>
          <w:sz w:val="18"/>
          <w:szCs w:val="18"/>
        </w:rPr>
        <w:t xml:space="preserve">5.6 Warranty disclaimer and limitation of liability. </w:t>
      </w:r>
      <w:r>
        <w:rPr>
          <w:rFonts w:ascii="Calibri" w:hAnsi="Calibri" w:eastAsia="Calibri" w:cs="Calibri"/>
          <w:sz w:val="18"/>
          <w:szCs w:val="18"/>
        </w:rPr>
        <w:t xml:space="preserve">EXCEPT FOR THE IT GUYS PROJECT PROMISE, AND TO THE MAXIMUM EXTENT PERMITTED BY LAW, THE IT GUYS DISCLAIMS ALL OTHER WARRANTIES, EXPRESS OR IMPLIED, INCLUDING IMPLIED WARRANTIES OF MERCHANTABILITY, FITNESS FOR A PARTICULAR PURPOSE AND NON-INFRINGEMENT. THE IT GUYS’ TOTAL LIABILITY ARISING OUT OF OR RELATING TO THIS PROJECT, IN CONTRACT, NEGLIGENCE OR ANY OTHER THEORY, WILL NOT EXCEED THE FEES PAID OR PAYABLE FOR THE IT GUYS’ SERVICES UNDER THIS QUOTE/SOW AND ITS CHANGE ORDERS, EXCLUDING HARDWARE, SOFTWARE, LICENSING AND OTHER THIRD-PARTY ITEMS. NEITHER PARTY IS LIABLE FOR INDIRECT, INCIDENTAL, SPECIAL, CONSEQUENTIAL, EXEMPLARY OR PUNITIVE DAMAGES, INCLUDING LOST PROFITS, LOST REVENUE, BUSINESS INTERRUPTION, LOSS OF USE OR LOST DATA. These limits do not apply to a Party’s gross negligence or willful misconduct or to the Client’s obligation to pay amounts owed. Regulatory fines and the Client’s security-incident response costs are the Client’s responsibility, except to the extent directly caused by The IT Guys’ gross negligence or willful misconduct. These limits reflect an agreed allocation of risk reflected in the price.</w:t>
      </w:r>
    </w:p>
    <w:p>
      <w:pPr>
        <w:spacing w:before="0" w:after="60" w:line="240" w:lineRule="auto"/>
      </w:pPr>
      <w:r>
        <w:rPr>
          <w:rFonts w:ascii="Calibri" w:hAnsi="Calibri" w:eastAsia="Calibri" w:cs="Calibri"/>
          <w:b/>
          <w:bCs/>
          <w:sz w:val="18"/>
          <w:szCs w:val="18"/>
        </w:rPr>
        <w:t xml:space="preserve">5.7 Emergency containment. </w:t>
      </w:r>
      <w:r>
        <w:rPr>
          <w:rFonts w:ascii="Calibri" w:hAnsi="Calibri" w:eastAsia="Calibri" w:cs="Calibri"/>
          <w:sz w:val="18"/>
          <w:szCs w:val="18"/>
        </w:rPr>
        <w:t xml:space="preserve">If The IT Guys finds an active security compromise or a condition threatening imminent damage or data loss while working, it may take reasonable, proportionate containment action within the access it has, such as isolating a device or disabling a suspected-compromised account, and will notify the Client promptly. Investigation or recovery beyond that initial containment requires the Client’s written approval.</w:t>
      </w:r>
    </w:p>
    <w:p>
      <w:pPr>
        <w:spacing w:before="0" w:after="60" w:line="240" w:lineRule="auto"/>
      </w:pPr>
      <w:r>
        <w:rPr>
          <w:rFonts w:ascii="Calibri" w:hAnsi="Calibri" w:eastAsia="Calibri" w:cs="Calibri"/>
          <w:b/>
          <w:bCs/>
          <w:sz w:val="18"/>
          <w:szCs w:val="18"/>
        </w:rPr>
        <w:t xml:space="preserve">5.8 Termination and suspension. </w:t>
      </w:r>
      <w:r>
        <w:rPr>
          <w:rFonts w:ascii="Calibri" w:hAnsi="Calibri" w:eastAsia="Calibri" w:cs="Calibri"/>
          <w:sz w:val="18"/>
          <w:szCs w:val="18"/>
        </w:rPr>
        <w:t xml:space="preserve">Either Party may terminate this project if the other materially breaches it and does not cure the breach within fifteen (15) days after written notice. The IT Guys may terminate, or suspend only the affected work, if an undisputed invoice remains unpaid fifteen (15) days after written notice, if required access, information or decisions are not provided for thirty (30) days after written notice, or if continuing would create a material security, legal or safety risk. The Parties may also end the project at any time by written agreement. On termination, the Client pays for work performed, milestones completed and third-party items ordered or committed, at the prices in this Quote/SOW; any unapplied deposit is refunded within thirty (30) days; and no termination fee applies. The IT Guys will hand over the client-specific documentation and administrative access completed to that point and remove its own access on request.</w:t>
      </w:r>
    </w:p>
    <w:p>
      <w:pPr>
        <w:spacing w:before="0" w:after="60" w:line="240" w:lineRule="auto"/>
      </w:pPr>
      <w:r>
        <w:rPr>
          <w:rFonts w:ascii="Calibri" w:hAnsi="Calibri" w:eastAsia="Calibri" w:cs="Calibri"/>
          <w:b/>
          <w:bCs/>
          <w:sz w:val="18"/>
          <w:szCs w:val="18"/>
        </w:rPr>
        <w:t xml:space="preserve">5.9 Governing law. </w:t>
      </w:r>
      <w:r>
        <w:rPr>
          <w:rFonts w:ascii="Calibri" w:hAnsi="Calibri" w:eastAsia="Calibri" w:cs="Calibri"/>
          <w:sz w:val="18"/>
          <w:szCs w:val="18"/>
        </w:rPr>
        <w:t xml:space="preserve">This Quote/SOW is governed by the laws of the State of Texas, without regard to conflict-of-laws rules. Any action arising out of it will be brought exclusively in the state courts located in Hardin County, Texas, or, where federal jurisdiction exists, the United States District Court for the Eastern District of Texas, Beaumont Division.</w:t>
      </w:r>
    </w:p>
    <w:p>
      <w:pPr>
        <w:spacing w:before="0" w:after="60" w:line="240" w:lineRule="auto"/>
      </w:pPr>
      <w:r>
        <w:rPr>
          <w:rFonts w:ascii="Calibri" w:hAnsi="Calibri" w:eastAsia="Calibri" w:cs="Calibri"/>
          <w:b/>
          <w:bCs/>
          <w:sz w:val="18"/>
          <w:szCs w:val="18"/>
        </w:rPr>
        <w:t xml:space="preserve">5.10 General. </w:t>
      </w:r>
      <w:r>
        <w:rPr>
          <w:rFonts w:ascii="Calibri" w:hAnsi="Calibri" w:eastAsia="Calibri" w:cs="Calibri"/>
          <w:sz w:val="18"/>
          <w:szCs w:val="18"/>
        </w:rPr>
        <w:t xml:space="preserve">The Parties are independent contractors. The IT Guys may use qualified subcontractors, remains responsible for their work and binds them to confidentiality. Neither Party may assign this Quote/SOW without the other’s written consent, which will not be unreasonably withheld, except to a successor of its business. Neither Party is liable for delays caused by events beyond its reasonable control, but this does not excuse payment for work performed or items ordered. Notices may be given by email to the addresses the Parties use for this project. Changes to these terms must be in writing and approved by both Parties. If any provision is unenforceable, the rest remains in effect. This Quote/SOW may be accepted and signed electronically and in counterparts.</w:t>
      </w:r>
    </w:p>
    <w:p>
      <w:pPr>
        <w:spacing w:before="120" w:after="80" w:line="240" w:lineRule="auto"/>
      </w:pPr>
      <w:r>
        <w:rPr>
          <w:rFonts w:ascii="Calibri" w:hAnsi="Calibri" w:eastAsia="Calibri" w:cs="Calibri"/>
          <w:i/>
          <w:iCs/>
          <w:sz w:val="18"/>
          <w:szCs w:val="18"/>
        </w:rPr>
        <w:t xml:space="preserve">This Quote/SOW is valid for 30 days from the date above. It is accepted when signed below, or when the Client’s authorized decision maker accepts it in writing (including by email) referencing the Quote ID. By accepting, the Client agrees to Sections 1 through 5.</w:t>
      </w:r>
    </w:p>
    <w:tbl>
      <w:tblPr>
        <w:tblW w:w="10080" w:type="dxa"/>
        <w:tblLayout w:type="fixed"/>
      </w:tblPr>
      <w:tblGrid>
        <w:gridCol w:w="5040"/>
        <w:gridCol w:w="5040"/>
      </w:tblGrid>
      <w:tr>
        <w:trPr>
          <w:cantSplit/>
        </w:trPr>
        <w:tc>
          <w:tcPr>
            <w:tcW w:w="504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pPr>
              <w:spacing w:before="0" w:after="60" w:line="240" w:lineRule="auto"/>
            </w:pPr>
            <w:r>
              <w:rPr>
                <w:rFonts w:ascii="Calibri" w:hAnsi="Calibri" w:eastAsia="Calibri" w:cs="Calibri"/>
                <w:b/>
                <w:bCs/>
                <w:sz w:val="18"/>
                <w:szCs w:val="18"/>
              </w:rPr>
              <w:t xml:space="preserve">The IT Guys LLC</w:t>
            </w:r>
          </w:p>
          <w:p>
            <w:pPr>
              <w:spacing w:before="0" w:after="60" w:line="240" w:lineRule="auto"/>
            </w:pPr>
            <w:r>
              <w:rPr>
                <w:rFonts w:ascii="Calibri" w:hAnsi="Calibri" w:eastAsia="Calibri" w:cs="Calibri"/>
                <w:sz w:val="18"/>
                <w:szCs w:val="18"/>
              </w:rPr>
              <w:t xml:space="preserve">Signature: ______________________________</w:t>
            </w:r>
          </w:p>
          <w:p>
            <w:pPr>
              <w:spacing w:before="0" w:after="60" w:line="240" w:lineRule="auto"/>
            </w:pPr>
            <w:r>
              <w:rPr>
                <w:rFonts w:ascii="Calibri" w:hAnsi="Calibri" w:eastAsia="Calibri" w:cs="Calibri"/>
                <w:sz w:val="18"/>
                <w:szCs w:val="18"/>
              </w:rPr>
              <w:t xml:space="preserve">Date: ___________________</w:t>
            </w:r>
          </w:p>
          <w:p>
            <w:pPr>
              <w:spacing w:before="0" w:after="60" w:line="240" w:lineRule="auto"/>
            </w:pPr>
            <w:r>
              <w:rPr>
                <w:rFonts w:ascii="Calibri" w:hAnsi="Calibri" w:eastAsia="Calibri" w:cs="Calibri"/>
                <w:sz w:val="18"/>
                <w:szCs w:val="18"/>
              </w:rPr>
              <w:t xml:space="preserve">Name / title: Joshua Herron — Owner / Technical Lead</w:t>
            </w:r>
          </w:p>
        </w:tc>
        <w:tc>
          <w:tcPr>
            <w:tcW w:w="5040" w:type="dxa"/>
            <w:tcBorders>
              <w:top w:val="single" w:color="BFBFBF" w:sz="4"/>
              <w:left w:val="single" w:color="BFBFBF" w:sz="4"/>
              <w:bottom w:val="single" w:color="BFBFBF" w:sz="4"/>
              <w:right w:val="single" w:color="BFBFBF" w:sz="4"/>
            </w:tcBorders>
            <w:tcMar>
              <w:top w:w="35" w:type="dxa"/>
              <w:left w:w="90" w:type="dxa"/>
              <w:bottom w:w="35" w:type="dxa"/>
              <w:right w:w="90" w:type="dxa"/>
            </w:tcMar>
          </w:tcPr>
          <w:p>
            <w:pPr>
              <w:spacing w:before="0" w:after="60" w:line="240" w:lineRule="auto"/>
            </w:pPr>
            <w:sdt>
              <w:sdtPr>
                <w:rPr>
                  <w:rFonts w:ascii="Calibri" w:hAnsi="Calibri" w:eastAsia="Calibri" w:cs="Calibri"/>
                  <w:b/>
                  <w:bCs/>
                  <w:sz w:val="18"/>
                  <w:szCs w:val="18"/>
                </w:rPr>
                <w:alias w:val="Business name"/>
                <w:tag w:val="ENG.BusinessName"/>
                <w:id w:val="1185242216"/>
                <w:text w:multiLine="1"/>
              </w:sdtPr>
              <w:sdtContent>
                <w:r>
                  <w:rPr>
                    <w:rFonts w:ascii="Calibri" w:hAnsi="Calibri" w:eastAsia="Calibri" w:cs="Calibri"/>
                    <w:b/>
                    <w:bCs/>
                    <w:sz w:val="18"/>
                    <w:szCs w:val="18"/>
                  </w:rPr>
                  <w:t xml:space="preserve">[Client business name]</w:t>
                </w:r>
              </w:sdtContent>
            </w:sdt>
          </w:p>
          <w:p>
            <w:pPr>
              <w:spacing w:before="0" w:after="60" w:line="240" w:lineRule="auto"/>
            </w:pPr>
            <w:r>
              <w:rPr>
                <w:rFonts w:ascii="Calibri" w:hAnsi="Calibri" w:eastAsia="Calibri" w:cs="Calibri"/>
                <w:sz w:val="18"/>
                <w:szCs w:val="18"/>
              </w:rPr>
              <w:t xml:space="preserve">Signature: ______________________________</w:t>
            </w:r>
          </w:p>
          <w:p>
            <w:pPr>
              <w:spacing w:before="0" w:after="60" w:line="240" w:lineRule="auto"/>
            </w:pPr>
            <w:r>
              <w:rPr>
                <w:rFonts w:ascii="Calibri" w:hAnsi="Calibri" w:eastAsia="Calibri" w:cs="Calibri"/>
                <w:sz w:val="18"/>
                <w:szCs w:val="18"/>
              </w:rPr>
              <w:t xml:space="preserve">Date: ___________________</w:t>
            </w:r>
          </w:p>
          <w:p>
            <w:pPr>
              <w:spacing w:before="0" w:after="60" w:line="240" w:lineRule="auto"/>
            </w:pPr>
            <w:r>
              <w:rPr>
                <w:rFonts w:ascii="Calibri" w:hAnsi="Calibri" w:eastAsia="Calibri" w:cs="Calibri"/>
                <w:sz w:val="18"/>
                <w:szCs w:val="18"/>
              </w:rPr>
              <w:t xml:space="preserve">Name / title: ______________________________</w:t>
            </w:r>
          </w:p>
        </w:tc>
      </w:tr>
    </w:tbl>
    <w:sectPr>
      <w:footerReference w:type="default" r:id="rId7"/>
      <w:headerReference w:type="default" r:id="rId9"/>
      <w:pgSz w:w="12240" w:h="15840" w:orient="portrait"/>
      <w:pgMar w:top="720" w:right="1080" w:bottom="720" w:left="1080" w:header="708" w:footer="708" w:gutter="0"/>
      <w:pgNumType/>
      <w:cols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443674D1" w14:paraId="588548DD" wp14:textId="77777777">
    <w:pPr>
      <w:spacing w:before="0" w:after="0" w:line="240" w:lineRule="auto"/>
      <w:jc w:val="center"/>
      <w:rPr>
        <w:lang w:val="en-US"/>
      </w:rPr>
    </w:pPr>
    <w:r w:rsidRPr="443674D1" w:rsidR="443674D1">
      <w:rPr>
        <w:rFonts w:ascii="Calibri" w:hAnsi="Calibri" w:eastAsia="Calibri" w:cs="Calibri"/>
        <w:color w:val="595959"/>
        <w:sz w:val="15"/>
        <w:szCs w:val="15"/>
        <w:lang w:val="en-US"/>
      </w:rPr>
      <w:t xml:space="preserve">The IT Guys LLC  |  Project Quote &amp; Statement of Work v1.0   |   Page </w:t>
    </w:r>
    <w:r w:rsidRPr="443674D1">
      <w:rPr>
        <w:rFonts w:ascii="Calibri" w:hAnsi="Calibri" w:eastAsia="Calibri" w:cs="Calibri"/>
        <w:color w:val="595959"/>
        <w:sz w:val="15"/>
        <w:szCs w:val="15"/>
        <w:lang w:val="en-US"/>
      </w:rPr>
      <w:fldChar w:fldCharType="begin"/>
    </w:r>
    <w:r w:rsidRPr="443674D1">
      <w:rPr>
        <w:rFonts w:ascii="Calibri" w:hAnsi="Calibri" w:eastAsia="Calibri" w:cs="Calibri"/>
        <w:color w:val="595959"/>
        <w:sz w:val="15"/>
        <w:szCs w:val="15"/>
      </w:rPr>
      <w:instrText xml:space="preserve">PAGE</w:instrText>
    </w:r>
    <w:r w:rsidRPr="443674D1">
      <w:rPr>
        <w:rFonts w:ascii="Calibri" w:hAnsi="Calibri" w:eastAsia="Calibri" w:cs="Calibri"/>
        <w:color w:val="595959"/>
        <w:sz w:val="15"/>
        <w:szCs w:val="15"/>
      </w:rPr>
      <w:fldChar w:fldCharType="separate"/>
    </w:r>
    <w:r w:rsidRPr="443674D1">
      <w:rPr>
        <w:rFonts w:ascii="Calibri" w:hAnsi="Calibri" w:eastAsia="Calibri" w:cs="Calibri"/>
        <w:color w:val="595959"/>
        <w:sz w:val="15"/>
        <w:szCs w:val="15"/>
        <w:lang w:val="en-US"/>
      </w:rPr>
      <w:fldChar w:fldCharType="end"/>
    </w:r>
    <w:r w:rsidRPr="443674D1" w:rsidR="443674D1">
      <w:rPr>
        <w:rFonts w:ascii="Calibri" w:hAnsi="Calibri" w:eastAsia="Calibri" w:cs="Calibri"/>
        <w:color w:val="595959"/>
        <w:sz w:val="15"/>
        <w:szCs w:val="15"/>
        <w:lang w:val="en-US"/>
      </w:rPr>
      <w:t xml:space="preserve"> of </w:t>
    </w:r>
    <w:r w:rsidRPr="443674D1">
      <w:rPr>
        <w:rFonts w:ascii="Calibri" w:hAnsi="Calibri" w:eastAsia="Calibri" w:cs="Calibri"/>
        <w:color w:val="595959"/>
        <w:sz w:val="15"/>
        <w:szCs w:val="15"/>
        <w:lang w:val="en-US"/>
      </w:rPr>
      <w:fldChar w:fldCharType="begin"/>
    </w:r>
    <w:r w:rsidRPr="443674D1">
      <w:rPr>
        <w:rFonts w:ascii="Calibri" w:hAnsi="Calibri" w:eastAsia="Calibri" w:cs="Calibri"/>
        <w:color w:val="595959"/>
        <w:sz w:val="15"/>
        <w:szCs w:val="15"/>
      </w:rPr>
      <w:instrText xml:space="preserve">NUMPAGES</w:instrText>
    </w:r>
    <w:r w:rsidRPr="443674D1">
      <w:rPr>
        <w:rFonts w:ascii="Calibri" w:hAnsi="Calibri" w:eastAsia="Calibri" w:cs="Calibri"/>
        <w:color w:val="595959"/>
        <w:sz w:val="15"/>
        <w:szCs w:val="15"/>
      </w:rPr>
      <w:fldChar w:fldCharType="separate"/>
    </w:r>
    <w:r w:rsidRPr="443674D1">
      <w:rPr>
        <w:rFonts w:ascii="Calibri" w:hAnsi="Calibri" w:eastAsia="Calibri" w:cs="Calibri"/>
        <w:color w:val="595959"/>
        <w:sz w:val="15"/>
        <w:szCs w:val="15"/>
        <w:lang w:val="en-US"/>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41C8F396" wp14:textId="7777777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731e84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8da3348"/>
    <w:multiLevelType w:val="hybridMultilevel"/>
    <w:lvl w:ilvl="0" w15:tentative="1">
      <w:start w:val="1"/>
      <w:numFmt w:val="bullet"/>
      <w:lvlText w:val="•"/>
      <w:lvlJc w:val="left"/>
      <w:pPr>
        <w:ind w:left="300" w:hanging="20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1172F683"/>
  <w15:docId w15:val="{2E0932FB-3C9E-4D9E-B51E-35931A6940A1}"/>
  <w:rsids>
    <w:rsidRoot w:val="443674D1"/>
    <w:rsid w:val="443674D1"/>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footer" Target="footer1.xml" Id="rId7" /><Relationship Type="http://schemas.openxmlformats.org/officeDocument/2006/relationships/customXml" Target="../customXml/item3.xml" Id="rId12"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customXml" Target="../customXml/item2.xml" Id="rId11" /><Relationship Type="http://schemas.openxmlformats.org/officeDocument/2006/relationships/settings" Target="settings.xml" Id="rId5" /><Relationship Type="http://schemas.openxmlformats.org/officeDocument/2006/relationships/customXml" Target="../customXml/item1.xml" Id="rId10" /><Relationship Type="http://schemas.openxmlformats.org/officeDocument/2006/relationships/header" Target="header1.xml" Id="rId9" /></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338B486414664D93AA26AFA4B50BB2" ma:contentTypeVersion="24" ma:contentTypeDescription="Create a new document." ma:contentTypeScope="" ma:versionID="f0c454b941055ce4ac1cd6c404789bef">
  <xsd:schema xmlns:xsd="http://www.w3.org/2001/XMLSchema" xmlns:xs="http://www.w3.org/2001/XMLSchema" xmlns:p="http://schemas.microsoft.com/office/2006/metadata/properties" xmlns:ns2="6d050ea7-5be1-4548-b554-ae046de0be96" xmlns:ns3="c4e5d2ca-fcb5-4b35-88d8-e7c78262eba0" targetNamespace="http://schemas.microsoft.com/office/2006/metadata/properties" ma:root="true" ma:fieldsID="206911466b2446140b7581ddfd1b5b10" ns2:_="" ns3:_="">
    <xsd:import namespace="6d050ea7-5be1-4548-b554-ae046de0be96"/>
    <xsd:import namespace="c4e5d2ca-fcb5-4b35-88d8-e7c78262eba0"/>
    <xsd:element name="properties">
      <xsd:complexType>
        <xsd:sequence>
          <xsd:element name="documentManagement">
            <xsd:complexType>
              <xsd:all>
                <xsd:element ref="ns2:TIG_DocumentKey" minOccurs="0"/>
                <xsd:element ref="ns2:TIG_ShortName" minOccurs="0"/>
                <xsd:element ref="ns2:TIG_DocumentType" minOccurs="0"/>
                <xsd:element ref="ns2:TIG_ServiceLane" minOccurs="0"/>
                <xsd:element ref="ns2:TIG_LifecycleStage" minOccurs="0"/>
                <xsd:element ref="ns2:TIG_PrimaryRole" minOccurs="0"/>
                <xsd:element ref="ns2:TIG_Trigger" minOccurs="0"/>
                <xsd:element ref="ns2:TIG_CurrentVersion" minOccurs="0"/>
                <xsd:element ref="ns2:TIG_VersionLabel" minOccurs="0"/>
                <xsd:element ref="ns2:TIG_Status" minOccurs="0"/>
                <xsd:element ref="ns2:TIG_UsageMode" minOccurs="0"/>
                <xsd:element ref="ns2:TIG_ClientCopyRequired" minOccurs="0"/>
                <xsd:element ref="ns2:TIG_BlocksNextStage" minOccurs="0"/>
                <xsd:element ref="ns2:TIG_SignatureRequired" minOccurs="0"/>
                <xsd:element ref="ns2:TIG_TargetClientFolder" minOccurs="0"/>
                <xsd:element ref="ns2:TIG_ProcessOwner" minOccurs="0"/>
                <xsd:element ref="ns2:TIG_EffectiveDate" minOccurs="0"/>
                <xsd:element ref="ns2:TIG_Supersedes" minOccurs="0"/>
                <xsd:element ref="ns2:TIG_ReviewDate" minOccurs="0"/>
                <xsd:element ref="ns2:TIG_ApprovedBy" minOccurs="0"/>
                <xsd:element ref="ns2:TIG_Notes"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050ea7-5be1-4548-b554-ae046de0be96" elementFormDefault="qualified">
    <xsd:import namespace="http://schemas.microsoft.com/office/2006/documentManagement/types"/>
    <xsd:import namespace="http://schemas.microsoft.com/office/infopath/2007/PartnerControls"/>
    <xsd:element name="TIG_DocumentKey" ma:index="8" nillable="true" ma:displayName="Document Key" ma:indexed="true" ma:internalName="TIG_DocumentKey">
      <xsd:simpleType>
        <xsd:restriction base="dms:Text"/>
      </xsd:simpleType>
    </xsd:element>
    <xsd:element name="TIG_ShortName" ma:index="9" nillable="true" ma:displayName="Short Name" ma:internalName="TIG_ShortName">
      <xsd:simpleType>
        <xsd:restriction base="dms:Text"/>
      </xsd:simpleType>
    </xsd:element>
    <xsd:element name="TIG_DocumentType" ma:index="10" nillable="true" ma:displayName="Document Type" ma:internalName="TIG_DocumentType">
      <xsd:simpleType>
        <xsd:restriction base="dms:Choice">
          <xsd:enumeration value="Standard"/>
          <xsd:enumeration value="SOP"/>
          <xsd:enumeration value="Runbook"/>
          <xsd:enumeration value="Checklist"/>
          <xsd:enumeration value="Form"/>
          <xsd:enumeration value="Template"/>
          <xsd:enumeration value="Policy"/>
          <xsd:enumeration value="Commercial Reference"/>
          <xsd:enumeration value="Assessment"/>
          <xsd:enumeration value="Review"/>
          <xsd:enumeration value="Configuration Artifact"/>
        </xsd:restriction>
      </xsd:simpleType>
    </xsd:element>
    <xsd:element name="TIG_ServiceLane" ma:index="11" nillable="true" ma:displayName="Service Lane" ma:internalName="TIG_ServiceLane">
      <xsd:complexType>
        <xsd:complexContent>
          <xsd:extension base="dms:MultiChoice">
            <xsd:sequence>
              <xsd:element name="Value" maxOccurs="unbounded" minOccurs="0" nillable="true">
                <xsd:simpleType>
                  <xsd:restriction base="dms:Choice">
                    <xsd:enumeration value="All"/>
                    <xsd:enumeration value="Managed IT"/>
                    <xsd:enumeration value="Business IT Integration"/>
                    <xsd:enumeration value="Network Integration"/>
                    <xsd:enumeration value="Managed Backup"/>
                    <xsd:enumeration value="Business Technology Projects"/>
                    <xsd:enumeration value="Security"/>
                    <xsd:enumeration value="Administration / Billing"/>
                  </xsd:restriction>
                </xsd:simpleType>
              </xsd:element>
            </xsd:sequence>
          </xsd:extension>
        </xsd:complexContent>
      </xsd:complexType>
    </xsd:element>
    <xsd:element name="TIG_LifecycleStage" ma:index="12" nillable="true" ma:displayName="Lifecycle Stage" ma:internalName="TIG_LifecycleStage">
      <xsd:complexType>
        <xsd:complexContent>
          <xsd:extension base="dms:MultiChoice">
            <xsd:sequence>
              <xsd:element name="Value" maxOccurs="unbounded" minOccurs="0" nillable="true">
                <xsd:simpleType>
                  <xsd:restriction base="dms:Choice">
                    <xsd:enumeration value="Sales Discovery"/>
                    <xsd:enumeration value="Technical Assessment"/>
                    <xsd:enumeration value="Risk Review"/>
                    <xsd:enumeration value="Quoting"/>
                    <xsd:enumeration value="Contracting"/>
                    <xsd:enumeration value="Client Activation"/>
                    <xsd:enumeration value="Onboarding"/>
                    <xsd:enumeration value="Go-Live"/>
                    <xsd:enumeration value="Operations"/>
                    <xsd:enumeration value="Stabilization"/>
                    <xsd:enumeration value="Monthly Review"/>
                    <xsd:enumeration value="Quarterly Review"/>
                    <xsd:enumeration value="Lifecycle Planning"/>
                    <xsd:enumeration value="Change Management"/>
                    <xsd:enumeration value="Incident Response"/>
                    <xsd:enumeration value="Project Delivery"/>
                    <xsd:enumeration value="Acceptance"/>
                    <xsd:enumeration value="Offboarding"/>
                    <xsd:enumeration value="Internal Governance"/>
                  </xsd:restriction>
                </xsd:simpleType>
              </xsd:element>
            </xsd:sequence>
          </xsd:extension>
        </xsd:complexContent>
      </xsd:complexType>
    </xsd:element>
    <xsd:element name="TIG_PrimaryRole" ma:index="13" nillable="true" ma:displayName="Primary Role" ma:internalName="TIG_PrimaryRole">
      <xsd:simpleType>
        <xsd:restriction base="dms:Choice">
          <xsd:enumeration value="Sales"/>
          <xsd:enumeration value="Client Relations"/>
          <xsd:enumeration value="Technical Lead"/>
          <xsd:enumeration value="Technician"/>
          <xsd:enumeration value="Administration"/>
          <xsd:enumeration value="Management"/>
          <xsd:enumeration value="All Technical Staff"/>
        </xsd:restriction>
      </xsd:simpleType>
    </xsd:element>
    <xsd:element name="TIG_Trigger" ma:index="14" nillable="true" ma:displayName="Trigger" ma:internalName="TIG_Trigger">
      <xsd:simpleType>
        <xsd:restriction base="dms:Note">
          <xsd:maxLength value="255"/>
        </xsd:restriction>
      </xsd:simpleType>
    </xsd:element>
    <xsd:element name="TIG_CurrentVersion" ma:index="15" nillable="true" ma:displayName="Current Version" ma:decimals="2" ma:internalName="TIG_CurrentVersion">
      <xsd:simpleType>
        <xsd:restriction base="dms:Number"/>
      </xsd:simpleType>
    </xsd:element>
    <xsd:element name="TIG_VersionLabel" ma:index="16" nillable="true" ma:displayName="Version Label" ma:internalName="TIG_VersionLabel">
      <xsd:simpleType>
        <xsd:restriction base="dms:Text"/>
      </xsd:simpleType>
    </xsd:element>
    <xsd:element name="TIG_Status" ma:index="17" nillable="true" ma:displayName="Status" ma:default="Draft" ma:indexed="true" ma:internalName="TIG_Status">
      <xsd:simpleType>
        <xsd:restriction base="dms:Choice">
          <xsd:enumeration value="Draft"/>
          <xsd:enumeration value="Review"/>
          <xsd:enumeration value="Approved"/>
          <xsd:enumeration value="Superseded"/>
          <xsd:enumeration value="Retired"/>
        </xsd:restriction>
      </xsd:simpleType>
    </xsd:element>
    <xsd:element name="TIG_UsageMode" ma:index="18" nillable="true" ma:displayName="Usage Mode" ma:internalName="TIG_UsageMode">
      <xsd:simpleType>
        <xsd:restriction base="dms:Choice">
          <xsd:enumeration value="Client Copy Template"/>
          <xsd:enumeration value="Reference Only"/>
          <xsd:enumeration value="Internal Only"/>
          <xsd:enumeration value="Internal Record"/>
          <xsd:enumeration value="Client Record"/>
        </xsd:restriction>
      </xsd:simpleType>
    </xsd:element>
    <xsd:element name="TIG_ClientCopyRequired" ma:index="19" nillable="true" ma:displayName="Client Copy Required" ma:default="0" ma:internalName="TIG_ClientCopyRequired">
      <xsd:simpleType>
        <xsd:restriction base="dms:Boolean"/>
      </xsd:simpleType>
    </xsd:element>
    <xsd:element name="TIG_BlocksNextStage" ma:index="20" nillable="true" ma:displayName="Blocks Next Stage" ma:default="0" ma:internalName="TIG_BlocksNextStage">
      <xsd:simpleType>
        <xsd:restriction base="dms:Boolean"/>
      </xsd:simpleType>
    </xsd:element>
    <xsd:element name="TIG_SignatureRequired" ma:index="21" nillable="true" ma:displayName="Signature Required" ma:default="0" ma:internalName="TIG_SignatureRequired">
      <xsd:simpleType>
        <xsd:restriction base="dms:Boolean"/>
      </xsd:simpleType>
    </xsd:element>
    <xsd:element name="TIG_TargetClientFolder" ma:index="22" nillable="true" ma:displayName="Target Client Folder" ma:internalName="TIG_TargetClientFolder">
      <xsd:simpleType>
        <xsd:restriction base="dms:Choice">
          <xsd:enumeration value="Commercial"/>
          <xsd:enumeration value="Assessments"/>
          <xsd:enumeration value="Risk"/>
          <xsd:enumeration value="Activation"/>
          <xsd:enumeration value="Onboarding"/>
          <xsd:enumeration value="Reviews"/>
          <xsd:enumeration value="Projects"/>
          <xsd:enumeration value="Acceptance"/>
          <xsd:enumeration value="Offboarding"/>
        </xsd:restriction>
      </xsd:simpleType>
    </xsd:element>
    <xsd:element name="TIG_ProcessOwner" ma:index="23" nillable="true" ma:displayName="Process Owner" ma:internalName="TIG_Process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IG_EffectiveDate" ma:index="24" nillable="true" ma:displayName="Effective Date" ma:format="DateOnly" ma:internalName="TIG_EffectiveDate">
      <xsd:simpleType>
        <xsd:restriction base="dms:DateTime"/>
      </xsd:simpleType>
    </xsd:element>
    <xsd:element name="TIG_Supersedes" ma:index="25" nillable="true" ma:displayName="Supersedes" ma:internalName="TIG_Supersedes">
      <xsd:simpleType>
        <xsd:restriction base="dms:Text"/>
      </xsd:simpleType>
    </xsd:element>
    <xsd:element name="TIG_ReviewDate" ma:index="26" nillable="true" ma:displayName="Review Date" ma:format="DateOnly" ma:indexed="true" ma:internalName="TIG_ReviewDate">
      <xsd:simpleType>
        <xsd:restriction base="dms:DateTime"/>
      </xsd:simpleType>
    </xsd:element>
    <xsd:element name="TIG_ApprovedBy" ma:index="27" nillable="true" ma:displayName="Approved By" ma:internalName="TIG_Approved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IG_Notes" ma:index="28" nillable="true" ma:displayName="Notes" ma:internalName="TIG_Note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4e5d2ca-fcb5-4b35-88d8-e7c78262eba0" elementFormDefault="qualified">
    <xsd:import namespace="http://schemas.microsoft.com/office/2006/documentManagement/types"/>
    <xsd:import namespace="http://schemas.microsoft.com/office/infopath/2007/PartnerControls"/>
    <xsd:element name="MediaServiceMetadata" ma:index="29" nillable="true" ma:displayName="MediaServiceMetadata" ma:hidden="true" ma:internalName="MediaServiceMetadata" ma:readOnly="true">
      <xsd:simpleType>
        <xsd:restriction base="dms:Note"/>
      </xsd:simpleType>
    </xsd:element>
    <xsd:element name="MediaServiceFastMetadata" ma:index="30" nillable="true" ma:displayName="MediaServiceFastMetadata" ma:hidden="true" ma:internalName="MediaServiceFastMetadata" ma:readOnly="true">
      <xsd:simpleType>
        <xsd:restriction base="dms:Note"/>
      </xsd:simpleType>
    </xsd:element>
    <xsd:element name="MediaServiceSearchProperties" ma:index="3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IG_Status xmlns="6d050ea7-5be1-4548-b554-ae046de0be96">Approved</TIG_Status>
    <TIG_SignatureRequired xmlns="6d050ea7-5be1-4548-b554-ae046de0be96">true</TIG_SignatureRequired>
    <TIG_ClientCopyRequired xmlns="6d050ea7-5be1-4548-b554-ae046de0be96">true</TIG_ClientCopyRequired>
    <TIG_BlocksNextStage xmlns="6d050ea7-5be1-4548-b554-ae046de0be96">true</TIG_BlocksNextStage>
    <TIG_Trigger xmlns="6d050ea7-5be1-4548-b554-ae046de0be96">TRA outcome is quote-ready and every required DMP is coplete</TIG_Trigger>
    <TIG_TargetClientFolder xmlns="6d050ea7-5be1-4548-b554-ae046de0be96">Commercial</TIG_TargetClientFolder>
    <TIG_ReviewDate xmlns="6d050ea7-5be1-4548-b554-ae046de0be96">2026-09-29T07:00:00+00:00</TIG_ReviewDate>
    <TIG_PrimaryRole xmlns="6d050ea7-5be1-4548-b554-ae046de0be96">Technical Lead</TIG_PrimaryRole>
    <TIG_DocumentType xmlns="6d050ea7-5be1-4548-b554-ae046de0be96">Template</TIG_DocumentType>
    <TIG_EffectiveDate xmlns="6d050ea7-5be1-4548-b554-ae046de0be96" xsi:nil="true"/>
    <TIG_ServiceLane xmlns="6d050ea7-5be1-4548-b554-ae046de0be96">
      <Value>Business IT Integration</Value>
    </TIG_ServiceLane>
    <TIG_VersionLabel xmlns="6d050ea7-5be1-4548-b554-ae046de0be96">v1.5</TIG_VersionLabel>
    <TIG_ShortName xmlns="6d050ea7-5be1-4548-b554-ae046de0be96">BII Quote-SOW</TIG_ShortName>
    <TIG_LifecycleStage xmlns="6d050ea7-5be1-4548-b554-ae046de0be96">
      <Value>Quoting</Value>
      <Value>Contracting</Value>
    </TIG_LifecycleStage>
    <TIG_CurrentVersion xmlns="6d050ea7-5be1-4548-b554-ae046de0be96">1.5</TIG_CurrentVersion>
    <TIG_DocumentKey xmlns="6d050ea7-5be1-4548-b554-ae046de0be96">BII-QSOW</TIG_DocumentKey>
    <TIG_Supersedes xmlns="6d050ea7-5be1-4548-b554-ae046de0be96">1.3</TIG_Supersedes>
    <TIG_ApprovedBy xmlns="6d050ea7-5be1-4548-b554-ae046de0be96">
      <UserInfo>
        <DisplayName/>
        <AccountId xsi:nil="true"/>
        <AccountType/>
      </UserInfo>
    </TIG_ApprovedBy>
    <TIG_UsageMode xmlns="6d050ea7-5be1-4548-b554-ae046de0be96">Client Copy Template</TIG_UsageMode>
    <TIG_Notes xmlns="6d050ea7-5be1-4548-b554-ae046de0be96" xsi:nil="true"/>
    <TIG_ProcessOwner xmlns="6d050ea7-5be1-4548-b554-ae046de0be96">
      <UserInfo>
        <DisplayName>Joshua Herron</DisplayName>
        <AccountId>11</AccountId>
        <AccountType/>
      </UserInfo>
    </TIG_ProcessOwner>
  </documentManagement>
</p:properties>
</file>

<file path=customXml/itemProps1.xml><?xml version="1.0" encoding="utf-8"?>
<ds:datastoreItem xmlns:ds="http://schemas.openxmlformats.org/officeDocument/2006/customXml" ds:itemID="{634F4804-22D7-4B81-AC9D-73A3CD37D314}"/>
</file>

<file path=customXml/itemProps2.xml><?xml version="1.0" encoding="utf-8"?>
<ds:datastoreItem xmlns:ds="http://schemas.openxmlformats.org/officeDocument/2006/customXml" ds:itemID="{475D1860-D3AF-457E-A15E-A81867A5C9CB}"/>
</file>

<file path=customXml/itemProps3.xml><?xml version="1.0" encoding="utf-8"?>
<ds:datastoreItem xmlns:ds="http://schemas.openxmlformats.org/officeDocument/2006/customXml" ds:itemID="{26EA154C-4845-4B44-B086-80572F11316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The IT Guys Project Quote &amp; Statement of Work v1.0</dc:title>
  <dc:creator>Un-named</dc:creator>
  <lastModifiedBy>Joshua Herron</lastModifiedBy>
  <revision>2</revision>
  <dcterms:created xsi:type="dcterms:W3CDTF">2026-09-26T08:06:14.0000000Z</dcterms:created>
  <dcterms:modified xsi:type="dcterms:W3CDTF">2026-09-30T16:49:39.9387968Z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0x01010078338B486414664D93AA26AFA4B50BB2</vt:lpwstr>
  </property>
</Properties>
</file>