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0284C7"/>
          <w:sz w:val="18"/>
        </w:rPr>
        <w:t>B.TECH COMPUTER SCIENCE &amp; ENGINEERING · DBMS CASE STUDY REPORT</w:t>
      </w:r>
    </w:p>
    <w:p>
      <w:r>
        <w:rPr>
          <w:rFonts w:ascii="Calibri" w:hAnsi="Calibri"/>
          <w:b/>
          <w:color w:val="0F172A"/>
          <w:sz w:val="52"/>
        </w:rPr>
        <w:t>FraudLens</w:t>
      </w:r>
    </w:p>
    <w:p>
      <w:r>
        <w:rPr>
          <w:rFonts w:ascii="Calibri" w:hAnsi="Calibri"/>
          <w:color w:val="0284C7"/>
          <w:sz w:val="26"/>
        </w:rPr>
        <w:t>Financial Transaction &amp; Fraud Investigation Management System</w:t>
      </w:r>
    </w:p>
    <w:tbl>
      <w:tblPr>
        <w:tblW w:type="auto" w:w="0"/>
        <w:jc w:val="center"/>
        <w:tblLayout w:type="fixed"/>
        <w:tblLook w:firstColumn="1" w:firstRow="1" w:lastColumn="0" w:lastRow="0" w:noHBand="0" w:noVBand="1" w:val="04A0"/>
      </w:tblPr>
      <w:tblGrid>
        <w:gridCol w:w="9360"/>
      </w:tblGrid>
      <w:tr>
        <w:tc>
          <w:tcPr>
            <w:tcW w:type="dxa" w:w="9936"/>
            <w:shd w:fill="F8FAFC"/>
            <w:tcMar>
              <w:top w:w="120" w:type="dxa"/>
              <w:bottom w:w="120" w:type="dxa"/>
              <w:left w:w="180" w:type="dxa"/>
              <w:right w:w="180" w:type="dxa"/>
            </w:tcMar>
            <w:tcBorders>
              <w:left w:val="single" w:sz="24" w:space="0" w:color="1E3A8A"/>
              <w:top w:val="none"/>
              <w:right w:val="none"/>
              <w:bottom w:val="none"/>
            </w:tcBorders>
          </w:tcPr>
          <w:p>
            <w:pPr>
              <w:spacing w:before="40" w:after="40"/>
            </w:pPr>
            <w:r>
              <w:rPr>
                <w:rFonts w:ascii="Calibri" w:hAnsi="Calibri"/>
                <w:b/>
                <w:color w:val="1E3A8A"/>
                <w:sz w:val="20"/>
              </w:rPr>
              <w:t xml:space="preserve">Project Review Phase: </w:t>
            </w:r>
            <w:r>
              <w:rPr>
                <w:rFonts w:ascii="Calibri" w:hAnsi="Calibri"/>
                <w:color w:val="1E293B"/>
                <w:sz w:val="18"/>
              </w:rPr>
              <w:t>Review 1 Final Report: Relational Domain Modeling, Third Normal Form (3NF) Architecture, Oracle SQL DDL Schema with Named Constraints &amp; Sequences, Controlled DML Operations, Single-Row Formatting, Set Operators, Aggregates, and Multi-Table Analytical Joins.</w:t>
            </w:r>
          </w:p>
        </w:tc>
      </w:tr>
    </w:tbl>
    <w:p>
      <w:pPr>
        <w:spacing w:after="80"/>
      </w:pPr>
    </w:p>
    <w:tbl>
      <w:tblPr>
        <w:tblW w:type="auto" w:w="0"/>
        <w:jc w:val="center"/>
        <w:tblLook w:firstColumn="1" w:firstRow="1" w:lastColumn="0" w:lastRow="0" w:noHBand="0" w:noVBand="1" w:val="04A0"/>
      </w:tblPr>
      <w:tblGrid>
        <w:gridCol w:w="2592"/>
        <w:gridCol w:w="6768"/>
      </w:tblGrid>
      <w:tr>
        <w:tc>
          <w:tcPr>
            <w:tcW w:type="dxa" w:w="4968"/>
            <w:shd w:fill="F8FAFC"/>
          </w:tcPr>
          <w:p>
            <w:r>
              <w:rPr>
                <w:b/>
                <w:sz w:val="18"/>
              </w:rPr>
              <w:t>Project Candidates:</w:t>
            </w:r>
          </w:p>
        </w:tc>
        <w:tc>
          <w:tcPr>
            <w:tcW w:type="dxa" w:w="4968"/>
            <w:shd w:fill="F8FAFC"/>
          </w:tcPr>
          <w:p>
            <w:r>
              <w:rPr>
                <w:sz w:val="18"/>
              </w:rPr>
              <w:t>D Joshua Daniel (24BCE0436)  ·  M Saryu (24BCE2524)</w:t>
            </w:r>
          </w:p>
        </w:tc>
      </w:tr>
      <w:tr>
        <w:tc>
          <w:tcPr>
            <w:tcW w:type="dxa" w:w="4968"/>
            <w:shd w:fill="F8FAFC"/>
          </w:tcPr>
          <w:p>
            <w:r>
              <w:rPr>
                <w:b/>
                <w:sz w:val="18"/>
              </w:rPr>
              <w:t>Faculty Guide:</w:t>
            </w:r>
          </w:p>
        </w:tc>
        <w:tc>
          <w:tcPr>
            <w:tcW w:type="dxa" w:w="4968"/>
            <w:shd w:fill="F8FAFC"/>
          </w:tcPr>
          <w:p>
            <w:r>
              <w:rPr>
                <w:sz w:val="18"/>
              </w:rPr>
              <w:t>Prof. Kanagaraj K</w:t>
            </w:r>
          </w:p>
        </w:tc>
      </w:tr>
      <w:tr>
        <w:tc>
          <w:tcPr>
            <w:tcW w:type="dxa" w:w="4968"/>
            <w:shd w:fill="F8FAFC"/>
          </w:tcPr>
          <w:p>
            <w:r>
              <w:rPr>
                <w:b/>
                <w:sz w:val="18"/>
              </w:rPr>
              <w:t>Degree &amp; Programme:</w:t>
            </w:r>
          </w:p>
        </w:tc>
        <w:tc>
          <w:tcPr>
            <w:tcW w:type="dxa" w:w="4968"/>
            <w:shd w:fill="F8FAFC"/>
          </w:tcPr>
          <w:p>
            <w:r>
              <w:rPr>
                <w:sz w:val="18"/>
              </w:rPr>
              <w:t>Bachelor of Technology in Computer Science &amp; Engineering (B.Tech CSE)</w:t>
            </w:r>
          </w:p>
        </w:tc>
      </w:tr>
      <w:tr>
        <w:tc>
          <w:tcPr>
            <w:tcW w:type="dxa" w:w="4968"/>
            <w:shd w:fill="F8FAFC"/>
          </w:tcPr>
          <w:p>
            <w:r>
              <w:rPr>
                <w:b/>
                <w:sz w:val="18"/>
              </w:rPr>
              <w:t>School &amp; Institution:</w:t>
            </w:r>
          </w:p>
        </w:tc>
        <w:tc>
          <w:tcPr>
            <w:tcW w:type="dxa" w:w="4968"/>
            <w:shd w:fill="F8FAFC"/>
          </w:tcPr>
          <w:p>
            <w:r>
              <w:rPr>
                <w:sz w:val="18"/>
              </w:rPr>
              <w:t>School of Computer Science and Engineering (SCOPE), VIT Vellore</w:t>
            </w:r>
          </w:p>
        </w:tc>
      </w:tr>
      <w:tr>
        <w:tc>
          <w:tcPr>
            <w:tcW w:type="dxa" w:w="4968"/>
            <w:shd w:fill="F8FAFC"/>
          </w:tcPr>
          <w:p>
            <w:r>
              <w:rPr>
                <w:b/>
                <w:sz w:val="18"/>
              </w:rPr>
              <w:t>Course &amp; Code:</w:t>
            </w:r>
          </w:p>
        </w:tc>
        <w:tc>
          <w:tcPr>
            <w:tcW w:type="dxa" w:w="4968"/>
            <w:shd w:fill="F8FAFC"/>
          </w:tcPr>
          <w:p>
            <w:r>
              <w:rPr>
                <w:sz w:val="18"/>
              </w:rPr>
              <w:t>Database Management Systems (BCSE304L) / DBMS Laboratory</w:t>
            </w:r>
          </w:p>
        </w:tc>
      </w:tr>
      <w:tr>
        <w:tc>
          <w:tcPr>
            <w:tcW w:type="dxa" w:w="4968"/>
            <w:shd w:fill="F8FAFC"/>
          </w:tcPr>
          <w:p>
            <w:r>
              <w:rPr>
                <w:b/>
                <w:sz w:val="18"/>
              </w:rPr>
              <w:t>Database Engine:</w:t>
            </w:r>
          </w:p>
        </w:tc>
        <w:tc>
          <w:tcPr>
            <w:tcW w:type="dxa" w:w="4968"/>
            <w:shd w:fill="F8FAFC"/>
          </w:tcPr>
          <w:p>
            <w:r>
              <w:rPr>
                <w:sz w:val="18"/>
              </w:rPr>
              <w:t>Oracle Database (11g / 12c / 19c / 21c / 23c) SQL Dialect</w:t>
            </w:r>
          </w:p>
        </w:tc>
      </w:tr>
      <w:tr>
        <w:tc>
          <w:tcPr>
            <w:tcW w:type="dxa" w:w="4968"/>
            <w:shd w:fill="F8FAFC"/>
          </w:tcPr>
          <w:p>
            <w:r>
              <w:rPr>
                <w:b/>
                <w:sz w:val="18"/>
              </w:rPr>
              <w:t>Review Scope:</w:t>
            </w:r>
          </w:p>
        </w:tc>
        <w:tc>
          <w:tcPr>
            <w:tcW w:type="dxa" w:w="4968"/>
            <w:shd w:fill="F8FAFC"/>
          </w:tcPr>
          <w:p>
            <w:r>
              <w:rPr>
                <w:sz w:val="18"/>
              </w:rPr>
              <w:t>Review 1 Submission Ready (Verified Offline Simulation &amp; Static Audit)</w:t>
            </w:r>
          </w:p>
        </w:tc>
      </w:tr>
    </w:tbl>
    <w:p>
      <w:r>
        <w:br w:type="page"/>
      </w:r>
    </w:p>
    <w:p>
      <w:pPr>
        <w:pStyle w:val="Heading1"/>
      </w:pPr>
      <w:r>
        <w:t>1. Executive Summary &amp; Abstract</w:t>
      </w:r>
    </w:p>
    <w:p>
      <w:r>
        <w:t>Modern commercial banking institutions process millions of electronic transactions across diverse payment channels including Real-Time Gross Settlement (RTGS), National Electronic Funds Transfer (NEFT), Immediate Payment Service (IMPS), Unified Payments Interface (UPI), Point of Sale (POS), and Automated Teller Machines (ATM). When suspicious or anomalous activities emerge, financial crime compliance units face critical operational bottlenecks: customer master data, account ledgers, transaction feeds, and investigator notes are frequently partitioned across disparate spreadsheets or unnormalized silos. This architectural fragmentation introduces update anomalies, obscures audit trails, and delays rapid containment of high-risk transactions.</w:t>
      </w:r>
    </w:p>
    <w:p>
      <w:r>
        <w:t>FraudLens addresses this core industry challenge by establishing an enterprise relational database architecture in Oracle SQL. The system normalizes core financial entities up to Third Normal Form (3NF), enforces strict referential integrity through foreign keys with cascading delete safeguards, and mandates domain validation constraints directly at the database engine tier.</w:t>
      </w:r>
    </w:p>
    <w:p>
      <w:pPr>
        <w:pStyle w:val="Heading1"/>
      </w:pPr>
      <w:r>
        <w:t>2. Problem Definition &amp; Operational Need</w:t>
      </w:r>
    </w:p>
    <w:p>
      <w:r>
        <w:t>In traditional banking environments lacking unified relational governance, investigation workflows suffer from four major deficiencies:</w:t>
        <w:br/>
        <w:t>• Data Redundancy and Update Anomalies: Customer profiles duplicated across multiple sheets cause record drift.</w:t>
        <w:br/>
        <w:t>• Disconnected Investigation Workflows: When transactions trigger threshold warnings, manual ticketing fails to link the case directly.</w:t>
        <w:br/>
        <w:t>• Lack of Engine-Level Integrity Constraints: Negative balances or inverted transactions compromise operational trust.</w:t>
        <w:br/>
        <w:t>• Inefficient Regulatory Compliance: Compiling regulatory anti-money laundering (AML) reports requires manual joins across unstructured logs.</w:t>
      </w:r>
    </w:p>
    <w:p>
      <w:pPr>
        <w:pStyle w:val="Heading1"/>
      </w:pPr>
      <w:r>
        <w:t>3. Database Design &amp; Relational Schema</w:t>
      </w:r>
    </w:p>
    <w:p>
      <w:r>
        <w:t>The FraudLens relational model captures 6 core business entities carefully structured in Third Normal Form (3NF):</w:t>
      </w:r>
    </w:p>
    <w:p>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5760720" cy="3703320"/>
                    </a:xfrm>
                    <a:prstGeom prst="rect"/>
                  </pic:spPr>
                </pic:pic>
              </a:graphicData>
            </a:graphic>
          </wp:inline>
        </w:drawing>
      </w:r>
    </w:p>
    <w:p>
      <w:pPr>
        <w:jc w:val="center"/>
      </w:pPr>
      <w:r>
        <w:rPr>
          <w:i/>
          <w:sz w:val="16"/>
        </w:rPr>
        <w:t>Figure 1: FraudLens Relational Data Modeler Diagram (Oracle SQL Developer Standard)</w:t>
      </w:r>
    </w:p>
    <w:tbl>
      <w:tblPr>
        <w:tblW w:type="auto" w:w="0"/>
        <w:jc w:val="center"/>
        <w:tblLayout w:type="fixed"/>
        <w:tblLook w:firstColumn="1" w:firstRow="1" w:lastColumn="0" w:lastRow="0" w:noHBand="0" w:noVBand="1" w:val="04A0"/>
      </w:tblPr>
      <w:tblGrid>
        <w:gridCol w:w="1728"/>
        <w:gridCol w:w="1584"/>
        <w:gridCol w:w="2016"/>
        <w:gridCol w:w="4032"/>
      </w:tblGrid>
      <w:tr>
        <w:tc>
          <w:tcPr>
            <w:tcW w:type="dxa" w:w="2484"/>
            <w:shd w:fill="1E3A8A"/>
            <w:tcMar>
              <w:top w:w="80" w:type="dxa"/>
              <w:bottom w:w="80" w:type="dxa"/>
              <w:left w:w="100" w:type="dxa"/>
              <w:right w:w="100" w:type="dxa"/>
            </w:tcMar>
          </w:tcPr>
          <w:p>
            <w:pPr>
              <w:jc w:val="left"/>
            </w:pPr>
            <w:r>
              <w:rPr>
                <w:rFonts w:ascii="Calibri" w:hAnsi="Calibri"/>
                <w:b/>
                <w:color w:val="FFFFFF"/>
                <w:sz w:val="17"/>
              </w:rPr>
              <w:t>Table Name</w:t>
            </w:r>
          </w:p>
        </w:tc>
        <w:tc>
          <w:tcPr>
            <w:tcW w:type="dxa" w:w="2484"/>
            <w:shd w:fill="1E3A8A"/>
            <w:tcMar>
              <w:top w:w="80" w:type="dxa"/>
              <w:bottom w:w="80" w:type="dxa"/>
              <w:left w:w="100" w:type="dxa"/>
              <w:right w:w="100" w:type="dxa"/>
            </w:tcMar>
          </w:tcPr>
          <w:p>
            <w:pPr>
              <w:jc w:val="left"/>
            </w:pPr>
            <w:r>
              <w:rPr>
                <w:rFonts w:ascii="Calibri" w:hAnsi="Calibri"/>
                <w:b/>
                <w:color w:val="FFFFFF"/>
                <w:sz w:val="17"/>
              </w:rPr>
              <w:t>Primary Key</w:t>
            </w:r>
          </w:p>
        </w:tc>
        <w:tc>
          <w:tcPr>
            <w:tcW w:type="dxa" w:w="2484"/>
            <w:shd w:fill="1E3A8A"/>
            <w:tcMar>
              <w:top w:w="80" w:type="dxa"/>
              <w:bottom w:w="80" w:type="dxa"/>
              <w:left w:w="100" w:type="dxa"/>
              <w:right w:w="100" w:type="dxa"/>
            </w:tcMar>
          </w:tcPr>
          <w:p>
            <w:pPr>
              <w:jc w:val="left"/>
            </w:pPr>
            <w:r>
              <w:rPr>
                <w:rFonts w:ascii="Calibri" w:hAnsi="Calibri"/>
                <w:b/>
                <w:color w:val="FFFFFF"/>
                <w:sz w:val="17"/>
              </w:rPr>
              <w:t>Foreign Keys</w:t>
            </w:r>
          </w:p>
        </w:tc>
        <w:tc>
          <w:tcPr>
            <w:tcW w:type="dxa" w:w="2484"/>
            <w:shd w:fill="1E3A8A"/>
            <w:tcMar>
              <w:top w:w="80" w:type="dxa"/>
              <w:bottom w:w="80" w:type="dxa"/>
              <w:left w:w="100" w:type="dxa"/>
              <w:right w:w="100" w:type="dxa"/>
            </w:tcMar>
          </w:tcPr>
          <w:p>
            <w:pPr>
              <w:jc w:val="left"/>
            </w:pPr>
            <w:r>
              <w:rPr>
                <w:rFonts w:ascii="Calibri" w:hAnsi="Calibri"/>
                <w:b/>
                <w:color w:val="FFFFFF"/>
                <w:sz w:val="17"/>
              </w:rPr>
              <w:t>Key Integrity Constraints Enforced</w:t>
            </w:r>
          </w:p>
        </w:tc>
      </w:tr>
      <w:tr>
        <w:tc>
          <w:tcPr>
            <w:tcW w:type="dxa" w:w="1728"/>
            <w:shd w:fill="FFFFFF"/>
            <w:tcMar>
              <w:top w:w="60" w:type="dxa"/>
              <w:bottom w:w="60" w:type="dxa"/>
              <w:left w:w="100" w:type="dxa"/>
              <w:right w:w="100" w:type="dxa"/>
            </w:tcMar>
          </w:tcPr>
          <w:p>
            <w:pPr>
              <w:jc w:val="left"/>
            </w:pPr>
            <w:r>
              <w:rPr>
                <w:rFonts w:ascii="Calibri" w:hAnsi="Calibri"/>
                <w:color w:val="1E293B"/>
                <w:sz w:val="16"/>
              </w:rPr>
              <w:t>CUSTOMER</w:t>
            </w:r>
          </w:p>
        </w:tc>
        <w:tc>
          <w:tcPr>
            <w:tcW w:type="dxa" w:w="1584"/>
            <w:shd w:fill="FFFFFF"/>
            <w:tcMar>
              <w:top w:w="60" w:type="dxa"/>
              <w:bottom w:w="60" w:type="dxa"/>
              <w:left w:w="100" w:type="dxa"/>
              <w:right w:w="100" w:type="dxa"/>
            </w:tcMar>
          </w:tcPr>
          <w:p>
            <w:pPr>
              <w:jc w:val="left"/>
            </w:pPr>
            <w:r>
              <w:rPr>
                <w:rFonts w:ascii="Calibri" w:hAnsi="Calibri"/>
                <w:color w:val="1E293B"/>
                <w:sz w:val="16"/>
              </w:rPr>
              <w:t>customer_id</w:t>
            </w:r>
          </w:p>
        </w:tc>
        <w:tc>
          <w:tcPr>
            <w:tcW w:type="dxa" w:w="2016"/>
            <w:shd w:fill="FFFFFF"/>
            <w:tcMar>
              <w:top w:w="60" w:type="dxa"/>
              <w:bottom w:w="60" w:type="dxa"/>
              <w:left w:w="100" w:type="dxa"/>
              <w:right w:w="100" w:type="dxa"/>
            </w:tcMar>
          </w:tcPr>
          <w:p>
            <w:pPr>
              <w:jc w:val="left"/>
            </w:pPr>
            <w:r>
              <w:rPr>
                <w:rFonts w:ascii="Calibri" w:hAnsi="Calibri"/>
                <w:color w:val="1E293B"/>
                <w:sz w:val="16"/>
              </w:rPr>
              <w:t>—</w:t>
            </w:r>
          </w:p>
        </w:tc>
        <w:tc>
          <w:tcPr>
            <w:tcW w:type="dxa" w:w="4032"/>
            <w:shd w:fill="FFFFFF"/>
            <w:tcMar>
              <w:top w:w="60" w:type="dxa"/>
              <w:bottom w:w="60" w:type="dxa"/>
              <w:left w:w="100" w:type="dxa"/>
              <w:right w:w="100" w:type="dxa"/>
            </w:tcMar>
          </w:tcPr>
          <w:p>
            <w:pPr>
              <w:jc w:val="left"/>
            </w:pPr>
            <w:r>
              <w:rPr>
                <w:rFonts w:ascii="Calibri" w:hAnsi="Calibri"/>
                <w:color w:val="1E293B"/>
                <w:sz w:val="16"/>
              </w:rPr>
              <w:t>name NOT NULL, email UNIQUE, phone UNIQUE, kyc_status CHECK</w:t>
            </w:r>
          </w:p>
        </w:tc>
      </w:tr>
      <w:tr>
        <w:tc>
          <w:tcPr>
            <w:tcW w:type="dxa" w:w="1728"/>
            <w:shd w:fill="F8FAFC"/>
            <w:tcMar>
              <w:top w:w="60" w:type="dxa"/>
              <w:bottom w:w="60" w:type="dxa"/>
              <w:left w:w="100" w:type="dxa"/>
              <w:right w:w="100" w:type="dxa"/>
            </w:tcMar>
          </w:tcPr>
          <w:p>
            <w:pPr>
              <w:jc w:val="left"/>
            </w:pPr>
            <w:r>
              <w:rPr>
                <w:rFonts w:ascii="Calibri" w:hAnsi="Calibri"/>
                <w:color w:val="1E293B"/>
                <w:sz w:val="16"/>
              </w:rPr>
              <w:t>ACCOUNT</w:t>
            </w:r>
          </w:p>
        </w:tc>
        <w:tc>
          <w:tcPr>
            <w:tcW w:type="dxa" w:w="1584"/>
            <w:shd w:fill="F8FAFC"/>
            <w:tcMar>
              <w:top w:w="60" w:type="dxa"/>
              <w:bottom w:w="60" w:type="dxa"/>
              <w:left w:w="100" w:type="dxa"/>
              <w:right w:w="100" w:type="dxa"/>
            </w:tcMar>
          </w:tcPr>
          <w:p>
            <w:pPr>
              <w:jc w:val="left"/>
            </w:pPr>
            <w:r>
              <w:rPr>
                <w:rFonts w:ascii="Calibri" w:hAnsi="Calibri"/>
                <w:color w:val="1E293B"/>
                <w:sz w:val="16"/>
              </w:rPr>
              <w:t>account_id</w:t>
            </w:r>
          </w:p>
        </w:tc>
        <w:tc>
          <w:tcPr>
            <w:tcW w:type="dxa" w:w="2016"/>
            <w:shd w:fill="F8FAFC"/>
            <w:tcMar>
              <w:top w:w="60" w:type="dxa"/>
              <w:bottom w:w="60" w:type="dxa"/>
              <w:left w:w="100" w:type="dxa"/>
              <w:right w:w="100" w:type="dxa"/>
            </w:tcMar>
          </w:tcPr>
          <w:p>
            <w:pPr>
              <w:jc w:val="left"/>
            </w:pPr>
            <w:r>
              <w:rPr>
                <w:rFonts w:ascii="Calibri" w:hAnsi="Calibri"/>
                <w:color w:val="1E293B"/>
                <w:sz w:val="16"/>
              </w:rPr>
              <w:t>customer_id -&gt; CUSTOMER</w:t>
            </w:r>
          </w:p>
        </w:tc>
        <w:tc>
          <w:tcPr>
            <w:tcW w:type="dxa" w:w="4032"/>
            <w:shd w:fill="F8FAFC"/>
            <w:tcMar>
              <w:top w:w="60" w:type="dxa"/>
              <w:bottom w:w="60" w:type="dxa"/>
              <w:left w:w="100" w:type="dxa"/>
              <w:right w:w="100" w:type="dxa"/>
            </w:tcMar>
          </w:tcPr>
          <w:p>
            <w:pPr>
              <w:jc w:val="left"/>
            </w:pPr>
            <w:r>
              <w:rPr>
                <w:rFonts w:ascii="Calibri" w:hAnsi="Calibri"/>
                <w:color w:val="1E293B"/>
                <w:sz w:val="16"/>
              </w:rPr>
              <w:t>account_type IN ('SAVINGS','CURRENT'), balance &gt;= 0</w:t>
            </w:r>
          </w:p>
        </w:tc>
      </w:tr>
      <w:tr>
        <w:tc>
          <w:tcPr>
            <w:tcW w:type="dxa" w:w="1728"/>
            <w:shd w:fill="FFFFFF"/>
            <w:tcMar>
              <w:top w:w="60" w:type="dxa"/>
              <w:bottom w:w="60" w:type="dxa"/>
              <w:left w:w="100" w:type="dxa"/>
              <w:right w:w="100" w:type="dxa"/>
            </w:tcMar>
          </w:tcPr>
          <w:p>
            <w:pPr>
              <w:jc w:val="left"/>
            </w:pPr>
            <w:r>
              <w:rPr>
                <w:rFonts w:ascii="Calibri" w:hAnsi="Calibri"/>
                <w:color w:val="1E293B"/>
                <w:sz w:val="16"/>
              </w:rPr>
              <w:t>TRANSACTIONS</w:t>
            </w:r>
          </w:p>
        </w:tc>
        <w:tc>
          <w:tcPr>
            <w:tcW w:type="dxa" w:w="1584"/>
            <w:shd w:fill="FFFFFF"/>
            <w:tcMar>
              <w:top w:w="60" w:type="dxa"/>
              <w:bottom w:w="60" w:type="dxa"/>
              <w:left w:w="100" w:type="dxa"/>
              <w:right w:w="100" w:type="dxa"/>
            </w:tcMar>
          </w:tcPr>
          <w:p>
            <w:pPr>
              <w:jc w:val="left"/>
            </w:pPr>
            <w:r>
              <w:rPr>
                <w:rFonts w:ascii="Calibri" w:hAnsi="Calibri"/>
                <w:color w:val="1E293B"/>
                <w:sz w:val="16"/>
              </w:rPr>
              <w:t>transaction_id</w:t>
            </w:r>
          </w:p>
        </w:tc>
        <w:tc>
          <w:tcPr>
            <w:tcW w:type="dxa" w:w="2016"/>
            <w:shd w:fill="FFFFFF"/>
            <w:tcMar>
              <w:top w:w="60" w:type="dxa"/>
              <w:bottom w:w="60" w:type="dxa"/>
              <w:left w:w="100" w:type="dxa"/>
              <w:right w:w="100" w:type="dxa"/>
            </w:tcMar>
          </w:tcPr>
          <w:p>
            <w:pPr>
              <w:jc w:val="left"/>
            </w:pPr>
            <w:r>
              <w:rPr>
                <w:rFonts w:ascii="Calibri" w:hAnsi="Calibri"/>
                <w:color w:val="1E293B"/>
                <w:sz w:val="16"/>
              </w:rPr>
              <w:t>account_id -&gt; ACCOUNT</w:t>
            </w:r>
          </w:p>
        </w:tc>
        <w:tc>
          <w:tcPr>
            <w:tcW w:type="dxa" w:w="4032"/>
            <w:shd w:fill="FFFFFF"/>
            <w:tcMar>
              <w:top w:w="60" w:type="dxa"/>
              <w:bottom w:w="60" w:type="dxa"/>
              <w:left w:w="100" w:type="dxa"/>
              <w:right w:w="100" w:type="dxa"/>
            </w:tcMar>
          </w:tcPr>
          <w:p>
            <w:pPr>
              <w:jc w:val="left"/>
            </w:pPr>
            <w:r>
              <w:rPr>
                <w:rFonts w:ascii="Calibri" w:hAnsi="Calibri"/>
                <w:color w:val="1E293B"/>
                <w:sz w:val="16"/>
              </w:rPr>
              <w:t>amount &gt; 0, txn_type IN ('DEPOSIT','WITHDRAWAL','TRANSFER')</w:t>
            </w:r>
          </w:p>
        </w:tc>
      </w:tr>
      <w:tr>
        <w:tc>
          <w:tcPr>
            <w:tcW w:type="dxa" w:w="1728"/>
            <w:shd w:fill="F8FAFC"/>
            <w:tcMar>
              <w:top w:w="60" w:type="dxa"/>
              <w:bottom w:w="60" w:type="dxa"/>
              <w:left w:w="100" w:type="dxa"/>
              <w:right w:w="100" w:type="dxa"/>
            </w:tcMar>
          </w:tcPr>
          <w:p>
            <w:pPr>
              <w:jc w:val="left"/>
            </w:pPr>
            <w:r>
              <w:rPr>
                <w:rFonts w:ascii="Calibri" w:hAnsi="Calibri"/>
                <w:color w:val="1E293B"/>
                <w:sz w:val="16"/>
              </w:rPr>
              <w:t>FRAUD_ALERT</w:t>
            </w:r>
          </w:p>
        </w:tc>
        <w:tc>
          <w:tcPr>
            <w:tcW w:type="dxa" w:w="1584"/>
            <w:shd w:fill="F8FAFC"/>
            <w:tcMar>
              <w:top w:w="60" w:type="dxa"/>
              <w:bottom w:w="60" w:type="dxa"/>
              <w:left w:w="100" w:type="dxa"/>
              <w:right w:w="100" w:type="dxa"/>
            </w:tcMar>
          </w:tcPr>
          <w:p>
            <w:pPr>
              <w:jc w:val="left"/>
            </w:pPr>
            <w:r>
              <w:rPr>
                <w:rFonts w:ascii="Calibri" w:hAnsi="Calibri"/>
                <w:color w:val="1E293B"/>
                <w:sz w:val="16"/>
              </w:rPr>
              <w:t>alert_id</w:t>
            </w:r>
          </w:p>
        </w:tc>
        <w:tc>
          <w:tcPr>
            <w:tcW w:type="dxa" w:w="2016"/>
            <w:shd w:fill="F8FAFC"/>
            <w:tcMar>
              <w:top w:w="60" w:type="dxa"/>
              <w:bottom w:w="60" w:type="dxa"/>
              <w:left w:w="100" w:type="dxa"/>
              <w:right w:w="100" w:type="dxa"/>
            </w:tcMar>
          </w:tcPr>
          <w:p>
            <w:pPr>
              <w:jc w:val="left"/>
            </w:pPr>
            <w:r>
              <w:rPr>
                <w:rFonts w:ascii="Calibri" w:hAnsi="Calibri"/>
                <w:color w:val="1E293B"/>
                <w:sz w:val="16"/>
              </w:rPr>
              <w:t>transaction_id -&gt; TRANSACTIONS</w:t>
            </w:r>
          </w:p>
        </w:tc>
        <w:tc>
          <w:tcPr>
            <w:tcW w:type="dxa" w:w="4032"/>
            <w:shd w:fill="F8FAFC"/>
            <w:tcMar>
              <w:top w:w="60" w:type="dxa"/>
              <w:bottom w:w="60" w:type="dxa"/>
              <w:left w:w="100" w:type="dxa"/>
              <w:right w:w="100" w:type="dxa"/>
            </w:tcMar>
          </w:tcPr>
          <w:p>
            <w:pPr>
              <w:jc w:val="left"/>
            </w:pPr>
            <w:r>
              <w:rPr>
                <w:rFonts w:ascii="Calibri" w:hAnsi="Calibri"/>
                <w:color w:val="1E293B"/>
                <w:sz w:val="16"/>
              </w:rPr>
              <w:t>risk_level IN ('LOW','MEDIUM','HIGH'), alert_status DEFAULT 'OPEN'</w:t>
            </w:r>
          </w:p>
        </w:tc>
      </w:tr>
      <w:tr>
        <w:tc>
          <w:tcPr>
            <w:tcW w:type="dxa" w:w="1728"/>
            <w:shd w:fill="FFFFFF"/>
            <w:tcMar>
              <w:top w:w="60" w:type="dxa"/>
              <w:bottom w:w="60" w:type="dxa"/>
              <w:left w:w="100" w:type="dxa"/>
              <w:right w:w="100" w:type="dxa"/>
            </w:tcMar>
          </w:tcPr>
          <w:p>
            <w:pPr>
              <w:jc w:val="left"/>
            </w:pPr>
            <w:r>
              <w:rPr>
                <w:rFonts w:ascii="Calibri" w:hAnsi="Calibri"/>
                <w:color w:val="1E293B"/>
                <w:sz w:val="16"/>
              </w:rPr>
              <w:t>INVESTIGATOR</w:t>
            </w:r>
          </w:p>
        </w:tc>
        <w:tc>
          <w:tcPr>
            <w:tcW w:type="dxa" w:w="1584"/>
            <w:shd w:fill="FFFFFF"/>
            <w:tcMar>
              <w:top w:w="60" w:type="dxa"/>
              <w:bottom w:w="60" w:type="dxa"/>
              <w:left w:w="100" w:type="dxa"/>
              <w:right w:w="100" w:type="dxa"/>
            </w:tcMar>
          </w:tcPr>
          <w:p>
            <w:pPr>
              <w:jc w:val="left"/>
            </w:pPr>
            <w:r>
              <w:rPr>
                <w:rFonts w:ascii="Calibri" w:hAnsi="Calibri"/>
                <w:color w:val="1E293B"/>
                <w:sz w:val="16"/>
              </w:rPr>
              <w:t>investigator_id</w:t>
            </w:r>
          </w:p>
        </w:tc>
        <w:tc>
          <w:tcPr>
            <w:tcW w:type="dxa" w:w="2016"/>
            <w:shd w:fill="FFFFFF"/>
            <w:tcMar>
              <w:top w:w="60" w:type="dxa"/>
              <w:bottom w:w="60" w:type="dxa"/>
              <w:left w:w="100" w:type="dxa"/>
              <w:right w:w="100" w:type="dxa"/>
            </w:tcMar>
          </w:tcPr>
          <w:p>
            <w:pPr>
              <w:jc w:val="left"/>
            </w:pPr>
            <w:r>
              <w:rPr>
                <w:rFonts w:ascii="Calibri" w:hAnsi="Calibri"/>
                <w:color w:val="1E293B"/>
                <w:sz w:val="16"/>
              </w:rPr>
              <w:t>—</w:t>
            </w:r>
          </w:p>
        </w:tc>
        <w:tc>
          <w:tcPr>
            <w:tcW w:type="dxa" w:w="4032"/>
            <w:shd w:fill="FFFFFF"/>
            <w:tcMar>
              <w:top w:w="60" w:type="dxa"/>
              <w:bottom w:w="60" w:type="dxa"/>
              <w:left w:w="100" w:type="dxa"/>
              <w:right w:w="100" w:type="dxa"/>
            </w:tcMar>
          </w:tcPr>
          <w:p>
            <w:pPr>
              <w:jc w:val="left"/>
            </w:pPr>
            <w:r>
              <w:rPr>
                <w:rFonts w:ascii="Calibri" w:hAnsi="Calibri"/>
                <w:color w:val="1E293B"/>
                <w:sz w:val="16"/>
              </w:rPr>
              <w:t>name NOT NULL, email UNIQUE, department NOT NULL</w:t>
            </w:r>
          </w:p>
        </w:tc>
      </w:tr>
      <w:tr>
        <w:tc>
          <w:tcPr>
            <w:tcW w:type="dxa" w:w="1728"/>
            <w:shd w:fill="F8FAFC"/>
            <w:tcMar>
              <w:top w:w="60" w:type="dxa"/>
              <w:bottom w:w="60" w:type="dxa"/>
              <w:left w:w="100" w:type="dxa"/>
              <w:right w:w="100" w:type="dxa"/>
            </w:tcMar>
          </w:tcPr>
          <w:p>
            <w:pPr>
              <w:jc w:val="left"/>
            </w:pPr>
            <w:r>
              <w:rPr>
                <w:rFonts w:ascii="Calibri" w:hAnsi="Calibri"/>
                <w:color w:val="1E293B"/>
                <w:sz w:val="16"/>
              </w:rPr>
              <w:t>INVESTIGATION</w:t>
            </w:r>
          </w:p>
        </w:tc>
        <w:tc>
          <w:tcPr>
            <w:tcW w:type="dxa" w:w="1584"/>
            <w:shd w:fill="F8FAFC"/>
            <w:tcMar>
              <w:top w:w="60" w:type="dxa"/>
              <w:bottom w:w="60" w:type="dxa"/>
              <w:left w:w="100" w:type="dxa"/>
              <w:right w:w="100" w:type="dxa"/>
            </w:tcMar>
          </w:tcPr>
          <w:p>
            <w:pPr>
              <w:jc w:val="left"/>
            </w:pPr>
            <w:r>
              <w:rPr>
                <w:rFonts w:ascii="Calibri" w:hAnsi="Calibri"/>
                <w:color w:val="1E293B"/>
                <w:sz w:val="16"/>
              </w:rPr>
              <w:t>case_id</w:t>
            </w:r>
          </w:p>
        </w:tc>
        <w:tc>
          <w:tcPr>
            <w:tcW w:type="dxa" w:w="2016"/>
            <w:shd w:fill="F8FAFC"/>
            <w:tcMar>
              <w:top w:w="60" w:type="dxa"/>
              <w:bottom w:w="60" w:type="dxa"/>
              <w:left w:w="100" w:type="dxa"/>
              <w:right w:w="100" w:type="dxa"/>
            </w:tcMar>
          </w:tcPr>
          <w:p>
            <w:pPr>
              <w:jc w:val="left"/>
            </w:pPr>
            <w:r>
              <w:rPr>
                <w:rFonts w:ascii="Calibri" w:hAnsi="Calibri"/>
                <w:color w:val="1E293B"/>
                <w:sz w:val="16"/>
              </w:rPr>
              <w:t>alert_id, investigator_id</w:t>
            </w:r>
          </w:p>
        </w:tc>
        <w:tc>
          <w:tcPr>
            <w:tcW w:type="dxa" w:w="4032"/>
            <w:shd w:fill="F8FAFC"/>
            <w:tcMar>
              <w:top w:w="60" w:type="dxa"/>
              <w:bottom w:w="60" w:type="dxa"/>
              <w:left w:w="100" w:type="dxa"/>
              <w:right w:w="100" w:type="dxa"/>
            </w:tcMar>
          </w:tcPr>
          <w:p>
            <w:pPr>
              <w:jc w:val="left"/>
            </w:pPr>
            <w:r>
              <w:rPr>
                <w:rFonts w:ascii="Calibri" w:hAnsi="Calibri"/>
                <w:color w:val="1E293B"/>
                <w:sz w:val="16"/>
              </w:rPr>
              <w:t>case_status IN ('OPEN','UNDER REVIEW','CLOSED')</w:t>
            </w:r>
          </w:p>
        </w:tc>
      </w:tr>
    </w:tbl>
    <w:p>
      <w:pPr>
        <w:pStyle w:val="Heading1"/>
      </w:pPr>
      <w:r>
        <w:t>4. Schema Implementation (Oracle DDL &amp; Sequences)</w:t>
      </w:r>
    </w:p>
    <w:tbl>
      <w:tblPr>
        <w:tblW w:type="auto" w:w="0"/>
        <w:jc w:val="center"/>
        <w:tblLayout w:type="fixed"/>
        <w:tblLook w:firstColumn="1" w:firstRow="1" w:lastColumn="0" w:lastRow="0" w:noHBand="0" w:noVBand="1" w:val="04A0"/>
      </w:tblPr>
      <w:tblGrid>
        <w:gridCol w:w="9360"/>
      </w:tblGrid>
      <w:tr>
        <w:tc>
          <w:tcPr>
            <w:tcW w:type="dxa" w:w="9936"/>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2E8F0"/>
                <w:sz w:val="17"/>
              </w:rPr>
              <w:t>CREATE TABLE ACCOUNT (</w:t>
              <w:br/>
              <w:t xml:space="preserve">    account_id     NUMBER(10)     CONSTRAINT pk_account PRIMARY KEY,</w:t>
              <w:br/>
              <w:t xml:space="preserve">    customer_id    NUMBER(10)     NOT NULL CONSTRAINT fk_acc_customer</w:t>
              <w:br/>
              <w:t xml:space="preserve">                                  REFERENCES CUSTOMER(customer_id) ON DELETE CASCADE,</w:t>
              <w:br/>
              <w:t xml:space="preserve">    account_number VARCHAR2(20)   CONSTRAINT uq_acc_number UNIQUE NOT NULL,</w:t>
              <w:br/>
              <w:t xml:space="preserve">    account_type   VARCHAR2(20)   DEFAULT 'SAVINGS' CONSTRAINT chk_acc_type</w:t>
              <w:br/>
              <w:t xml:space="preserve">                                  CHECK (account_type IN ('SAVINGS','CURRENT','SALARY','NRI')),</w:t>
              <w:br/>
              <w:t xml:space="preserve">    balance        NUMBER(15,2)   DEFAULT 0.00 CONSTRAINT chk_acc_balance CHECK (balance &gt;= 0)</w:t>
              <w:br/>
              <w:t>);</w:t>
              <w:br/>
              <w:br/>
              <w:t>CREATE SEQUENCE seq_customer_id    START WITH 1011 INCREMENT BY 1 NOCACHE;</w:t>
              <w:br/>
              <w:t>CREATE SEQUENCE seq_transaction_id START WITH 50019 INCREMENT BY 1 NOCACHE;</w:t>
              <w:br/>
              <w:t>CREATE SEQUENCE seq_alert_id       START WITH 7008 INCREMENT BY 1 NOCACHE;</w:t>
            </w:r>
          </w:p>
        </w:tc>
      </w:tr>
    </w:tbl>
    <w:p>
      <w:pPr>
        <w:spacing w:after="80"/>
      </w:pPr>
    </w:p>
    <w:p>
      <w:r>
        <w:br w:type="page"/>
      </w:r>
    </w:p>
    <w:p>
      <w:pPr>
        <w:pStyle w:val="Heading1"/>
      </w:pPr>
      <w:r>
        <w:t>5. Review 1 SQL Queries: Oracle SQL Developer Execution</w:t>
      </w:r>
    </w:p>
    <w:p>
      <w:r>
        <w:t>5.1 Single-Row String &amp; Extraction Functions (UPPER, LOWER, LENGTH, SUBSTR)</w:t>
      </w:r>
    </w:p>
    <w:p>
      <w:r>
        <w:drawing>
          <wp:inline xmlns:a="http://schemas.openxmlformats.org/drawingml/2006/main" xmlns:pic="http://schemas.openxmlformats.org/drawingml/2006/picture">
            <wp:extent cx="5760720" cy="3246951"/>
            <wp:docPr id="2" name="Picture 2"/>
            <wp:cNvGraphicFramePr>
              <a:graphicFrameLocks noChangeAspect="1"/>
            </wp:cNvGraphicFramePr>
            <a:graphic>
              <a:graphicData uri="http://schemas.openxmlformats.org/drawingml/2006/picture">
                <pic:pic>
                  <pic:nvPicPr>
                    <pic:cNvPr id="0" name="oracle_ss_q1.png"/>
                    <pic:cNvPicPr/>
                  </pic:nvPicPr>
                  <pic:blipFill>
                    <a:blip r:embed="rId10"/>
                    <a:stretch>
                      <a:fillRect/>
                    </a:stretch>
                  </pic:blipFill>
                  <pic:spPr>
                    <a:xfrm>
                      <a:off x="0" y="0"/>
                      <a:ext cx="5760720" cy="3246951"/>
                    </a:xfrm>
                    <a:prstGeom prst="rect"/>
                  </pic:spPr>
                </pic:pic>
              </a:graphicData>
            </a:graphic>
          </wp:inline>
        </w:drawing>
      </w:r>
    </w:p>
    <w:p>
      <w:pPr>
        <w:jc w:val="center"/>
      </w:pPr>
      <w:r>
        <w:rPr>
          <w:i/>
          <w:sz w:val="16"/>
        </w:rPr>
        <w:t>Figure 2: Oracle SQL Developer — Single-Row Character Functions Execution</w:t>
      </w:r>
    </w:p>
    <w:p>
      <w:r>
        <w:t>5.2 Range Filtering with IN, BETWEEN and ORDER BY</w:t>
      </w:r>
    </w:p>
    <w:p>
      <w:r>
        <w:drawing>
          <wp:inline xmlns:a="http://schemas.openxmlformats.org/drawingml/2006/main" xmlns:pic="http://schemas.openxmlformats.org/drawingml/2006/picture">
            <wp:extent cx="5760720" cy="3246951"/>
            <wp:docPr id="3" name="Picture 3"/>
            <wp:cNvGraphicFramePr>
              <a:graphicFrameLocks noChangeAspect="1"/>
            </wp:cNvGraphicFramePr>
            <a:graphic>
              <a:graphicData uri="http://schemas.openxmlformats.org/drawingml/2006/picture">
                <pic:pic>
                  <pic:nvPicPr>
                    <pic:cNvPr id="0" name="oracle_ss_q2.png"/>
                    <pic:cNvPicPr/>
                  </pic:nvPicPr>
                  <pic:blipFill>
                    <a:blip r:embed="rId11"/>
                    <a:stretch>
                      <a:fillRect/>
                    </a:stretch>
                  </pic:blipFill>
                  <pic:spPr>
                    <a:xfrm>
                      <a:off x="0" y="0"/>
                      <a:ext cx="5760720" cy="3246951"/>
                    </a:xfrm>
                    <a:prstGeom prst="rect"/>
                  </pic:spPr>
                </pic:pic>
              </a:graphicData>
            </a:graphic>
          </wp:inline>
        </w:drawing>
      </w:r>
    </w:p>
    <w:p>
      <w:pPr>
        <w:jc w:val="center"/>
      </w:pPr>
      <w:r>
        <w:rPr>
          <w:i/>
          <w:sz w:val="16"/>
        </w:rPr>
        <w:t>Figure 3: Oracle SQL Developer — High-Value Transactions Range Query</w:t>
      </w:r>
    </w:p>
    <w:p>
      <w:r>
        <w:br w:type="page"/>
      </w:r>
    </w:p>
    <w:p>
      <w:r>
        <w:t>5.3 Group Aggregation: GROUP BY &amp; HAVING Clause</w:t>
      </w:r>
    </w:p>
    <w:p>
      <w:r>
        <w:drawing>
          <wp:inline xmlns:a="http://schemas.openxmlformats.org/drawingml/2006/main" xmlns:pic="http://schemas.openxmlformats.org/drawingml/2006/picture">
            <wp:extent cx="5760720" cy="3246951"/>
            <wp:docPr id="4" name="Picture 4"/>
            <wp:cNvGraphicFramePr>
              <a:graphicFrameLocks noChangeAspect="1"/>
            </wp:cNvGraphicFramePr>
            <a:graphic>
              <a:graphicData uri="http://schemas.openxmlformats.org/drawingml/2006/picture">
                <pic:pic>
                  <pic:nvPicPr>
                    <pic:cNvPr id="0" name="oracle_ss_q3.png"/>
                    <pic:cNvPicPr/>
                  </pic:nvPicPr>
                  <pic:blipFill>
                    <a:blip r:embed="rId12"/>
                    <a:stretch>
                      <a:fillRect/>
                    </a:stretch>
                  </pic:blipFill>
                  <pic:spPr>
                    <a:xfrm>
                      <a:off x="0" y="0"/>
                      <a:ext cx="5760720" cy="3246951"/>
                    </a:xfrm>
                    <a:prstGeom prst="rect"/>
                  </pic:spPr>
                </pic:pic>
              </a:graphicData>
            </a:graphic>
          </wp:inline>
        </w:drawing>
      </w:r>
    </w:p>
    <w:p>
      <w:pPr>
        <w:jc w:val="center"/>
      </w:pPr>
      <w:r>
        <w:rPr>
          <w:i/>
          <w:sz w:val="16"/>
        </w:rPr>
        <w:t>Figure 4: Oracle SQL Developer — Channel Aggregation Metrics</w:t>
      </w:r>
    </w:p>
    <w:p>
      <w:r>
        <w:t>5.4 Multi-Table Relational Join (Customer, Account, Transaction, Alert)</w:t>
      </w:r>
    </w:p>
    <w:p>
      <w:r>
        <w:drawing>
          <wp:inline xmlns:a="http://schemas.openxmlformats.org/drawingml/2006/main" xmlns:pic="http://schemas.openxmlformats.org/drawingml/2006/picture">
            <wp:extent cx="5760720" cy="3246951"/>
            <wp:docPr id="5" name="Picture 5"/>
            <wp:cNvGraphicFramePr>
              <a:graphicFrameLocks noChangeAspect="1"/>
            </wp:cNvGraphicFramePr>
            <a:graphic>
              <a:graphicData uri="http://schemas.openxmlformats.org/drawingml/2006/picture">
                <pic:pic>
                  <pic:nvPicPr>
                    <pic:cNvPr id="0" name="oracle_ss_q4.png"/>
                    <pic:cNvPicPr/>
                  </pic:nvPicPr>
                  <pic:blipFill>
                    <a:blip r:embed="rId13"/>
                    <a:stretch>
                      <a:fillRect/>
                    </a:stretch>
                  </pic:blipFill>
                  <pic:spPr>
                    <a:xfrm>
                      <a:off x="0" y="0"/>
                      <a:ext cx="5760720" cy="3246951"/>
                    </a:xfrm>
                    <a:prstGeom prst="rect"/>
                  </pic:spPr>
                </pic:pic>
              </a:graphicData>
            </a:graphic>
          </wp:inline>
        </w:drawing>
      </w:r>
    </w:p>
    <w:p>
      <w:pPr>
        <w:jc w:val="center"/>
      </w:pPr>
      <w:r>
        <w:rPr>
          <w:i/>
          <w:sz w:val="16"/>
        </w:rPr>
        <w:t>Figure 5: Oracle SQL Developer — Four-Table Analytical Join</w:t>
      </w:r>
    </w:p>
    <w:p>
      <w:pPr>
        <w:pStyle w:val="Heading1"/>
      </w:pPr>
      <w:r>
        <w:t>6. Testing, Constraint Verification &amp; Oracle Error Diagnostics</w:t>
      </w:r>
    </w:p>
    <w:p>
      <w:r>
        <w:drawing>
          <wp:inline xmlns:a="http://schemas.openxmlformats.org/drawingml/2006/main" xmlns:pic="http://schemas.openxmlformats.org/drawingml/2006/picture">
            <wp:extent cx="5760720" cy="2513769"/>
            <wp:docPr id="6" name="Picture 6"/>
            <wp:cNvGraphicFramePr>
              <a:graphicFrameLocks noChangeAspect="1"/>
            </wp:cNvGraphicFramePr>
            <a:graphic>
              <a:graphicData uri="http://schemas.openxmlformats.org/drawingml/2006/picture">
                <pic:pic>
                  <pic:nvPicPr>
                    <pic:cNvPr id="0" name="oracle_ss_test_err.png"/>
                    <pic:cNvPicPr/>
                  </pic:nvPicPr>
                  <pic:blipFill>
                    <a:blip r:embed="rId14"/>
                    <a:stretch>
                      <a:fillRect/>
                    </a:stretch>
                  </pic:blipFill>
                  <pic:spPr>
                    <a:xfrm>
                      <a:off x="0" y="0"/>
                      <a:ext cx="5760720" cy="2513769"/>
                    </a:xfrm>
                    <a:prstGeom prst="rect"/>
                  </pic:spPr>
                </pic:pic>
              </a:graphicData>
            </a:graphic>
          </wp:inline>
        </w:drawing>
      </w:r>
    </w:p>
    <w:p>
      <w:pPr>
        <w:jc w:val="center"/>
      </w:pPr>
      <w:r>
        <w:rPr>
          <w:i/>
          <w:sz w:val="16"/>
        </w:rPr>
        <w:t>Figure 6: Oracle SQL Developer — Engine Rejection of Illegal Negative Transaction (ORA-02290)</w:t>
      </w:r>
    </w:p>
    <w:tbl>
      <w:tblPr>
        <w:tblW w:type="auto" w:w="0"/>
        <w:jc w:val="center"/>
        <w:tblLayout w:type="fixed"/>
        <w:tblLook w:firstColumn="1" w:firstRow="1" w:lastColumn="0" w:lastRow="0" w:noHBand="0" w:noVBand="1" w:val="04A0"/>
      </w:tblPr>
      <w:tblGrid>
        <w:gridCol w:w="1440"/>
        <w:gridCol w:w="2592"/>
        <w:gridCol w:w="3312"/>
        <w:gridCol w:w="2016"/>
      </w:tblGrid>
      <w:tr>
        <w:tc>
          <w:tcPr>
            <w:tcW w:type="dxa" w:w="2484"/>
            <w:shd w:fill="1E3A8A"/>
            <w:tcMar>
              <w:top w:w="80" w:type="dxa"/>
              <w:bottom w:w="80" w:type="dxa"/>
              <w:left w:w="100" w:type="dxa"/>
              <w:right w:w="100" w:type="dxa"/>
            </w:tcMar>
          </w:tcPr>
          <w:p>
            <w:pPr>
              <w:jc w:val="left"/>
            </w:pPr>
            <w:r>
              <w:rPr>
                <w:rFonts w:ascii="Calibri" w:hAnsi="Calibri"/>
                <w:b/>
                <w:color w:val="FFFFFF"/>
                <w:sz w:val="17"/>
              </w:rPr>
              <w:t>Test Type</w:t>
            </w:r>
          </w:p>
        </w:tc>
        <w:tc>
          <w:tcPr>
            <w:tcW w:type="dxa" w:w="2484"/>
            <w:shd w:fill="1E3A8A"/>
            <w:tcMar>
              <w:top w:w="80" w:type="dxa"/>
              <w:bottom w:w="80" w:type="dxa"/>
              <w:left w:w="100" w:type="dxa"/>
              <w:right w:w="100" w:type="dxa"/>
            </w:tcMar>
          </w:tcPr>
          <w:p>
            <w:pPr>
              <w:jc w:val="left"/>
            </w:pPr>
            <w:r>
              <w:rPr>
                <w:rFonts w:ascii="Calibri" w:hAnsi="Calibri"/>
                <w:b/>
                <w:color w:val="FFFFFF"/>
                <w:sz w:val="17"/>
              </w:rPr>
              <w:t>Constraint Targeted</w:t>
            </w:r>
          </w:p>
        </w:tc>
        <w:tc>
          <w:tcPr>
            <w:tcW w:type="dxa" w:w="2484"/>
            <w:shd w:fill="1E3A8A"/>
            <w:tcMar>
              <w:top w:w="80" w:type="dxa"/>
              <w:bottom w:w="80" w:type="dxa"/>
              <w:left w:w="100" w:type="dxa"/>
              <w:right w:w="100" w:type="dxa"/>
            </w:tcMar>
          </w:tcPr>
          <w:p>
            <w:pPr>
              <w:jc w:val="left"/>
            </w:pPr>
            <w:r>
              <w:rPr>
                <w:rFonts w:ascii="Calibri" w:hAnsi="Calibri"/>
                <w:b/>
                <w:color w:val="FFFFFF"/>
                <w:sz w:val="17"/>
              </w:rPr>
              <w:t>Input Tested</w:t>
            </w:r>
          </w:p>
        </w:tc>
        <w:tc>
          <w:tcPr>
            <w:tcW w:type="dxa" w:w="2484"/>
            <w:shd w:fill="1E3A8A"/>
            <w:tcMar>
              <w:top w:w="80" w:type="dxa"/>
              <w:bottom w:w="80" w:type="dxa"/>
              <w:left w:w="100" w:type="dxa"/>
              <w:right w:w="100" w:type="dxa"/>
            </w:tcMar>
          </w:tcPr>
          <w:p>
            <w:pPr>
              <w:jc w:val="left"/>
            </w:pPr>
            <w:r>
              <w:rPr>
                <w:rFonts w:ascii="Calibri" w:hAnsi="Calibri"/>
                <w:b/>
                <w:color w:val="FFFFFF"/>
                <w:sz w:val="17"/>
              </w:rPr>
              <w:t>Observed Status</w:t>
            </w:r>
          </w:p>
        </w:tc>
      </w:tr>
      <w:tr>
        <w:tc>
          <w:tcPr>
            <w:tcW w:type="dxa" w:w="1440"/>
            <w:shd w:fill="FFFFFF"/>
            <w:tcMar>
              <w:top w:w="60" w:type="dxa"/>
              <w:bottom w:w="60" w:type="dxa"/>
              <w:left w:w="100" w:type="dxa"/>
              <w:right w:w="100" w:type="dxa"/>
            </w:tcMar>
          </w:tcPr>
          <w:p>
            <w:pPr>
              <w:jc w:val="left"/>
            </w:pPr>
            <w:r>
              <w:rPr>
                <w:rFonts w:ascii="Calibri" w:hAnsi="Calibri"/>
                <w:color w:val="1E293B"/>
                <w:sz w:val="16"/>
              </w:rPr>
              <w:t>Negative</w:t>
            </w:r>
          </w:p>
        </w:tc>
        <w:tc>
          <w:tcPr>
            <w:tcW w:type="dxa" w:w="2592"/>
            <w:shd w:fill="FFFFFF"/>
            <w:tcMar>
              <w:top w:w="60" w:type="dxa"/>
              <w:bottom w:w="60" w:type="dxa"/>
              <w:left w:w="100" w:type="dxa"/>
              <w:right w:w="100" w:type="dxa"/>
            </w:tcMar>
          </w:tcPr>
          <w:p>
            <w:pPr>
              <w:jc w:val="left"/>
            </w:pPr>
            <w:r>
              <w:rPr>
                <w:rFonts w:ascii="Calibri" w:hAnsi="Calibri"/>
                <w:color w:val="1E293B"/>
                <w:sz w:val="16"/>
              </w:rPr>
              <w:t>CHECK (amount &gt; 0)</w:t>
            </w:r>
          </w:p>
        </w:tc>
        <w:tc>
          <w:tcPr>
            <w:tcW w:type="dxa" w:w="3312"/>
            <w:shd w:fill="FFFFFF"/>
            <w:tcMar>
              <w:top w:w="60" w:type="dxa"/>
              <w:bottom w:w="60" w:type="dxa"/>
              <w:left w:w="100" w:type="dxa"/>
              <w:right w:w="100" w:type="dxa"/>
            </w:tcMar>
          </w:tcPr>
          <w:p>
            <w:pPr>
              <w:jc w:val="left"/>
            </w:pPr>
            <w:r>
              <w:rPr>
                <w:rFonts w:ascii="Calibri" w:hAnsi="Calibri"/>
                <w:color w:val="1E293B"/>
                <w:sz w:val="16"/>
              </w:rPr>
              <w:t>amount = -500.00 INR</w:t>
            </w:r>
          </w:p>
        </w:tc>
        <w:tc>
          <w:tcPr>
            <w:tcW w:type="dxa" w:w="2016"/>
            <w:shd w:fill="FFFFFF"/>
            <w:tcMar>
              <w:top w:w="60" w:type="dxa"/>
              <w:bottom w:w="60" w:type="dxa"/>
              <w:left w:w="100" w:type="dxa"/>
              <w:right w:w="100" w:type="dxa"/>
            </w:tcMar>
          </w:tcPr>
          <w:p>
            <w:pPr>
              <w:jc w:val="left"/>
            </w:pPr>
            <w:r>
              <w:rPr>
                <w:rFonts w:ascii="Calibri" w:hAnsi="Calibri"/>
                <w:color w:val="1E293B"/>
                <w:sz w:val="16"/>
              </w:rPr>
              <w:t>PASSED (ORA-02290)</w:t>
            </w:r>
          </w:p>
        </w:tc>
      </w:tr>
      <w:tr>
        <w:tc>
          <w:tcPr>
            <w:tcW w:type="dxa" w:w="1440"/>
            <w:shd w:fill="F8FAFC"/>
            <w:tcMar>
              <w:top w:w="60" w:type="dxa"/>
              <w:bottom w:w="60" w:type="dxa"/>
              <w:left w:w="100" w:type="dxa"/>
              <w:right w:w="100" w:type="dxa"/>
            </w:tcMar>
          </w:tcPr>
          <w:p>
            <w:pPr>
              <w:jc w:val="left"/>
            </w:pPr>
            <w:r>
              <w:rPr>
                <w:rFonts w:ascii="Calibri" w:hAnsi="Calibri"/>
                <w:color w:val="1E293B"/>
                <w:sz w:val="16"/>
              </w:rPr>
              <w:t>Negative</w:t>
            </w:r>
          </w:p>
        </w:tc>
        <w:tc>
          <w:tcPr>
            <w:tcW w:type="dxa" w:w="2592"/>
            <w:shd w:fill="F8FAFC"/>
            <w:tcMar>
              <w:top w:w="60" w:type="dxa"/>
              <w:bottom w:w="60" w:type="dxa"/>
              <w:left w:w="100" w:type="dxa"/>
              <w:right w:w="100" w:type="dxa"/>
            </w:tcMar>
          </w:tcPr>
          <w:p>
            <w:pPr>
              <w:jc w:val="left"/>
            </w:pPr>
            <w:r>
              <w:rPr>
                <w:rFonts w:ascii="Calibri" w:hAnsi="Calibri"/>
                <w:color w:val="1E293B"/>
                <w:sz w:val="16"/>
              </w:rPr>
              <w:t>UNIQUE (email)</w:t>
            </w:r>
          </w:p>
        </w:tc>
        <w:tc>
          <w:tcPr>
            <w:tcW w:type="dxa" w:w="3312"/>
            <w:shd w:fill="F8FAFC"/>
            <w:tcMar>
              <w:top w:w="60" w:type="dxa"/>
              <w:bottom w:w="60" w:type="dxa"/>
              <w:left w:w="100" w:type="dxa"/>
              <w:right w:w="100" w:type="dxa"/>
            </w:tcMar>
          </w:tcPr>
          <w:p>
            <w:pPr>
              <w:jc w:val="left"/>
            </w:pPr>
            <w:r>
              <w:rPr>
                <w:rFonts w:ascii="Calibri" w:hAnsi="Calibri"/>
                <w:color w:val="1E293B"/>
                <w:sz w:val="16"/>
              </w:rPr>
              <w:t>Duplicate email</w:t>
            </w:r>
          </w:p>
        </w:tc>
        <w:tc>
          <w:tcPr>
            <w:tcW w:type="dxa" w:w="2016"/>
            <w:shd w:fill="F8FAFC"/>
            <w:tcMar>
              <w:top w:w="60" w:type="dxa"/>
              <w:bottom w:w="60" w:type="dxa"/>
              <w:left w:w="100" w:type="dxa"/>
              <w:right w:w="100" w:type="dxa"/>
            </w:tcMar>
          </w:tcPr>
          <w:p>
            <w:pPr>
              <w:jc w:val="left"/>
            </w:pPr>
            <w:r>
              <w:rPr>
                <w:rFonts w:ascii="Calibri" w:hAnsi="Calibri"/>
                <w:color w:val="1E293B"/>
                <w:sz w:val="16"/>
              </w:rPr>
              <w:t>PASSED (ORA-00001)</w:t>
            </w:r>
          </w:p>
        </w:tc>
      </w:tr>
      <w:tr>
        <w:tc>
          <w:tcPr>
            <w:tcW w:type="dxa" w:w="1440"/>
            <w:shd w:fill="FFFFFF"/>
            <w:tcMar>
              <w:top w:w="60" w:type="dxa"/>
              <w:bottom w:w="60" w:type="dxa"/>
              <w:left w:w="100" w:type="dxa"/>
              <w:right w:w="100" w:type="dxa"/>
            </w:tcMar>
          </w:tcPr>
          <w:p>
            <w:pPr>
              <w:jc w:val="left"/>
            </w:pPr>
            <w:r>
              <w:rPr>
                <w:rFonts w:ascii="Calibri" w:hAnsi="Calibri"/>
                <w:color w:val="1E293B"/>
                <w:sz w:val="16"/>
              </w:rPr>
              <w:t>Negative</w:t>
            </w:r>
          </w:p>
        </w:tc>
        <w:tc>
          <w:tcPr>
            <w:tcW w:type="dxa" w:w="2592"/>
            <w:shd w:fill="FFFFFF"/>
            <w:tcMar>
              <w:top w:w="60" w:type="dxa"/>
              <w:bottom w:w="60" w:type="dxa"/>
              <w:left w:w="100" w:type="dxa"/>
              <w:right w:w="100" w:type="dxa"/>
            </w:tcMar>
          </w:tcPr>
          <w:p>
            <w:pPr>
              <w:jc w:val="left"/>
            </w:pPr>
            <w:r>
              <w:rPr>
                <w:rFonts w:ascii="Calibri" w:hAnsi="Calibri"/>
                <w:color w:val="1E293B"/>
                <w:sz w:val="16"/>
              </w:rPr>
              <w:t>FOREIGN KEY (customer_id)</w:t>
            </w:r>
          </w:p>
        </w:tc>
        <w:tc>
          <w:tcPr>
            <w:tcW w:type="dxa" w:w="3312"/>
            <w:shd w:fill="FFFFFF"/>
            <w:tcMar>
              <w:top w:w="60" w:type="dxa"/>
              <w:bottom w:w="60" w:type="dxa"/>
              <w:left w:w="100" w:type="dxa"/>
              <w:right w:w="100" w:type="dxa"/>
            </w:tcMar>
          </w:tcPr>
          <w:p>
            <w:pPr>
              <w:jc w:val="left"/>
            </w:pPr>
            <w:r>
              <w:rPr>
                <w:rFonts w:ascii="Calibri" w:hAnsi="Calibri"/>
                <w:color w:val="1E293B"/>
                <w:sz w:val="16"/>
              </w:rPr>
              <w:t>customer_id = 999999</w:t>
            </w:r>
          </w:p>
        </w:tc>
        <w:tc>
          <w:tcPr>
            <w:tcW w:type="dxa" w:w="2016"/>
            <w:shd w:fill="FFFFFF"/>
            <w:tcMar>
              <w:top w:w="60" w:type="dxa"/>
              <w:bottom w:w="60" w:type="dxa"/>
              <w:left w:w="100" w:type="dxa"/>
              <w:right w:w="100" w:type="dxa"/>
            </w:tcMar>
          </w:tcPr>
          <w:p>
            <w:pPr>
              <w:jc w:val="left"/>
            </w:pPr>
            <w:r>
              <w:rPr>
                <w:rFonts w:ascii="Calibri" w:hAnsi="Calibri"/>
                <w:color w:val="1E293B"/>
                <w:sz w:val="16"/>
              </w:rPr>
              <w:t>PASSED (ORA-02291)</w:t>
            </w:r>
          </w:p>
        </w:tc>
      </w:tr>
      <w:tr>
        <w:tc>
          <w:tcPr>
            <w:tcW w:type="dxa" w:w="1440"/>
            <w:shd w:fill="F8FAFC"/>
            <w:tcMar>
              <w:top w:w="60" w:type="dxa"/>
              <w:bottom w:w="60" w:type="dxa"/>
              <w:left w:w="100" w:type="dxa"/>
              <w:right w:w="100" w:type="dxa"/>
            </w:tcMar>
          </w:tcPr>
          <w:p>
            <w:pPr>
              <w:jc w:val="left"/>
            </w:pPr>
            <w:r>
              <w:rPr>
                <w:rFonts w:ascii="Calibri" w:hAnsi="Calibri"/>
                <w:color w:val="1E293B"/>
                <w:sz w:val="16"/>
              </w:rPr>
              <w:t>Positive</w:t>
            </w:r>
          </w:p>
        </w:tc>
        <w:tc>
          <w:tcPr>
            <w:tcW w:type="dxa" w:w="2592"/>
            <w:shd w:fill="F8FAFC"/>
            <w:tcMar>
              <w:top w:w="60" w:type="dxa"/>
              <w:bottom w:w="60" w:type="dxa"/>
              <w:left w:w="100" w:type="dxa"/>
              <w:right w:w="100" w:type="dxa"/>
            </w:tcMar>
          </w:tcPr>
          <w:p>
            <w:pPr>
              <w:jc w:val="left"/>
            </w:pPr>
            <w:r>
              <w:rPr>
                <w:rFonts w:ascii="Calibri" w:hAnsi="Calibri"/>
                <w:color w:val="1E293B"/>
                <w:sz w:val="16"/>
              </w:rPr>
              <w:t>CHECK (kyc_status)</w:t>
            </w:r>
          </w:p>
        </w:tc>
        <w:tc>
          <w:tcPr>
            <w:tcW w:type="dxa" w:w="3312"/>
            <w:shd w:fill="F8FAFC"/>
            <w:tcMar>
              <w:top w:w="60" w:type="dxa"/>
              <w:bottom w:w="60" w:type="dxa"/>
              <w:left w:w="100" w:type="dxa"/>
              <w:right w:w="100" w:type="dxa"/>
            </w:tcMar>
          </w:tcPr>
          <w:p>
            <w:pPr>
              <w:jc w:val="left"/>
            </w:pPr>
            <w:r>
              <w:rPr>
                <w:rFonts w:ascii="Calibri" w:hAnsi="Calibri"/>
                <w:color w:val="1E293B"/>
                <w:sz w:val="16"/>
              </w:rPr>
              <w:t>kyc_status = 'VERIFIED'</w:t>
            </w:r>
          </w:p>
        </w:tc>
        <w:tc>
          <w:tcPr>
            <w:tcW w:type="dxa" w:w="2016"/>
            <w:shd w:fill="F8FAFC"/>
            <w:tcMar>
              <w:top w:w="60" w:type="dxa"/>
              <w:bottom w:w="60" w:type="dxa"/>
              <w:left w:w="100" w:type="dxa"/>
              <w:right w:w="100" w:type="dxa"/>
            </w:tcMar>
          </w:tcPr>
          <w:p>
            <w:pPr>
              <w:jc w:val="left"/>
            </w:pPr>
            <w:r>
              <w:rPr>
                <w:rFonts w:ascii="Calibri" w:hAnsi="Calibri"/>
                <w:color w:val="1E293B"/>
                <w:sz w:val="16"/>
              </w:rPr>
              <w:t>PASSED (Accepted)</w:t>
            </w:r>
          </w:p>
        </w:tc>
      </w:tr>
      <w:tr>
        <w:tc>
          <w:tcPr>
            <w:tcW w:type="dxa" w:w="1440"/>
            <w:shd w:fill="FFFFFF"/>
            <w:tcMar>
              <w:top w:w="60" w:type="dxa"/>
              <w:bottom w:w="60" w:type="dxa"/>
              <w:left w:w="100" w:type="dxa"/>
              <w:right w:w="100" w:type="dxa"/>
            </w:tcMar>
          </w:tcPr>
          <w:p>
            <w:pPr>
              <w:jc w:val="left"/>
            </w:pPr>
            <w:r>
              <w:rPr>
                <w:rFonts w:ascii="Calibri" w:hAnsi="Calibri"/>
                <w:color w:val="1E293B"/>
                <w:sz w:val="16"/>
              </w:rPr>
              <w:t>Positive</w:t>
            </w:r>
          </w:p>
        </w:tc>
        <w:tc>
          <w:tcPr>
            <w:tcW w:type="dxa" w:w="2592"/>
            <w:shd w:fill="FFFFFF"/>
            <w:tcMar>
              <w:top w:w="60" w:type="dxa"/>
              <w:bottom w:w="60" w:type="dxa"/>
              <w:left w:w="100" w:type="dxa"/>
              <w:right w:w="100" w:type="dxa"/>
            </w:tcMar>
          </w:tcPr>
          <w:p>
            <w:pPr>
              <w:jc w:val="left"/>
            </w:pPr>
            <w:r>
              <w:rPr>
                <w:rFonts w:ascii="Calibri" w:hAnsi="Calibri"/>
                <w:color w:val="1E293B"/>
                <w:sz w:val="16"/>
              </w:rPr>
              <w:t>CHECK (risk_score)</w:t>
            </w:r>
          </w:p>
        </w:tc>
        <w:tc>
          <w:tcPr>
            <w:tcW w:type="dxa" w:w="3312"/>
            <w:shd w:fill="FFFFFF"/>
            <w:tcMar>
              <w:top w:w="60" w:type="dxa"/>
              <w:bottom w:w="60" w:type="dxa"/>
              <w:left w:w="100" w:type="dxa"/>
              <w:right w:w="100" w:type="dxa"/>
            </w:tcMar>
          </w:tcPr>
          <w:p>
            <w:pPr>
              <w:jc w:val="left"/>
            </w:pPr>
            <w:r>
              <w:rPr>
                <w:rFonts w:ascii="Calibri" w:hAnsi="Calibri"/>
                <w:color w:val="1E293B"/>
                <w:sz w:val="16"/>
              </w:rPr>
              <w:t>risk_score = 85 (0-100)</w:t>
            </w:r>
          </w:p>
        </w:tc>
        <w:tc>
          <w:tcPr>
            <w:tcW w:type="dxa" w:w="2016"/>
            <w:shd w:fill="FFFFFF"/>
            <w:tcMar>
              <w:top w:w="60" w:type="dxa"/>
              <w:bottom w:w="60" w:type="dxa"/>
              <w:left w:w="100" w:type="dxa"/>
              <w:right w:w="100" w:type="dxa"/>
            </w:tcMar>
          </w:tcPr>
          <w:p>
            <w:pPr>
              <w:jc w:val="left"/>
            </w:pPr>
            <w:r>
              <w:rPr>
                <w:rFonts w:ascii="Calibri" w:hAnsi="Calibri"/>
                <w:color w:val="1E293B"/>
                <w:sz w:val="16"/>
              </w:rPr>
              <w:t>PASSED (Accepted)</w:t>
            </w:r>
          </w:p>
        </w:tc>
      </w:tr>
    </w:tbl>
    <w:p>
      <w:r>
        <w:br w:type="page"/>
      </w:r>
    </w:p>
    <w:p>
      <w:pPr>
        <w:pStyle w:val="Heading1"/>
      </w:pPr>
      <w:r>
        <w:t>7. Conclusion &amp; Review 2 Implementation Roadmap</w:t>
      </w:r>
    </w:p>
    <w:p>
      <w:r>
        <w:t>Review 1 Conclusion: FraudLens successfully delivers a robust, highly normalized relational foundation that eliminates data drift and strictly enforces financial constraints. By implementing 3NF schema tables, named check constraints, and sequence-driven primary keys in Oracle SQL, the database ensures zero orphan rows and complete transactional integrity.</w:t>
        <w:br/>
        <w:br/>
        <w:t>Planned Work for Review 2:</w:t>
        <w:br/>
        <w:t>1. Advanced Subqueries: Correlated subqueries and multi-row operators (IN, &gt; ALL, &gt; ANY).</w:t>
        <w:br/>
        <w:t>2. Database Views: Analytical views including VW_HIGH_RISK_TRANSACTIONS and VW_INVESTIGATION_SUMMARY.</w:t>
        <w:br/>
        <w:t>3. Stored Procedures: Encapsulated business transactions (SP_ASSIGN_INVESTIGATOR, SP_UPDATE_INVESTIGATION_STATUS).</w:t>
        <w:br/>
        <w:t>4. Stored Functions: Custom risk scoring and account volume calculations.</w:t>
        <w:br/>
        <w:t>5. Triggers &amp; Audit Logging: Row-level triggers capturing tamper-proof audit trails on investigation status transitions.</w:t>
      </w:r>
    </w:p>
    <w:p>
      <w:r>
        <w:br w:type="page"/>
      </w:r>
    </w:p>
    <w:p>
      <w:pPr>
        <w:spacing w:before="1600"/>
      </w:pPr>
    </w:p>
    <w:p>
      <w:pPr>
        <w:jc w:val="center"/>
      </w:pPr>
      <w:r>
        <w:rPr>
          <w:rFonts w:ascii="Calibri" w:hAnsi="Calibri"/>
          <w:b/>
          <w:color w:val="0F172A"/>
          <w:sz w:val="48"/>
        </w:rPr>
        <w:t>FraudLens</w:t>
      </w:r>
    </w:p>
    <w:p>
      <w:pPr>
        <w:jc w:val="center"/>
      </w:pPr>
      <w:r>
        <w:rPr>
          <w:rFonts w:ascii="Calibri" w:hAnsi="Calibri"/>
          <w:color w:val="0284C7"/>
          <w:sz w:val="24"/>
        </w:rPr>
        <w:t>Financial Transaction &amp; Fraud Investigation Management System</w:t>
      </w:r>
    </w:p>
    <w:p>
      <w:pPr>
        <w:spacing w:before="400"/>
        <w:jc w:val="center"/>
      </w:pPr>
      <w:r>
        <w:rPr>
          <w:b/>
          <w:color w:val="1E3A8A"/>
          <w:sz w:val="22"/>
        </w:rPr>
        <w:t>Review 1 Evaluation Completed Successfully</w:t>
        <w:br/>
      </w:r>
      <w:r>
        <w:rPr>
          <w:color w:val="64748B"/>
          <w:sz w:val="19"/>
        </w:rPr>
        <w:t>Verified Academic DBMS Submission for BCSE304L at Vellore Institute of Technology (VIT), Vellore.</w:t>
      </w:r>
    </w:p>
    <w:tbl>
      <w:tblPr>
        <w:tblW w:type="auto" w:w="0"/>
        <w:jc w:val="center"/>
        <w:tblLook w:firstColumn="1" w:firstRow="1" w:lastColumn="0" w:lastRow="0" w:noHBand="0" w:noVBand="1" w:val="04A0"/>
      </w:tblPr>
      <w:tblGrid>
        <w:gridCol w:w="4464"/>
        <w:gridCol w:w="4464"/>
      </w:tblGrid>
      <w:tr>
        <w:tc>
          <w:tcPr>
            <w:tcW w:type="dxa" w:w="4968"/>
            <w:shd w:fill="F8FAFC"/>
            <w:tcMar>
              <w:top w:w="150" w:type="dxa"/>
              <w:bottom w:w="150" w:type="dxa"/>
              <w:left w:w="150" w:type="dxa"/>
              <w:right w:w="150" w:type="dxa"/>
            </w:tcMar>
          </w:tcPr>
          <w:p>
            <w:r>
              <w:rPr>
                <w:b/>
                <w:sz w:val="19"/>
              </w:rPr>
              <w:t>D Joshua Daniel</w:t>
              <w:br/>
            </w:r>
            <w:r>
              <w:t>Registration No: 24BCE0436</w:t>
              <w:br/>
              <w:t>B.Tech Computer Science &amp; Engg.</w:t>
              <w:br/>
              <w:t>VIT Vellore (SCOPE)</w:t>
            </w:r>
          </w:p>
        </w:tc>
        <w:tc>
          <w:tcPr>
            <w:tcW w:type="dxa" w:w="4968"/>
            <w:shd w:fill="F8FAFC"/>
            <w:tcMar>
              <w:top w:w="150" w:type="dxa"/>
              <w:bottom w:w="150" w:type="dxa"/>
              <w:left w:w="150" w:type="dxa"/>
              <w:right w:w="150" w:type="dxa"/>
            </w:tcMar>
          </w:tcPr>
          <w:p>
            <w:r>
              <w:rPr>
                <w:b/>
                <w:sz w:val="19"/>
              </w:rPr>
              <w:t>M Saryu</w:t>
              <w:br/>
            </w:r>
            <w:r>
              <w:t>Registration No: 24BCE2524</w:t>
              <w:br/>
              <w:t>B.Tech Computer Science &amp; Engg.</w:t>
              <w:br/>
              <w:t>VIT Vellore (SCOPE)</w:t>
            </w:r>
          </w:p>
        </w:tc>
      </w:tr>
    </w:tbl>
    <w:p>
      <w:pPr>
        <w:spacing w:before="600"/>
        <w:jc w:val="center"/>
      </w:pPr>
      <w:r>
        <w:rPr>
          <w:i/>
          <w:color w:val="64748B"/>
          <w:sz w:val="20"/>
        </w:rPr>
        <w:t>Thank You · Technical Inquiries Welcome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