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D9D9"/>
  <w:body>
    <w:p w:rsidR="00000000" w:rsidDel="00000000" w:rsidP="00000000" w:rsidRDefault="00000000" w:rsidRPr="00000000" w14:paraId="00000001">
      <w:pPr>
        <w:pStyle w:val="Heading3"/>
        <w:rPr/>
      </w:pPr>
      <w:bookmarkStart w:colFirst="0" w:colLast="0" w:name="_4y4z2pk9078w" w:id="0"/>
      <w:bookmarkEnd w:id="0"/>
      <w:r w:rsidDel="00000000" w:rsidR="00000000" w:rsidRPr="00000000">
        <w:rPr>
          <w:rtl w:val="0"/>
        </w:rPr>
        <w:t xml:space="preserve">Business Case: National Case-Exchange Marketplace for Personal Injury Firms</w:t>
      </w:r>
    </w:p>
    <w:p w:rsidR="00000000" w:rsidDel="00000000" w:rsidP="00000000" w:rsidRDefault="00000000" w:rsidRPr="00000000" w14:paraId="00000002">
      <w:pPr>
        <w:pStyle w:val="Heading4"/>
        <w:rPr/>
      </w:pPr>
      <w:bookmarkStart w:colFirst="0" w:colLast="0" w:name="_x1ehedfcmllr" w:id="1"/>
      <w:bookmarkEnd w:id="1"/>
      <w:r w:rsidDel="00000000" w:rsidR="00000000" w:rsidRPr="00000000">
        <w:rPr>
          <w:rtl w:val="0"/>
        </w:rPr>
        <w:t xml:space="preserve">1. Strategic Market Context: The Texas PI Landscape</w:t>
      </w:r>
    </w:p>
    <w:p w:rsidR="00000000" w:rsidDel="00000000" w:rsidP="00000000" w:rsidRDefault="00000000" w:rsidRPr="00000000" w14:paraId="00000003">
      <w:pPr>
        <w:rPr/>
      </w:pPr>
      <w:r w:rsidDel="00000000" w:rsidR="00000000" w:rsidRPr="00000000">
        <w:rPr>
          <w:rtl w:val="0"/>
        </w:rPr>
        <w:t xml:space="preserve">The Texas Personal Injury (PI) market is a high-stakes ecosystem with total firm revenue projected to hit  </w:t>
      </w:r>
      <w:r w:rsidDel="00000000" w:rsidR="00000000" w:rsidRPr="00000000">
        <w:rPr>
          <w:b w:val="1"/>
          <w:bCs w:val="1"/>
          <w:rtl w:val="0"/>
        </w:rPr>
        <w:t xml:space="preserve">$36 billion by 2026</w:t>
      </w:r>
      <w:r w:rsidDel="00000000" w:rsidR="00000000" w:rsidRPr="00000000">
        <w:rPr>
          <w:rtl w:val="0"/>
        </w:rPr>
        <w:t xml:space="preserve"> . As established players saturate traditional media, the cost of lead acquisition has skyrocketed, leading to diminishing returns for firms still tethered to legacy intake models. In this environment, the "rejection pile" of an ultra-high-volume firm is often larger than the entire intake of a boutique firm. Currently, these rejected-but-viable cases represent a significant pool of  </w:t>
      </w:r>
      <w:r w:rsidDel="00000000" w:rsidR="00000000" w:rsidRPr="00000000">
        <w:rPr>
          <w:b w:val="1"/>
          <w:bCs w:val="1"/>
          <w:rtl w:val="0"/>
        </w:rPr>
        <w:t xml:space="preserve">"inventory"</w:t>
      </w:r>
      <w:r w:rsidDel="00000000" w:rsidR="00000000" w:rsidRPr="00000000">
        <w:rPr>
          <w:rtl w:val="0"/>
        </w:rPr>
        <w:t xml:space="preserve">  with zero recovery value. A secondary marketplace transforms this waste into a high-margin revenue stream.</w:t>
      </w:r>
    </w:p>
    <w:p w:rsidR="00000000" w:rsidDel="00000000" w:rsidP="00000000" w:rsidRDefault="00000000" w:rsidRPr="00000000" w14:paraId="00000004">
      <w:pPr>
        <w:pStyle w:val="Heading5"/>
        <w:rPr/>
      </w:pPr>
      <w:bookmarkStart w:colFirst="0" w:colLast="0" w:name="_b0wsjx846c2q" w:id="2"/>
      <w:bookmarkEnd w:id="2"/>
      <w:r w:rsidDel="00000000" w:rsidR="00000000" w:rsidRPr="00000000">
        <w:rPr>
          <w:rtl w:val="0"/>
        </w:rPr>
        <w:t xml:space="preserve">Texas PI Power Players: Intake &amp; Advantage</w:t>
      </w:r>
    </w:p>
    <w:p w:rsidR="00000000" w:rsidDel="00000000" w:rsidP="00000000" w:rsidRDefault="00000000" w:rsidRPr="00000000" w14:paraId="00000005">
      <w:pPr>
        <w:rPr/>
      </w:pPr>
      <w:r w:rsidDel="00000000" w:rsidR="00000000" w:rsidRPr="00000000">
        <w:rPr>
          <w:rtl w:val="0"/>
        </w:rPr>
        <w:t xml:space="preserve">The following market leaders define the competitive ceiling in Texas. Their massive intake funnels create the very surplus this marketplace intends to monetize.| Firm | Strategic Advantage | Primary Lead Sources || ------ | ------ | ------ || </w:t>
      </w:r>
      <w:r w:rsidDel="00000000" w:rsidR="00000000" w:rsidRPr="00000000">
        <w:rPr>
          <w:b w:val="1"/>
          <w:bCs w:val="1"/>
          <w:rtl w:val="0"/>
        </w:rPr>
        <w:t xml:space="preserve">Arnold &amp; Itkin</w:t>
      </w:r>
      <w:r w:rsidDel="00000000" w:rsidR="00000000" w:rsidRPr="00000000">
        <w:rPr>
          <w:rtl w:val="0"/>
        </w:rPr>
        <w:t xml:space="preserve"> | Elite trial reputation; record-setting catastrophic injury verdicts. | National SEO, high-value attorney referrals, national branding. || </w:t>
      </w:r>
      <w:r w:rsidDel="00000000" w:rsidR="00000000" w:rsidRPr="00000000">
        <w:rPr>
          <w:b w:val="1"/>
          <w:bCs w:val="1"/>
          <w:rtl w:val="0"/>
        </w:rPr>
        <w:t xml:space="preserve">Angel Reyes &amp; Associates</w:t>
      </w:r>
      <w:r w:rsidDel="00000000" w:rsidR="00000000" w:rsidRPr="00000000">
        <w:rPr>
          <w:rtl w:val="0"/>
        </w:rPr>
        <w:t xml:space="preserve"> | Hispanic market dominance; massive multi-metro statewide footprint. | High-volume Spanish-language digital/LSAs, 15% conversion lift via Litify. || </w:t>
      </w:r>
      <w:r w:rsidDel="00000000" w:rsidR="00000000" w:rsidRPr="00000000">
        <w:rPr>
          <w:b w:val="1"/>
          <w:bCs w:val="1"/>
          <w:rtl w:val="0"/>
        </w:rPr>
        <w:t xml:space="preserve">Thompson Law</w:t>
      </w:r>
      <w:r w:rsidDel="00000000" w:rsidR="00000000" w:rsidRPr="00000000">
        <w:rPr>
          <w:rtl w:val="0"/>
        </w:rPr>
        <w:t xml:space="preserve"> | Ultra-high-volume consumer branding; settlement-focused efficiency. | Aggressive TV/billboard saturation;  </w:t>
      </w:r>
      <w:r w:rsidDel="00000000" w:rsidR="00000000" w:rsidRPr="00000000">
        <w:rPr>
          <w:b w:val="1"/>
          <w:bCs w:val="1"/>
          <w:rtl w:val="0"/>
        </w:rPr>
        <w:t xml:space="preserve">1-800-LION-LAW</w:t>
      </w:r>
      <w:r w:rsidDel="00000000" w:rsidR="00000000" w:rsidRPr="00000000">
        <w:rPr>
          <w:rtl w:val="0"/>
        </w:rPr>
        <w:t xml:space="preserve">  branding. || </w:t>
      </w:r>
      <w:r w:rsidDel="00000000" w:rsidR="00000000" w:rsidRPr="00000000">
        <w:rPr>
          <w:b w:val="1"/>
          <w:bCs w:val="1"/>
          <w:rtl w:val="0"/>
        </w:rPr>
        <w:t xml:space="preserve">Baron &amp; Budd</w:t>
      </w:r>
      <w:r w:rsidDel="00000000" w:rsidR="00000000" w:rsidRPr="00000000">
        <w:rPr>
          <w:rtl w:val="0"/>
        </w:rPr>
        <w:t xml:space="preserve"> | National mass-tort engine; unparalleled class-action infrastructure. | National call centers, mass-tort lead vendors, digital scale. || </w:t>
      </w:r>
      <w:r w:rsidDel="00000000" w:rsidR="00000000" w:rsidRPr="00000000">
        <w:rPr>
          <w:b w:val="1"/>
          <w:bCs w:val="1"/>
          <w:rtl w:val="0"/>
        </w:rPr>
        <w:t xml:space="preserve">Sutliff &amp; Stout</w:t>
      </w:r>
      <w:r w:rsidDel="00000000" w:rsidR="00000000" w:rsidRPr="00000000">
        <w:rPr>
          <w:rtl w:val="0"/>
        </w:rPr>
        <w:t xml:space="preserve"> | Specialized MVA/Trucking focus; multi-office Texas presence. | Heavy Local Services Ads (LSA), billboards, and SEO. |</w:t>
      </w:r>
    </w:p>
    <w:p w:rsidR="00000000" w:rsidDel="00000000" w:rsidP="00000000" w:rsidRDefault="00000000" w:rsidRPr="00000000" w14:paraId="00000006">
      <w:pPr>
        <w:pStyle w:val="Heading5"/>
        <w:rPr/>
      </w:pPr>
      <w:bookmarkStart w:colFirst="0" w:colLast="0" w:name="_7wtk69ylbrdc" w:id="3"/>
      <w:bookmarkEnd w:id="3"/>
      <w:r w:rsidDel="00000000" w:rsidR="00000000" w:rsidRPr="00000000">
        <w:rPr>
          <w:rtl w:val="0"/>
        </w:rPr>
        <w:t xml:space="preserve">From Operational Failure to Marketplace Inventory</w:t>
      </w:r>
    </w:p>
    <w:p w:rsidR="00000000" w:rsidDel="00000000" w:rsidP="00000000" w:rsidRDefault="00000000" w:rsidRPr="00000000" w14:paraId="00000007">
      <w:pPr>
        <w:rPr/>
      </w:pPr>
      <w:r w:rsidDel="00000000" w:rsidR="00000000" w:rsidRPr="00000000">
        <w:rPr>
          <w:rtl w:val="0"/>
        </w:rPr>
        <w:t xml:space="preserve">The "Top 10 Intake Complaints" identified in Texas research are not merely frustrations; they are the manufacturing source for marketplace inventory. These failures are categorized into three strategic buckets:</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Operational Friction:</w:t>
      </w:r>
      <w:r w:rsidDel="00000000" w:rsidR="00000000" w:rsidRPr="00000000">
        <w:rPr>
          <w:rtl w:val="0"/>
        </w:rPr>
        <w:t xml:space="preserve">  Missed calls and slow response times (the #1 complaint) result in leads that drop off before contact. For a high-volume firm, these "lost" leads are recoverable assets for an accepting firm with a leaner intake stack.</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Data Integrity:</w:t>
      </w:r>
      <w:r w:rsidDel="00000000" w:rsidR="00000000" w:rsidRPr="00000000">
        <w:rPr>
          <w:rtl w:val="0"/>
        </w:rPr>
        <w:t xml:space="preserve">  Manual re-typing and disjointed CRM workflows create incomplete files. Standardizing this data at the point of rejection restores the asset's value.</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Lead Loss:</w:t>
      </w:r>
      <w:r w:rsidDel="00000000" w:rsidR="00000000" w:rsidRPr="00000000">
        <w:rPr>
          <w:rtl w:val="0"/>
        </w:rPr>
        <w:t xml:space="preserve">  The lack of structured follow-up in the first 72 hours creates a pool of "abandoned" prospects.Because these top firms handle such extreme volume, their "waste" is a small firm's "wealth." Existing referral models—primarily manual "handshake" deals—fail to capture this because they lack the transparency and speed required to move cases before the lead goes cold.</w:t>
      </w:r>
    </w:p>
    <w:p w:rsidR="00000000" w:rsidDel="00000000" w:rsidP="00000000" w:rsidRDefault="00000000" w:rsidRPr="00000000" w14:paraId="0000000B">
      <w:pPr>
        <w:pStyle w:val="Heading4"/>
        <w:rPr/>
      </w:pPr>
      <w:bookmarkStart w:colFirst="0" w:colLast="0" w:name="_m3r8agsryo10" w:id="4"/>
      <w:bookmarkEnd w:id="4"/>
      <w:r w:rsidDel="00000000" w:rsidR="00000000" w:rsidRPr="00000000">
        <w:rPr>
          <w:rtl w:val="0"/>
        </w:rPr>
        <w:t xml:space="preserve">2. Competitive Analysis: Existing Marketplace Models</w:t>
      </w:r>
    </w:p>
    <w:p w:rsidR="00000000" w:rsidDel="00000000" w:rsidP="00000000" w:rsidRDefault="00000000" w:rsidRPr="00000000" w14:paraId="0000000C">
      <w:pPr>
        <w:rPr/>
      </w:pPr>
      <w:r w:rsidDel="00000000" w:rsidR="00000000" w:rsidRPr="00000000">
        <w:rPr>
          <w:rtl w:val="0"/>
        </w:rPr>
        <w:t xml:space="preserve">The evolution of attorney referrals is moving from opaque private networks to digital exchanges. However, current platforms often fail to bridge the "trust gap" regarding case quality.</w:t>
      </w:r>
    </w:p>
    <w:p w:rsidR="00000000" w:rsidDel="00000000" w:rsidP="00000000" w:rsidRDefault="00000000" w:rsidRPr="00000000" w14:paraId="0000000D">
      <w:pPr>
        <w:pStyle w:val="Heading5"/>
        <w:rPr/>
      </w:pPr>
      <w:bookmarkStart w:colFirst="0" w:colLast="0" w:name="_6f8q0owhcqbp" w:id="5"/>
      <w:bookmarkEnd w:id="5"/>
      <w:r w:rsidDel="00000000" w:rsidR="00000000" w:rsidRPr="00000000">
        <w:rPr>
          <w:rtl w:val="0"/>
        </w:rPr>
        <w:t xml:space="preserve">Marketplace Economic Analysis: "So What?"</w:t>
      </w:r>
    </w:p>
    <w:p w:rsidR="00000000" w:rsidDel="00000000" w:rsidP="00000000" w:rsidRDefault="00000000" w:rsidRPr="00000000" w14:paraId="0000000E">
      <w:pPr>
        <w:numPr>
          <w:ilvl w:val="0"/>
          <w:numId w:val="6"/>
        </w:numPr>
        <w:ind w:left="720" w:hanging="360"/>
        <w:rPr>
          <w:u w:val="none"/>
        </w:rPr>
      </w:pPr>
      <w:r w:rsidDel="00000000" w:rsidR="00000000" w:rsidRPr="00000000">
        <w:rPr>
          <w:b w:val="1"/>
          <w:bCs w:val="1"/>
          <w:rtl w:val="0"/>
        </w:rPr>
        <w:t xml:space="preserve">Attorney Share:</w:t>
      </w:r>
      <w:r w:rsidDel="00000000" w:rsidR="00000000" w:rsidRPr="00000000">
        <w:rPr>
          <w:rtl w:val="0"/>
        </w:rPr>
        <w:t xml:space="preserve">  Utilizes a pay-per-signed-client model ( $49–$ 299).  </w:t>
      </w:r>
      <w:r w:rsidDel="00000000" w:rsidR="00000000" w:rsidRPr="00000000">
        <w:rPr>
          <w:b w:val="1"/>
          <w:bCs w:val="1"/>
          <w:rtl w:val="0"/>
        </w:rPr>
        <w:t xml:space="preserve">So What?</w:t>
      </w:r>
      <w:r w:rsidDel="00000000" w:rsidR="00000000" w:rsidRPr="00000000">
        <w:rPr>
          <w:rtl w:val="0"/>
        </w:rPr>
        <w:t xml:space="preserve">  This is the ultimate low-risk entry for small firms to acquire inventory without upfront marketing risk.</w:t>
      </w:r>
    </w:p>
    <w:p w:rsidR="00000000" w:rsidDel="00000000" w:rsidP="00000000" w:rsidRDefault="00000000" w:rsidRPr="00000000" w14:paraId="0000000F">
      <w:pPr>
        <w:numPr>
          <w:ilvl w:val="0"/>
          <w:numId w:val="6"/>
        </w:numPr>
        <w:ind w:left="720" w:hanging="360"/>
        <w:rPr>
          <w:u w:val="none"/>
        </w:rPr>
      </w:pPr>
      <w:r w:rsidDel="00000000" w:rsidR="00000000" w:rsidRPr="00000000">
        <w:rPr>
          <w:b w:val="1"/>
          <w:bCs w:val="1"/>
          <w:rtl w:val="0"/>
        </w:rPr>
        <w:t xml:space="preserve">Lexchange:</w:t>
      </w:r>
      <w:r w:rsidDel="00000000" w:rsidR="00000000" w:rsidRPr="00000000">
        <w:rPr>
          <w:rtl w:val="0"/>
        </w:rPr>
        <w:t xml:space="preserve">  Employs a SaaS subscription model with no percentage cuts.  </w:t>
      </w:r>
      <w:r w:rsidDel="00000000" w:rsidR="00000000" w:rsidRPr="00000000">
        <w:rPr>
          <w:b w:val="1"/>
          <w:bCs w:val="1"/>
          <w:rtl w:val="0"/>
        </w:rPr>
        <w:t xml:space="preserve">So What?</w:t>
      </w:r>
      <w:r w:rsidDel="00000000" w:rsidR="00000000" w:rsidRPr="00000000">
        <w:rPr>
          <w:rtl w:val="0"/>
        </w:rPr>
        <w:t xml:space="preserve">  This protects margins for high-volume "traders" who move hundreds of cases monthly and want to avoid transaction-based friction.</w:t>
      </w:r>
    </w:p>
    <w:p w:rsidR="00000000" w:rsidDel="00000000" w:rsidP="00000000" w:rsidRDefault="00000000" w:rsidRPr="00000000" w14:paraId="00000010">
      <w:pPr>
        <w:numPr>
          <w:ilvl w:val="0"/>
          <w:numId w:val="6"/>
        </w:numPr>
        <w:ind w:left="720" w:hanging="360"/>
        <w:rPr>
          <w:u w:val="none"/>
        </w:rPr>
      </w:pPr>
      <w:r w:rsidDel="00000000" w:rsidR="00000000" w:rsidRPr="00000000">
        <w:rPr>
          <w:b w:val="1"/>
          <w:bCs w:val="1"/>
          <w:rtl w:val="0"/>
        </w:rPr>
        <w:t xml:space="preserve">Case Xchange:</w:t>
      </w:r>
      <w:r w:rsidDel="00000000" w:rsidR="00000000" w:rsidRPr="00000000">
        <w:rPr>
          <w:rtl w:val="0"/>
        </w:rPr>
        <w:t xml:space="preserve">  Focuses on referral management with native integrations.  </w:t>
      </w:r>
      <w:r w:rsidDel="00000000" w:rsidR="00000000" w:rsidRPr="00000000">
        <w:rPr>
          <w:b w:val="1"/>
          <w:bCs w:val="1"/>
          <w:rtl w:val="0"/>
        </w:rPr>
        <w:t xml:space="preserve">So What?</w:t>
      </w:r>
      <w:r w:rsidDel="00000000" w:rsidR="00000000" w:rsidRPr="00000000">
        <w:rPr>
          <w:rtl w:val="0"/>
        </w:rPr>
        <w:t xml:space="preserve">  It provides the tracking infrastructure that high-end firms require for accountability.</w:t>
      </w:r>
    </w:p>
    <w:p w:rsidR="00000000" w:rsidDel="00000000" w:rsidP="00000000" w:rsidRDefault="00000000" w:rsidRPr="00000000" w14:paraId="00000011">
      <w:pPr>
        <w:pStyle w:val="Heading5"/>
        <w:rPr/>
      </w:pPr>
      <w:bookmarkStart w:colFirst="0" w:colLast="0" w:name="_3wlx9fcykc6" w:id="6"/>
      <w:bookmarkEnd w:id="6"/>
      <w:r w:rsidDel="00000000" w:rsidR="00000000" w:rsidRPr="00000000">
        <w:rPr>
          <w:rtl w:val="0"/>
        </w:rPr>
        <w:t xml:space="preserve">The "Walled Garden" of Litify Referral Network (LRN)</w:t>
      </w:r>
    </w:p>
    <w:p w:rsidR="00000000" w:rsidDel="00000000" w:rsidP="00000000" w:rsidRDefault="00000000" w:rsidRPr="00000000" w14:paraId="00000012">
      <w:pPr>
        <w:rPr/>
      </w:pPr>
      <w:r w:rsidDel="00000000" w:rsidR="00000000" w:rsidRPr="00000000">
        <w:rPr>
          <w:rtl w:val="0"/>
        </w:rPr>
        <w:t xml:space="preserve">The LRN processes over  </w:t>
      </w:r>
      <w:r w:rsidDel="00000000" w:rsidR="00000000" w:rsidRPr="00000000">
        <w:rPr>
          <w:b w:val="1"/>
          <w:bCs w:val="1"/>
          <w:rtl w:val="0"/>
        </w:rPr>
        <w:t xml:space="preserve">1,000 daily referrals</w:t>
      </w:r>
      <w:r w:rsidDel="00000000" w:rsidR="00000000" w:rsidRPr="00000000">
        <w:rPr>
          <w:rtl w:val="0"/>
        </w:rPr>
        <w:t xml:space="preserve"> , yet it remains a "platform feature" rather than an open marketplace. If a firm is not on Litify, they are effectively invisible to this massive transaction volume. This "walled garden" creates a massive opportunity for a standalone bridge that allows the 1,000+ daily Litify referrals to flow to the thousands of non-Litify firms (e.g., Clio or Filevine users) who are hungry for inventory.</w:t>
      </w:r>
    </w:p>
    <w:p w:rsidR="00000000" w:rsidDel="00000000" w:rsidP="00000000" w:rsidRDefault="00000000" w:rsidRPr="00000000" w14:paraId="00000013">
      <w:pPr>
        <w:pStyle w:val="Heading4"/>
        <w:rPr/>
      </w:pPr>
      <w:bookmarkStart w:colFirst="0" w:colLast="0" w:name="_pzoab6kt906i" w:id="7"/>
      <w:bookmarkEnd w:id="7"/>
      <w:r w:rsidDel="00000000" w:rsidR="00000000" w:rsidRPr="00000000">
        <w:rPr>
          <w:rtl w:val="0"/>
        </w:rPr>
        <w:t xml:space="preserve">3. Defining the Taxonomy: Standardizing the 'Case Drop'</w:t>
      </w:r>
    </w:p>
    <w:p w:rsidR="00000000" w:rsidDel="00000000" w:rsidP="00000000" w:rsidRDefault="00000000" w:rsidRPr="00000000" w14:paraId="00000014">
      <w:pPr>
        <w:rPr/>
      </w:pPr>
      <w:r w:rsidDel="00000000" w:rsidR="00000000" w:rsidRPr="00000000">
        <w:rPr>
          <w:rtl w:val="0"/>
        </w:rPr>
        <w:t xml:space="preserve">The primary barrier to high-speed case trading is the lack of standardized "rejection reasons." Clear categorization acts as a trust-building mechanism, allowing receivers to triage opportunities in seconds.</w:t>
      </w:r>
    </w:p>
    <w:p w:rsidR="00000000" w:rsidDel="00000000" w:rsidP="00000000" w:rsidRDefault="00000000" w:rsidRPr="00000000" w14:paraId="00000015">
      <w:pPr>
        <w:pStyle w:val="Heading5"/>
        <w:rPr/>
      </w:pPr>
      <w:bookmarkStart w:colFirst="0" w:colLast="0" w:name="_an9bymgel12l" w:id="8"/>
      <w:bookmarkEnd w:id="8"/>
      <w:r w:rsidDel="00000000" w:rsidR="00000000" w:rsidRPr="00000000">
        <w:rPr>
          <w:rtl w:val="0"/>
        </w:rPr>
        <w:t xml:space="preserve">The 'Staffing' vs. 'Compliance' Taxonomy</w:t>
      </w:r>
    </w:p>
    <w:p w:rsidR="00000000" w:rsidDel="00000000" w:rsidP="00000000" w:rsidRDefault="00000000" w:rsidRPr="00000000" w14:paraId="00000016">
      <w:pPr>
        <w:rPr/>
      </w:pPr>
      <w:r w:rsidDel="00000000" w:rsidR="00000000" w:rsidRPr="00000000">
        <w:rPr>
          <w:rtl w:val="0"/>
        </w:rPr>
        <w:t xml:space="preserve">Staffing/Capacity Drops,Treatment/Compliance Drops</w:t>
      </w:r>
    </w:p>
    <w:p w:rsidR="00000000" w:rsidDel="00000000" w:rsidP="00000000" w:rsidRDefault="00000000" w:rsidRPr="00000000" w14:paraId="00000017">
      <w:pPr>
        <w:rPr/>
      </w:pPr>
      <w:r w:rsidDel="00000000" w:rsidR="00000000" w:rsidRPr="00000000">
        <w:rPr>
          <w:rtl w:val="0"/>
        </w:rPr>
        <w:t xml:space="preserve">Definition:  High-quality cases with clear liability; the referring firm is simply over-leveraged or at capacity.,"Definition:  Cases where the client has become unresponsive or has abandoned medical milestones (e.g., missed appointments)."</w:t>
      </w:r>
    </w:p>
    <w:p w:rsidR="00000000" w:rsidDel="00000000" w:rsidP="00000000" w:rsidRDefault="00000000" w:rsidRPr="00000000" w14:paraId="00000018">
      <w:pPr>
        <w:rPr/>
      </w:pPr>
      <w:r w:rsidDel="00000000" w:rsidR="00000000" w:rsidRPr="00000000">
        <w:rPr>
          <w:rtl w:val="0"/>
        </w:rPr>
        <w:t xml:space="preserve">"Receiver Benefit:  Immediate acquisition of a ""clean"" file with high settlement potential.",Receiver Benefit:  Lower acquisition cost for firms with existing medical provider networks and high-touch intake teams who can re-engage the client.</w:t>
      </w:r>
    </w:p>
    <w:p w:rsidR="00000000" w:rsidDel="00000000" w:rsidP="00000000" w:rsidRDefault="00000000" w:rsidRPr="00000000" w14:paraId="00000019">
      <w:pPr>
        <w:pStyle w:val="Heading5"/>
        <w:rPr/>
      </w:pPr>
      <w:bookmarkStart w:colFirst="0" w:colLast="0" w:name="_3rscwr33besm" w:id="9"/>
      <w:bookmarkEnd w:id="9"/>
      <w:r w:rsidDel="00000000" w:rsidR="00000000" w:rsidRPr="00000000">
        <w:rPr>
          <w:rtl w:val="0"/>
        </w:rPr>
        <w:t xml:space="preserve">High-Speed Triage Categories</w:t>
      </w:r>
    </w:p>
    <w:p w:rsidR="00000000" w:rsidDel="00000000" w:rsidP="00000000" w:rsidRDefault="00000000" w:rsidRPr="00000000" w14:paraId="0000001A">
      <w:pPr>
        <w:rPr/>
      </w:pPr>
      <w:r w:rsidDel="00000000" w:rsidR="00000000" w:rsidRPr="00000000">
        <w:rPr>
          <w:rtl w:val="0"/>
        </w:rPr>
        <w:t xml:space="preserve">To facilitate "Tinder-style" rapid decision-making, cases are tagged with searchable metadata:</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Venue Mismatch:</w:t>
      </w:r>
      <w:r w:rsidDel="00000000" w:rsidR="00000000" w:rsidRPr="00000000">
        <w:rPr>
          <w:rtl w:val="0"/>
        </w:rPr>
        <w:t xml:space="preserve">  Legally sound; outside firm’s geographic appetite.</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Liability Weakness:</w:t>
      </w:r>
      <w:r w:rsidDel="00000000" w:rsidR="00000000" w:rsidRPr="00000000">
        <w:rPr>
          <w:rtl w:val="0"/>
        </w:rPr>
        <w:t xml:space="preserve">  Comparative negligence or contested fault.</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Coverage/Policy Limit Issues:</w:t>
      </w:r>
      <w:r w:rsidDel="00000000" w:rsidR="00000000" w:rsidRPr="00000000">
        <w:rPr>
          <w:rtl w:val="0"/>
        </w:rPr>
        <w:t xml:space="preserve">  Damages exceed limits or uninsured motorist complications.These taxonomy tags, such as  </w:t>
      </w:r>
      <w:r w:rsidDel="00000000" w:rsidR="00000000" w:rsidRPr="00000000">
        <w:rPr>
          <w:b w:val="1"/>
          <w:bCs w:val="1"/>
          <w:rtl w:val="0"/>
        </w:rPr>
        <w:t xml:space="preserve">"MRI Completed"</w:t>
      </w:r>
      <w:r w:rsidDel="00000000" w:rsidR="00000000" w:rsidRPr="00000000">
        <w:rPr>
          <w:rtl w:val="0"/>
        </w:rPr>
        <w:t xml:space="preserve">  or  </w:t>
      </w:r>
      <w:r w:rsidDel="00000000" w:rsidR="00000000" w:rsidRPr="00000000">
        <w:rPr>
          <w:b w:val="1"/>
          <w:bCs w:val="1"/>
          <w:rtl w:val="0"/>
        </w:rPr>
        <w:t xml:space="preserve">"Police Report Obtained,"</w:t>
      </w:r>
      <w:r w:rsidDel="00000000" w:rsidR="00000000" w:rsidRPr="00000000">
        <w:rPr>
          <w:rtl w:val="0"/>
        </w:rPr>
        <w:t xml:space="preserve">  serve as the essential metadata that populates the  </w:t>
      </w:r>
      <w:r w:rsidDel="00000000" w:rsidR="00000000" w:rsidRPr="00000000">
        <w:rPr>
          <w:b w:val="1"/>
          <w:bCs w:val="1"/>
          <w:rtl w:val="0"/>
        </w:rPr>
        <w:t xml:space="preserve">Visual Case Card</w:t>
      </w:r>
      <w:r w:rsidDel="00000000" w:rsidR="00000000" w:rsidRPr="00000000">
        <w:rPr>
          <w:rtl w:val="0"/>
        </w:rPr>
        <w:t xml:space="preserve">  in the following section.</w:t>
      </w:r>
    </w:p>
    <w:p w:rsidR="00000000" w:rsidDel="00000000" w:rsidP="00000000" w:rsidRDefault="00000000" w:rsidRPr="00000000" w14:paraId="0000001E">
      <w:pPr>
        <w:pStyle w:val="Heading4"/>
        <w:rPr/>
      </w:pPr>
      <w:bookmarkStart w:colFirst="0" w:colLast="0" w:name="_q0r8hi9ggrv" w:id="10"/>
      <w:bookmarkEnd w:id="10"/>
      <w:r w:rsidDel="00000000" w:rsidR="00000000" w:rsidRPr="00000000">
        <w:rPr>
          <w:rtl w:val="0"/>
        </w:rPr>
        <w:t xml:space="preserve">4. The 'Litify-Native' Integration Strategy</w:t>
      </w:r>
    </w:p>
    <w:p w:rsidR="00000000" w:rsidDel="00000000" w:rsidP="00000000" w:rsidRDefault="00000000" w:rsidRPr="00000000" w14:paraId="0000001F">
      <w:pPr>
        <w:rPr/>
      </w:pPr>
      <w:r w:rsidDel="00000000" w:rsidR="00000000" w:rsidRPr="00000000">
        <w:rPr>
          <w:rtl w:val="0"/>
        </w:rPr>
        <w:t xml:space="preserve">Building a "Litify-Native" ecosystem is the key to dominating the Texas market, where high-end firms rely on Litify for enterprise-grade reporting and conversion.</w:t>
      </w:r>
    </w:p>
    <w:p w:rsidR="00000000" w:rsidDel="00000000" w:rsidP="00000000" w:rsidRDefault="00000000" w:rsidRPr="00000000" w14:paraId="00000020">
      <w:pPr>
        <w:pStyle w:val="Heading5"/>
        <w:rPr/>
      </w:pPr>
      <w:bookmarkStart w:colFirst="0" w:colLast="0" w:name="_c89nt4w3wvuj" w:id="11"/>
      <w:bookmarkEnd w:id="11"/>
      <w:r w:rsidDel="00000000" w:rsidR="00000000" w:rsidRPr="00000000">
        <w:rPr>
          <w:rtl w:val="0"/>
        </w:rPr>
        <w:t xml:space="preserve">Standardized Data Model (API-Driven)</w:t>
      </w:r>
    </w:p>
    <w:p w:rsidR="00000000" w:rsidDel="00000000" w:rsidP="00000000" w:rsidRDefault="00000000" w:rsidRPr="00000000" w14:paraId="00000021">
      <w:pPr>
        <w:rPr/>
      </w:pPr>
      <w:r w:rsidDel="00000000" w:rsidR="00000000" w:rsidRPr="00000000">
        <w:rPr>
          <w:rtl w:val="0"/>
        </w:rPr>
        <w:t xml:space="preserve">The marketplace extracts core fields directly from the Litify/Salesforce API:</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bCs w:val="1"/>
          <w:rtl w:val="0"/>
        </w:rPr>
        <w:t xml:space="preserve">Liability &amp; Coverage:</w:t>
      </w:r>
      <w:r w:rsidDel="00000000" w:rsidR="00000000" w:rsidRPr="00000000">
        <w:rPr>
          <w:rtl w:val="0"/>
        </w:rPr>
        <w:t xml:space="preserve">  Accident type, fault assessment, and known insurance policy limits.</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Damages &amp; Treatment:</w:t>
      </w:r>
      <w:r w:rsidDel="00000000" w:rsidR="00000000" w:rsidRPr="00000000">
        <w:rPr>
          <w:rtl w:val="0"/>
        </w:rPr>
        <w:t xml:space="preserve">  Injury type (TBI, soft tissue),  </w:t>
      </w:r>
      <w:r w:rsidDel="00000000" w:rsidR="00000000" w:rsidRPr="00000000">
        <w:rPr>
          <w:b w:val="1"/>
          <w:bCs w:val="1"/>
          <w:rtl w:val="0"/>
        </w:rPr>
        <w:t xml:space="preserve">Documented medical bills to date</w:t>
      </w:r>
      <w:r w:rsidDel="00000000" w:rsidR="00000000" w:rsidRPr="00000000">
        <w:rPr>
          <w:rtl w:val="0"/>
        </w:rPr>
        <w:t xml:space="preserve"> , and  </w:t>
      </w:r>
      <w:r w:rsidDel="00000000" w:rsidR="00000000" w:rsidRPr="00000000">
        <w:rPr>
          <w:b w:val="1"/>
          <w:bCs w:val="1"/>
          <w:rtl w:val="0"/>
        </w:rPr>
        <w:t xml:space="preserve">Anticipated future treatment</w:t>
      </w:r>
      <w:r w:rsidDel="00000000" w:rsidR="00000000" w:rsidRPr="00000000">
        <w:rPr>
          <w:rtl w:val="0"/>
        </w:rPr>
        <w:t xml:space="preserve"> .</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bCs w:val="1"/>
          <w:rtl w:val="0"/>
        </w:rPr>
        <w:t xml:space="preserve">Documentation Status:</w:t>
      </w:r>
      <w:r w:rsidDel="00000000" w:rsidR="00000000" w:rsidRPr="00000000">
        <w:rPr>
          <w:rtl w:val="0"/>
        </w:rPr>
        <w:t xml:space="preserve">  Checkboxes for Police Report, Medical Records, and Photos.</w:t>
      </w:r>
    </w:p>
    <w:p w:rsidR="00000000" w:rsidDel="00000000" w:rsidP="00000000" w:rsidRDefault="00000000" w:rsidRPr="00000000" w14:paraId="00000025">
      <w:pPr>
        <w:pStyle w:val="Heading5"/>
        <w:rPr/>
      </w:pPr>
      <w:bookmarkStart w:colFirst="0" w:colLast="0" w:name="_oiulxcn8h0oi" w:id="12"/>
      <w:bookmarkEnd w:id="12"/>
      <w:r w:rsidDel="00000000" w:rsidR="00000000" w:rsidRPr="00000000">
        <w:rPr>
          <w:rtl w:val="0"/>
        </w:rPr>
        <w:t xml:space="preserve">The 'Visual Case Card' (Quick-View UI)</w:t>
      </w:r>
    </w:p>
    <w:p w:rsidR="00000000" w:rsidDel="00000000" w:rsidP="00000000" w:rsidRDefault="00000000" w:rsidRPr="00000000" w14:paraId="00000026">
      <w:pPr>
        <w:rPr/>
      </w:pPr>
      <w:r w:rsidDel="00000000" w:rsidR="00000000" w:rsidRPr="00000000">
        <w:rPr>
          <w:rtl w:val="0"/>
        </w:rPr>
        <w:t xml:space="preserve">The accepting firm triages cases via a standardized, high-density card:| </w:t>
      </w:r>
      <w:r w:rsidDel="00000000" w:rsidR="00000000" w:rsidRPr="00000000">
        <w:rPr>
          <w:b w:val="1"/>
          <w:bCs w:val="1"/>
          <w:rtl w:val="0"/>
        </w:rPr>
        <w:t xml:space="preserve">MVA: Trucking vs. Auto</w:t>
      </w:r>
      <w:r w:rsidDel="00000000" w:rsidR="00000000" w:rsidRPr="00000000">
        <w:rPr>
          <w:rtl w:val="0"/>
        </w:rPr>
        <w:t xml:space="preserve"> | </w:t>
      </w:r>
      <w:r w:rsidDel="00000000" w:rsidR="00000000" w:rsidRPr="00000000">
        <w:rPr>
          <w:b w:val="1"/>
          <w:bCs w:val="1"/>
          <w:rtl w:val="0"/>
        </w:rPr>
        <w:t xml:space="preserve">Status: Ready for Transfer</w:t>
      </w:r>
      <w:r w:rsidDel="00000000" w:rsidR="00000000" w:rsidRPr="00000000">
        <w:rPr>
          <w:rtl w:val="0"/>
        </w:rPr>
        <w:t xml:space="preserve"> || ------ | ------ || </w:t>
      </w:r>
      <w:r w:rsidDel="00000000" w:rsidR="00000000" w:rsidRPr="00000000">
        <w:rPr>
          <w:b w:val="1"/>
          <w:bCs w:val="1"/>
          <w:rtl w:val="0"/>
        </w:rPr>
        <w:t xml:space="preserve">Liability:</w:t>
      </w:r>
      <w:r w:rsidDel="00000000" w:rsidR="00000000" w:rsidRPr="00000000">
        <w:rPr>
          <w:rtl w:val="0"/>
        </w:rPr>
        <w:t xml:space="preserve">  Clear (Police Report Attached) | </w:t>
      </w:r>
      <w:r w:rsidDel="00000000" w:rsidR="00000000" w:rsidRPr="00000000">
        <w:rPr>
          <w:b w:val="1"/>
          <w:bCs w:val="1"/>
          <w:rtl w:val="0"/>
        </w:rPr>
        <w:t xml:space="preserve">MRI Status:</w:t>
      </w:r>
      <w:r w:rsidDel="00000000" w:rsidR="00000000" w:rsidRPr="00000000">
        <w:rPr>
          <w:rtl w:val="0"/>
        </w:rPr>
        <w:t xml:space="preserve">  Completed (L4/L5 Disc Herniation) || </w:t>
      </w:r>
      <w:r w:rsidDel="00000000" w:rsidR="00000000" w:rsidRPr="00000000">
        <w:rPr>
          <w:b w:val="1"/>
          <w:bCs w:val="1"/>
          <w:rtl w:val="0"/>
        </w:rPr>
        <w:t xml:space="preserve">Med Bills to Date:</w:t>
      </w:r>
      <w:r w:rsidDel="00000000" w:rsidR="00000000" w:rsidRPr="00000000">
        <w:rPr>
          <w:rtl w:val="0"/>
        </w:rPr>
        <w:t xml:space="preserve">  $14,200 | </w:t>
      </w:r>
      <w:r w:rsidDel="00000000" w:rsidR="00000000" w:rsidRPr="00000000">
        <w:rPr>
          <w:b w:val="1"/>
          <w:bCs w:val="1"/>
          <w:rtl w:val="0"/>
        </w:rPr>
        <w:t xml:space="preserve">Anticipated Treatment:</w:t>
      </w:r>
      <w:r w:rsidDel="00000000" w:rsidR="00000000" w:rsidRPr="00000000">
        <w:rPr>
          <w:rtl w:val="0"/>
        </w:rPr>
        <w:t xml:space="preserve">  Physical Therapy / Injections || </w:t>
      </w:r>
      <w:r w:rsidDel="00000000" w:rsidR="00000000" w:rsidRPr="00000000">
        <w:rPr>
          <w:b w:val="1"/>
          <w:bCs w:val="1"/>
          <w:rtl w:val="0"/>
        </w:rPr>
        <w:t xml:space="preserve">Policy Limits:</w:t>
      </w:r>
      <w:r w:rsidDel="00000000" w:rsidR="00000000" w:rsidRPr="00000000">
        <w:rPr>
          <w:rtl w:val="0"/>
        </w:rPr>
        <w:t xml:space="preserve">  $250k / $500k | </w:t>
      </w:r>
      <w:r w:rsidDel="00000000" w:rsidR="00000000" w:rsidRPr="00000000">
        <w:rPr>
          <w:b w:val="1"/>
          <w:bCs w:val="1"/>
          <w:rtl w:val="0"/>
        </w:rPr>
        <w:t xml:space="preserve">Last Client Contact:</w:t>
      </w:r>
      <w:r w:rsidDel="00000000" w:rsidR="00000000" w:rsidRPr="00000000">
        <w:rPr>
          <w:rtl w:val="0"/>
        </w:rPr>
        <w:t xml:space="preserve">  &lt; 24 Hours Ago || </w:t>
      </w:r>
      <w:r w:rsidDel="00000000" w:rsidR="00000000" w:rsidRPr="00000000">
        <w:rPr>
          <w:b w:val="1"/>
          <w:bCs w:val="1"/>
          <w:rtl w:val="0"/>
        </w:rPr>
        <w:t xml:space="preserve">Reason for Drop:</w:t>
      </w:r>
      <w:r w:rsidDel="00000000" w:rsidR="00000000" w:rsidRPr="00000000">
        <w:rPr>
          <w:rtl w:val="0"/>
        </w:rPr>
        <w:t xml:space="preserve">   </w:t>
      </w:r>
      <w:r w:rsidDel="00000000" w:rsidR="00000000" w:rsidRPr="00000000">
        <w:rPr>
          <w:b w:val="1"/>
          <w:bCs w:val="1"/>
          <w:rtl w:val="0"/>
        </w:rPr>
        <w:t xml:space="preserve">Staffing Capacity</w:t>
      </w:r>
      <w:r w:rsidDel="00000000" w:rsidR="00000000" w:rsidRPr="00000000">
        <w:rPr>
          <w:rtl w:val="0"/>
        </w:rPr>
        <w:t xml:space="preserve"> | </w:t>
      </w:r>
      <w:r w:rsidDel="00000000" w:rsidR="00000000" w:rsidRPr="00000000">
        <w:rPr>
          <w:b w:val="1"/>
          <w:bCs w:val="1"/>
          <w:rtl w:val="0"/>
        </w:rPr>
        <w:t xml:space="preserve">Referral Fee:</w:t>
      </w:r>
      <w:r w:rsidDel="00000000" w:rsidR="00000000" w:rsidRPr="00000000">
        <w:rPr>
          <w:rtl w:val="0"/>
        </w:rPr>
        <w:t xml:space="preserve">  33.3% |</w:t>
      </w:r>
    </w:p>
    <w:p w:rsidR="00000000" w:rsidDel="00000000" w:rsidP="00000000" w:rsidRDefault="00000000" w:rsidRPr="00000000" w14:paraId="00000027">
      <w:pPr>
        <w:rPr/>
      </w:pPr>
      <w:r w:rsidDel="00000000" w:rsidR="00000000" w:rsidRPr="00000000">
        <w:rPr>
          <w:rtl w:val="0"/>
        </w:rPr>
        <w:t xml:space="preserve">This native integration eliminates manual data entry—the #2 complaint of Texas firms—and creates a "single source of truth" for the case's value.</w:t>
      </w:r>
    </w:p>
    <w:p w:rsidR="00000000" w:rsidDel="00000000" w:rsidP="00000000" w:rsidRDefault="00000000" w:rsidRPr="00000000" w14:paraId="00000028">
      <w:pPr>
        <w:pStyle w:val="Heading4"/>
        <w:rPr/>
      </w:pPr>
      <w:bookmarkStart w:colFirst="0" w:colLast="0" w:name="_oy88rmj9bmbk" w:id="13"/>
      <w:bookmarkEnd w:id="13"/>
      <w:r w:rsidDel="00000000" w:rsidR="00000000" w:rsidRPr="00000000">
        <w:rPr>
          <w:rtl w:val="0"/>
        </w:rPr>
        <w:t xml:space="preserve">5. Economic Architecture: Monetization Models</w:t>
      </w:r>
    </w:p>
    <w:p w:rsidR="00000000" w:rsidDel="00000000" w:rsidP="00000000" w:rsidRDefault="00000000" w:rsidRPr="00000000" w14:paraId="00000029">
      <w:pPr>
        <w:rPr/>
      </w:pPr>
      <w:r w:rsidDel="00000000" w:rsidR="00000000" w:rsidRPr="00000000">
        <w:rPr>
          <w:rtl w:val="0"/>
        </w:rPr>
        <w:t xml:space="preserve">The marketplace must balance low friction for "senders" with sustainable revenue from "receivers."</w:t>
      </w:r>
    </w:p>
    <w:p w:rsidR="00000000" w:rsidDel="00000000" w:rsidP="00000000" w:rsidRDefault="00000000" w:rsidRPr="00000000" w14:paraId="0000002A">
      <w:pPr>
        <w:pStyle w:val="Heading5"/>
        <w:rPr/>
      </w:pPr>
      <w:bookmarkStart w:colFirst="0" w:colLast="0" w:name="_7s52v7czhmjp" w:id="14"/>
      <w:bookmarkEnd w:id="14"/>
      <w:r w:rsidDel="00000000" w:rsidR="00000000" w:rsidRPr="00000000">
        <w:rPr>
          <w:rtl w:val="0"/>
        </w:rPr>
        <w:t xml:space="preserve">The CRM Overhead "Exit Ramp"</w:t>
      </w:r>
    </w:p>
    <w:p w:rsidR="00000000" w:rsidDel="00000000" w:rsidP="00000000" w:rsidRDefault="00000000" w:rsidRPr="00000000" w14:paraId="0000002B">
      <w:pPr>
        <w:rPr/>
      </w:pPr>
      <w:r w:rsidDel="00000000" w:rsidR="00000000" w:rsidRPr="00000000">
        <w:rPr>
          <w:rtl w:val="0"/>
        </w:rPr>
        <w:t xml:space="preserve">A critical strategic driver is the cost of infrastructure. A  </w:t>
      </w:r>
      <w:r w:rsidDel="00000000" w:rsidR="00000000" w:rsidRPr="00000000">
        <w:rPr>
          <w:b w:val="1"/>
          <w:bCs w:val="1"/>
          <w:rtl w:val="0"/>
        </w:rPr>
        <w:t xml:space="preserve">Litify seat costs approximately $150/user</w:t>
      </w:r>
      <w:r w:rsidDel="00000000" w:rsidR="00000000" w:rsidRPr="00000000">
        <w:rPr>
          <w:rtl w:val="0"/>
        </w:rPr>
        <w:t xml:space="preserve"> , while  </w:t>
      </w:r>
      <w:r w:rsidDel="00000000" w:rsidR="00000000" w:rsidRPr="00000000">
        <w:rPr>
          <w:b w:val="1"/>
          <w:bCs w:val="1"/>
          <w:rtl w:val="0"/>
        </w:rPr>
        <w:t xml:space="preserve">Clio is $49/user</w:t>
      </w:r>
      <w:r w:rsidDel="00000000" w:rsidR="00000000" w:rsidRPr="00000000">
        <w:rPr>
          <w:rtl w:val="0"/>
        </w:rPr>
        <w:t xml:space="preserve"> . Large Texas firms paying 3x the market rate for their CRM  </w:t>
      </w:r>
      <w:r w:rsidDel="00000000" w:rsidR="00000000" w:rsidRPr="00000000">
        <w:rPr>
          <w:b w:val="1"/>
          <w:bCs w:val="1"/>
          <w:rtl w:val="0"/>
        </w:rPr>
        <w:t xml:space="preserve">cannot afford</w:t>
      </w:r>
      <w:r w:rsidDel="00000000" w:rsidR="00000000" w:rsidRPr="00000000">
        <w:rPr>
          <w:rtl w:val="0"/>
        </w:rPr>
        <w:t xml:space="preserve">  to let a seat sit idle on a case they aren't going to litigate. The marketplace provides an essential  </w:t>
      </w:r>
      <w:r w:rsidDel="00000000" w:rsidR="00000000" w:rsidRPr="00000000">
        <w:rPr>
          <w:b w:val="1"/>
          <w:bCs w:val="1"/>
          <w:rtl w:val="0"/>
        </w:rPr>
        <w:t xml:space="preserve">"exit ramp"</w:t>
      </w:r>
      <w:r w:rsidDel="00000000" w:rsidR="00000000" w:rsidRPr="00000000">
        <w:rPr>
          <w:rtl w:val="0"/>
        </w:rPr>
        <w:t xml:space="preserve">  to recover these high overhead costs by monetizing cases that don't fit the firm's specific litigation criteria.</w:t>
      </w:r>
    </w:p>
    <w:p w:rsidR="00000000" w:rsidDel="00000000" w:rsidP="00000000" w:rsidRDefault="00000000" w:rsidRPr="00000000" w14:paraId="0000002C">
      <w:pPr>
        <w:pStyle w:val="Heading5"/>
        <w:rPr/>
      </w:pPr>
      <w:bookmarkStart w:colFirst="0" w:colLast="0" w:name="_tfl9vxhn5m88" w:id="15"/>
      <w:bookmarkEnd w:id="15"/>
      <w:r w:rsidDel="00000000" w:rsidR="00000000" w:rsidRPr="00000000">
        <w:rPr>
          <w:rtl w:val="0"/>
        </w:rPr>
        <w:t xml:space="preserve">Monetization Layers</w:t>
      </w:r>
    </w:p>
    <w:p w:rsidR="00000000" w:rsidDel="00000000" w:rsidP="00000000" w:rsidRDefault="00000000" w:rsidRPr="00000000" w14:paraId="0000002D">
      <w:pPr>
        <w:numPr>
          <w:ilvl w:val="0"/>
          <w:numId w:val="3"/>
        </w:numPr>
        <w:ind w:left="720" w:hanging="360"/>
        <w:rPr>
          <w:u w:val="none"/>
        </w:rPr>
      </w:pPr>
      <w:r w:rsidDel="00000000" w:rsidR="00000000" w:rsidRPr="00000000">
        <w:rPr>
          <w:b w:val="1"/>
          <w:bCs w:val="1"/>
          <w:rtl w:val="0"/>
        </w:rPr>
        <w:t xml:space="preserve">Pay-Per-Signed-Client:</w:t>
      </w:r>
      <w:r w:rsidDel="00000000" w:rsidR="00000000" w:rsidRPr="00000000">
        <w:rPr>
          <w:rtl w:val="0"/>
        </w:rPr>
        <w:t xml:space="preserve">  A  $49–$ 299 fee aligns incentives.</w:t>
      </w:r>
    </w:p>
    <w:p w:rsidR="00000000" w:rsidDel="00000000" w:rsidP="00000000" w:rsidRDefault="00000000" w:rsidRPr="00000000" w14:paraId="0000002E">
      <w:pPr>
        <w:numPr>
          <w:ilvl w:val="0"/>
          <w:numId w:val="3"/>
        </w:numPr>
        <w:ind w:left="720" w:hanging="360"/>
        <w:rPr>
          <w:u w:val="none"/>
        </w:rPr>
      </w:pPr>
      <w:r w:rsidDel="00000000" w:rsidR="00000000" w:rsidRPr="00000000">
        <w:rPr>
          <w:b w:val="1"/>
          <w:bCs w:val="1"/>
          <w:rtl w:val="0"/>
        </w:rPr>
        <w:t xml:space="preserve">SaaS Subscription:</w:t>
      </w:r>
      <w:r w:rsidDel="00000000" w:rsidR="00000000" w:rsidRPr="00000000">
        <w:rPr>
          <w:rtl w:val="0"/>
        </w:rPr>
        <w:t xml:space="preserve">  A freemium-to-enterprise path for high-volume traders.</w:t>
      </w:r>
    </w:p>
    <w:p w:rsidR="00000000" w:rsidDel="00000000" w:rsidP="00000000" w:rsidRDefault="00000000" w:rsidRPr="00000000" w14:paraId="0000002F">
      <w:pPr>
        <w:numPr>
          <w:ilvl w:val="0"/>
          <w:numId w:val="3"/>
        </w:numPr>
        <w:ind w:left="720" w:hanging="360"/>
        <w:rPr>
          <w:u w:val="none"/>
        </w:rPr>
      </w:pPr>
      <w:r w:rsidDel="00000000" w:rsidR="00000000" w:rsidRPr="00000000">
        <w:rPr>
          <w:b w:val="1"/>
          <w:bCs w:val="1"/>
          <w:rtl w:val="0"/>
        </w:rPr>
        <w:t xml:space="preserve">Lead Gen Affiliate Layer:</w:t>
      </w:r>
      <w:r w:rsidDel="00000000" w:rsidR="00000000" w:rsidRPr="00000000">
        <w:rPr>
          <w:rtl w:val="0"/>
        </w:rPr>
        <w:t xml:space="preserve">  The marketplace earns affiliate fees by connecting the "accepting" firm with vetted vendors (e.g.,  </w:t>
      </w:r>
      <w:r w:rsidDel="00000000" w:rsidR="00000000" w:rsidRPr="00000000">
        <w:rPr>
          <w:b w:val="1"/>
          <w:bCs w:val="1"/>
          <w:rtl w:val="0"/>
        </w:rPr>
        <w:t xml:space="preserve">Spanish-first intake layers</w:t>
      </w:r>
      <w:r w:rsidDel="00000000" w:rsidR="00000000" w:rsidRPr="00000000">
        <w:rPr>
          <w:rtl w:val="0"/>
        </w:rPr>
        <w:t xml:space="preserve">  or  </w:t>
      </w:r>
      <w:r w:rsidDel="00000000" w:rsidR="00000000" w:rsidRPr="00000000">
        <w:rPr>
          <w:b w:val="1"/>
          <w:bCs w:val="1"/>
          <w:rtl w:val="0"/>
        </w:rPr>
        <w:t xml:space="preserve">TrustedForm-style compliance tools</w:t>
      </w:r>
      <w:r w:rsidDel="00000000" w:rsidR="00000000" w:rsidRPr="00000000">
        <w:rPr>
          <w:rtl w:val="0"/>
        </w:rPr>
        <w:t xml:space="preserve"> ) to ensure the case's success.</w:t>
      </w:r>
    </w:p>
    <w:p w:rsidR="00000000" w:rsidDel="00000000" w:rsidP="00000000" w:rsidRDefault="00000000" w:rsidRPr="00000000" w14:paraId="00000030">
      <w:pPr>
        <w:pStyle w:val="Heading4"/>
        <w:rPr/>
      </w:pPr>
      <w:bookmarkStart w:colFirst="0" w:colLast="0" w:name="_nyhowjoesebf" w:id="16"/>
      <w:bookmarkEnd w:id="16"/>
      <w:r w:rsidDel="00000000" w:rsidR="00000000" w:rsidRPr="00000000">
        <w:rPr>
          <w:rtl w:val="0"/>
        </w:rPr>
        <w:t xml:space="preserve">6. Roadmap: Go-To-Market and Scalability</w:t>
      </w:r>
    </w:p>
    <w:p w:rsidR="00000000" w:rsidDel="00000000" w:rsidP="00000000" w:rsidRDefault="00000000" w:rsidRPr="00000000" w14:paraId="00000031">
      <w:pPr>
        <w:pStyle w:val="Heading5"/>
        <w:rPr/>
      </w:pPr>
      <w:bookmarkStart w:colFirst="0" w:colLast="0" w:name="_uiq462b0twma" w:id="17"/>
      <w:bookmarkEnd w:id="17"/>
      <w:r w:rsidDel="00000000" w:rsidR="00000000" w:rsidRPr="00000000">
        <w:rPr>
          <w:rtl w:val="0"/>
        </w:rPr>
        <w:t xml:space="preserve">Phased Execution</w:t>
      </w:r>
    </w:p>
    <w:p w:rsidR="00000000" w:rsidDel="00000000" w:rsidP="00000000" w:rsidRDefault="00000000" w:rsidRPr="00000000" w14:paraId="00000032">
      <w:pPr>
        <w:numPr>
          <w:ilvl w:val="0"/>
          <w:numId w:val="5"/>
        </w:numPr>
        <w:ind w:left="720" w:hanging="360"/>
        <w:rPr>
          <w:u w:val="none"/>
        </w:rPr>
      </w:pPr>
      <w:r w:rsidDel="00000000" w:rsidR="00000000" w:rsidRPr="00000000">
        <w:rPr>
          <w:b w:val="1"/>
          <w:bCs w:val="1"/>
          <w:rtl w:val="0"/>
        </w:rPr>
        <w:t xml:space="preserve">Phase 1: Pilot:</w:t>
      </w:r>
      <w:r w:rsidDel="00000000" w:rsidR="00000000" w:rsidRPr="00000000">
        <w:rPr>
          <w:rtl w:val="0"/>
        </w:rPr>
        <w:t xml:space="preserve">  Partner with 10 high-volume Texas firms to validate the taxonomy and API sync.</w:t>
      </w:r>
    </w:p>
    <w:p w:rsidR="00000000" w:rsidDel="00000000" w:rsidP="00000000" w:rsidRDefault="00000000" w:rsidRPr="00000000" w14:paraId="00000033">
      <w:pPr>
        <w:numPr>
          <w:ilvl w:val="0"/>
          <w:numId w:val="5"/>
        </w:numPr>
        <w:ind w:left="720" w:hanging="360"/>
        <w:rPr>
          <w:u w:val="none"/>
        </w:rPr>
      </w:pPr>
      <w:r w:rsidDel="00000000" w:rsidR="00000000" w:rsidRPr="00000000">
        <w:rPr>
          <w:b w:val="1"/>
          <w:bCs w:val="1"/>
          <w:rtl w:val="0"/>
        </w:rPr>
        <w:t xml:space="preserve">Phase 2: Regional Scale:</w:t>
      </w:r>
      <w:r w:rsidDel="00000000" w:rsidR="00000000" w:rsidRPr="00000000">
        <w:rPr>
          <w:rtl w:val="0"/>
        </w:rPr>
        <w:t xml:space="preserve">  Expand into CA, FL, and GA, targeting firms with similar high-overhead CRM costs.</w:t>
      </w:r>
    </w:p>
    <w:p w:rsidR="00000000" w:rsidDel="00000000" w:rsidP="00000000" w:rsidRDefault="00000000" w:rsidRPr="00000000" w14:paraId="00000034">
      <w:pPr>
        <w:numPr>
          <w:ilvl w:val="0"/>
          <w:numId w:val="5"/>
        </w:numPr>
        <w:ind w:left="720" w:hanging="360"/>
        <w:rPr>
          <w:u w:val="none"/>
        </w:rPr>
      </w:pPr>
      <w:r w:rsidDel="00000000" w:rsidR="00000000" w:rsidRPr="00000000">
        <w:rPr>
          <w:b w:val="1"/>
          <w:bCs w:val="1"/>
          <w:rtl w:val="0"/>
        </w:rPr>
        <w:t xml:space="preserve">Phase 3: Vertical Integration:</w:t>
      </w:r>
      <w:r w:rsidDel="00000000" w:rsidR="00000000" w:rsidRPr="00000000">
        <w:rPr>
          <w:rtl w:val="0"/>
        </w:rPr>
        <w:t xml:space="preserve">  Add lead-gen affiliate services and medical funding connectors.</w:t>
      </w:r>
    </w:p>
    <w:p w:rsidR="00000000" w:rsidDel="00000000" w:rsidP="00000000" w:rsidRDefault="00000000" w:rsidRPr="00000000" w14:paraId="00000035">
      <w:pPr>
        <w:pStyle w:val="Heading5"/>
        <w:rPr/>
      </w:pPr>
      <w:bookmarkStart w:colFirst="0" w:colLast="0" w:name="_f3iasrw8eh32" w:id="18"/>
      <w:bookmarkEnd w:id="18"/>
      <w:r w:rsidDel="00000000" w:rsidR="00000000" w:rsidRPr="00000000">
        <w:rPr>
          <w:rtl w:val="0"/>
        </w:rPr>
        <w:t xml:space="preserve">De-Risking the Lead-Gen Lifecycle</w:t>
      </w:r>
    </w:p>
    <w:p w:rsidR="00000000" w:rsidDel="00000000" w:rsidP="00000000" w:rsidRDefault="00000000" w:rsidRPr="00000000" w14:paraId="00000036">
      <w:pPr>
        <w:rPr/>
      </w:pPr>
      <w:r w:rsidDel="00000000" w:rsidR="00000000" w:rsidRPr="00000000">
        <w:rPr>
          <w:rtl w:val="0"/>
        </w:rPr>
        <w:t xml:space="preserve">With the  </w:t>
      </w:r>
      <w:r w:rsidDel="00000000" w:rsidR="00000000" w:rsidRPr="00000000">
        <w:rPr>
          <w:b w:val="1"/>
          <w:bCs w:val="1"/>
          <w:rtl w:val="0"/>
        </w:rPr>
        <w:t xml:space="preserve">January 2025 TCPA rule updates</w:t>
      </w:r>
      <w:r w:rsidDel="00000000" w:rsidR="00000000" w:rsidRPr="00000000">
        <w:rPr>
          <w:rtl w:val="0"/>
        </w:rPr>
        <w:t xml:space="preserve"> , the risk of buying unvetted leads has never been higher. This marketplace serves as a "de-risking" tool, allowing firms to recover their initial marketing spend on "waste" leads. By transforming a firm's  </w:t>
      </w:r>
      <w:r w:rsidDel="00000000" w:rsidR="00000000" w:rsidRPr="00000000">
        <w:rPr>
          <w:b w:val="1"/>
          <w:bCs w:val="1"/>
          <w:rtl w:val="0"/>
        </w:rPr>
        <w:t xml:space="preserve">Cost Per Lead (CPL)</w:t>
      </w:r>
      <w:r w:rsidDel="00000000" w:rsidR="00000000" w:rsidRPr="00000000">
        <w:rPr>
          <w:rtl w:val="0"/>
        </w:rPr>
        <w:t xml:space="preserve">  into a lower  </w:t>
      </w:r>
      <w:r w:rsidDel="00000000" w:rsidR="00000000" w:rsidRPr="00000000">
        <w:rPr>
          <w:b w:val="1"/>
          <w:bCs w:val="1"/>
          <w:rtl w:val="0"/>
        </w:rPr>
        <w:t xml:space="preserve">Cost Per Signed Case (CPSC)</w:t>
      </w:r>
      <w:r w:rsidDel="00000000" w:rsidR="00000000" w:rsidRPr="00000000">
        <w:rPr>
          <w:rtl w:val="0"/>
        </w:rPr>
        <w:t xml:space="preserve">  through secondary monetization, the marketplace becomes the essential operating system for modern PI case movement.</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