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271hu23u8my" w:id="0"/>
      <w:bookmarkEnd w:id="0"/>
      <w:r w:rsidDel="00000000" w:rsidR="00000000" w:rsidRPr="00000000">
        <w:rPr>
          <w:rtl w:val="0"/>
        </w:rPr>
        <w:t xml:space="preserve">Business Case: National PI Case-Exchange Marketplace (Litify-Native)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9ki5ldj100n4" w:id="1"/>
      <w:bookmarkEnd w:id="1"/>
      <w:r w:rsidDel="00000000" w:rsidR="00000000" w:rsidRPr="00000000">
        <w:rPr>
          <w:rtl w:val="0"/>
        </w:rPr>
        <w:t xml:space="preserve">1. Strategic Market Analysis: The Texas Personal Injury Landscape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Texas Personal Injury (PI) market represents one of the most aggressive and high-revenue legal ecosystems in the nation, with law-firm market revenue projected to reach $36 billion by 2026. In this high-stakes environment, efficiency in intake and referral management is no longer a luxury—it is a strategic necessity for survival. As lead acquisition costs (CPL) skyrocket, firms are increasingly penalized for operational friction. Furthermore, the  </w:t>
      </w:r>
      <w:r w:rsidDel="00000000" w:rsidR="00000000" w:rsidRPr="00000000">
        <w:rPr>
          <w:b w:val="1"/>
          <w:bCs w:val="1"/>
          <w:rtl w:val="0"/>
        </w:rPr>
        <w:t xml:space="preserve">January 2025 TCPA rule update</w:t>
      </w:r>
      <w:r w:rsidDel="00000000" w:rsidR="00000000" w:rsidRPr="00000000">
        <w:rPr>
          <w:rtl w:val="0"/>
        </w:rPr>
        <w:t xml:space="preserve">  regarding consent documentation and compliance exposure has created an urgent mandate for standardized, secure, and verifiable data handoffs. Manual, unvetted transfers are now a significant liability; a centralized marketplace provides the compliant infrastructure required to mitigate this risk while capturing lost value.The following analysis maps the primary intake pain points currently eroding Texas firm profitability: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9vbkq4l2feg0" w:id="2"/>
      <w:bookmarkEnd w:id="2"/>
      <w:r w:rsidDel="00000000" w:rsidR="00000000" w:rsidRPr="00000000">
        <w:rPr>
          <w:rtl w:val="0"/>
        </w:rPr>
        <w:t xml:space="preserve">Top 5 Intake Pain Points &amp; Financial Impact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Intake Pain Point,Direct Financial Impact,Strategic Consequence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Missed Calls / Slow Response,Immediate loss of high-intent leads; wasted marketing spend.,"Market share leakage to ""high-speed"" competitors."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Manual Data Re-entry,Excessive overhead; human error in critical case facts.,Scalability bottleneck; increased staff burnout.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Weak Documentation,"Inability to verify ""bad"" files; downstream litigation risk.",Settlement devaluation and insurance denials.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TCPA Compliance Gaps,Exposure to statutory penalties under 2025 updates.,Critical enterprise risk; potential for class-action litigation.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Poor Visibility/ROI,Inefficient capital allocation across marketing channels.,"Inability to scale ""winning"" campaigns accurately."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Within the Texas landscape, high-volume "volume leaders" such as Thompson Law or Angel Reyes &amp; Associates operate at a scale where they frequently generate "Staffing Overflow"—cases that meet all quality criteria but exceed current operational capacity. Conversely, boutique powerhouses like Miller Weisbrod Olesky prioritize litigation depth and high-value recoveries, requiring a vetted, data-rich source for referrals. A standardized marketplace serves as the "connective tissue" between these firm profiles, transforming dropped leads from a sunk cost into  </w:t>
      </w:r>
      <w:r w:rsidDel="00000000" w:rsidR="00000000" w:rsidRPr="00000000">
        <w:rPr>
          <w:b w:val="1"/>
          <w:bCs w:val="1"/>
          <w:rtl w:val="0"/>
        </w:rPr>
        <w:t xml:space="preserve">liquid assets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4bq3n17xiq1g" w:id="3"/>
      <w:bookmarkEnd w:id="3"/>
      <w:r w:rsidDel="00000000" w:rsidR="00000000" w:rsidRPr="00000000">
        <w:rPr>
          <w:rtl w:val="0"/>
        </w:rPr>
        <w:t xml:space="preserve">2. Competitive Benchmarking: Analysis of Existing Referral Models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Benchmarking existing platforms like Attorney Share and Lexchange reveals significant "white space" in the current referral ecosystem. While existing players offer general matching, they fail to provide the enterprise-grade integration required by high-volume PI firms.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kqz7tb6n1zpl" w:id="4"/>
      <w:bookmarkEnd w:id="4"/>
      <w:r w:rsidDel="00000000" w:rsidR="00000000" w:rsidRPr="00000000">
        <w:rPr>
          <w:rtl w:val="0"/>
        </w:rPr>
        <w:t xml:space="preserve">Comparison of Existing Referral Ecosystems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Platform,Monetization Model,Integration Depth,Unique Differentiators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Attorney Share,Pay-per-signed-client ( $49–$ 299 fee).,Standard API (Clio/HubSpot).,Focuses on signed clients; lower barrier for small firms.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Case Xchange,Private Subscription.,CMS-integrated (Litify/CASEpeer).,Active matching technology and referral analytics.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Lexchange,Monthly SaaS ( $199–$ 499).,Manual/Standalone.,No percentage cuts; reward points for non-fee jurisdictions.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Litify Referral Network (LRN),Included with Litify.,Native Salesforce sync.,"1,000+ daily referrals; internal ""status-only"" tracking."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agmlmr1gzj9c" w:id="5"/>
      <w:bookmarkEnd w:id="5"/>
      <w:r w:rsidDel="00000000" w:rsidR="00000000" w:rsidRPr="00000000">
        <w:rPr>
          <w:rtl w:val="0"/>
        </w:rPr>
        <w:t xml:space="preserve">Gap Analysis: The Opportunity for Evolution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critical weakness in these models is the persistence of "asymmetric information." Existing systems do not standardize 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 a case was dropped or provide a verifiable "Case Product" for 15-second triage. Furthermore, while Case Xchange offers integrations, they often lack the "Zero-friction" bi-directional depth required for enterprise firms. The proposed Litify-Native marketplace is the logical evolution—a solution that treats every referral as a standardized, liquid asset with verified medical and liability milestones.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m3l0uqa9eqm" w:id="6"/>
      <w:bookmarkEnd w:id="6"/>
      <w:r w:rsidDel="00000000" w:rsidR="00000000" w:rsidRPr="00000000">
        <w:rPr>
          <w:rtl w:val="0"/>
        </w:rPr>
        <w:t xml:space="preserve">3. The Solution: A Litify-Native Integration Strategy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"Litify-Native" strategy is the only viable entry point for the enterprise PI market. Litify is the premier platform for high-end firms, with over 1,000 daily referrals already in-network. For enterprise-scale firms, budget-friendly options like Clio (approx. $49/user) represent a security and data-integrity risk. By building natively on the  </w:t>
      </w:r>
      <w:r w:rsidDel="00000000" w:rsidR="00000000" w:rsidRPr="00000000">
        <w:rPr>
          <w:b w:val="1"/>
          <w:bCs w:val="1"/>
          <w:rtl w:val="0"/>
        </w:rPr>
        <w:t xml:space="preserve">Salesforce-backed Litify architecture</w:t>
      </w:r>
      <w:r w:rsidDel="00000000" w:rsidR="00000000" w:rsidRPr="00000000">
        <w:rPr>
          <w:rtl w:val="0"/>
        </w:rPr>
        <w:t xml:space="preserve"> , this marketplace ensures  </w:t>
      </w:r>
      <w:r w:rsidDel="00000000" w:rsidR="00000000" w:rsidRPr="00000000">
        <w:rPr>
          <w:b w:val="1"/>
          <w:bCs w:val="1"/>
          <w:rtl w:val="0"/>
        </w:rPr>
        <w:t xml:space="preserve">SOC2/Enterprise compliance</w:t>
      </w:r>
      <w:r w:rsidDel="00000000" w:rsidR="00000000" w:rsidRPr="00000000">
        <w:rPr>
          <w:rtl w:val="0"/>
        </w:rPr>
        <w:t xml:space="preserve"> , maintaining the highest standards of data protection and permission-based access.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eem45h7tipvi" w:id="7"/>
      <w:bookmarkEnd w:id="7"/>
      <w:r w:rsidDel="00000000" w:rsidR="00000000" w:rsidRPr="00000000">
        <w:rPr>
          <w:rtl w:val="0"/>
        </w:rPr>
        <w:t xml:space="preserve">The Three Pillars of Integration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solution leverages the Salesforce API to provide a bi-directional sync that eliminates manual data entry: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Zero-Friction Data Export:</w:t>
      </w:r>
      <w:r w:rsidDel="00000000" w:rsidR="00000000" w:rsidRPr="00000000">
        <w:rPr>
          <w:rtl w:val="0"/>
        </w:rPr>
        <w:t xml:space="preserve">  One-click case listing using Salesforce JSON/API protocols to push matter facts directly to the marketplace.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Standardized Field Mapping:</w:t>
      </w:r>
      <w:r w:rsidDel="00000000" w:rsidR="00000000" w:rsidRPr="00000000">
        <w:rPr>
          <w:rtl w:val="0"/>
        </w:rPr>
        <w:t xml:space="preserve">  Direct mapping of Litify custom objects (Accident Facts, Medical Milestones, Insurance Objects) to the marketplace schema.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Reverse Sync:</w:t>
      </w:r>
      <w:r w:rsidDel="00000000" w:rsidR="00000000" w:rsidRPr="00000000">
        <w:rPr>
          <w:rtl w:val="0"/>
        </w:rPr>
        <w:t xml:space="preserve">  Upon acceptance, the system pushes data back to the accepting firm's Litify instance, automatically creating a Matter and populating all verified data points.Standardization is the core of this integration. By ensuring the data is "clean" before it leaves the source system, we create a trust-premium that justifies the premium cost of the exchange.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wuc3zjioqjo1" w:id="8"/>
      <w:bookmarkEnd w:id="8"/>
      <w:r w:rsidDel="00000000" w:rsidR="00000000" w:rsidRPr="00000000">
        <w:rPr>
          <w:rtl w:val="0"/>
        </w:rPr>
        <w:t xml:space="preserve">4. Standardizing the "Case Drop": Taxonomy &amp; Quality Control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Referral friction is usually caused by uncertainty regarding case quality. Standardizing the "Case Drop" taxonomy eliminates this asymmetric information, allowing firms to browse inventory with confidence.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z4durkfycwmh" w:id="9"/>
      <w:bookmarkEnd w:id="9"/>
      <w:r w:rsidDel="00000000" w:rsidR="00000000" w:rsidRPr="00000000">
        <w:rPr>
          <w:rtl w:val="0"/>
        </w:rPr>
        <w:t xml:space="preserve">Standardized Taxonomy for Case Drops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Staffing/Bandwidth Constraints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 High-quality cases meeting all firm criteria for liability and damages that exceed the firm's current operational capacity or attorney hours.  </w:t>
      </w:r>
      <w:r w:rsidDel="00000000" w:rsidR="00000000" w:rsidRPr="00000000">
        <w:rPr>
          <w:b w:val="1"/>
          <w:bCs w:val="1"/>
          <w:rtl w:val="0"/>
        </w:rPr>
        <w:t xml:space="preserve">Market Value:</w:t>
      </w:r>
      <w:r w:rsidDel="00000000" w:rsidR="00000000" w:rsidRPr="00000000">
        <w:rPr>
          <w:rtl w:val="0"/>
        </w:rPr>
        <w:t xml:space="preserve">  "Premium Inventory" ready for immediate demand.</w:t>
      </w:r>
      <w:r w:rsidDel="00000000" w:rsidR="00000000" w:rsidRPr="00000000">
        <w:rPr>
          <w:b w:val="1"/>
          <w:bCs w:val="1"/>
          <w:rtl w:val="0"/>
        </w:rPr>
        <w:t xml:space="preserve">Treatment Abandonment/Client Non-Compliance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 Cases with established legal merits where the client has ceased medical milestones (e.g., missed PT) or become unresponsive to staff.  </w:t>
      </w:r>
      <w:r w:rsidDel="00000000" w:rsidR="00000000" w:rsidRPr="00000000">
        <w:rPr>
          <w:b w:val="1"/>
          <w:bCs w:val="1"/>
          <w:rtl w:val="0"/>
        </w:rPr>
        <w:t xml:space="preserve">Market Value:</w:t>
      </w:r>
      <w:r w:rsidDel="00000000" w:rsidR="00000000" w:rsidRPr="00000000">
        <w:rPr>
          <w:rtl w:val="0"/>
        </w:rPr>
        <w:t xml:space="preserve">  "Rescue Inventory" for firms with high-touch intake and outbound cadence capabilities.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7hmntdmdycrl" w:id="10"/>
      <w:bookmarkEnd w:id="10"/>
      <w:r w:rsidDel="00000000" w:rsidR="00000000" w:rsidRPr="00000000">
        <w:rPr>
          <w:rtl w:val="0"/>
        </w:rPr>
        <w:t xml:space="preserve">Supplementary Categories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ensure comprehensive market depth, the marketplace also categorizes drops by: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Venue Mismatch:</w:t>
      </w:r>
      <w:r w:rsidDel="00000000" w:rsidR="00000000" w:rsidRPr="00000000">
        <w:rPr>
          <w:rtl w:val="0"/>
        </w:rPr>
        <w:t xml:space="preserve">  Quality cases in jurisdictions outside the firm’s primary reach.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Damages/Coverage Mismatch:</w:t>
      </w:r>
      <w:r w:rsidDel="00000000" w:rsidR="00000000" w:rsidRPr="00000000">
        <w:rPr>
          <w:rtl w:val="0"/>
        </w:rPr>
        <w:t xml:space="preserve">  Cases where policy limits fall below a specific firm's threshold (e.g., $30k vs. $100k+).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Conflict of Interest:</w:t>
      </w:r>
      <w:r w:rsidDel="00000000" w:rsidR="00000000" w:rsidRPr="00000000">
        <w:rPr>
          <w:rtl w:val="0"/>
        </w:rPr>
        <w:t xml:space="preserve">  Cases involving existing clients or adverse parties that require immediate transfer.Distinguishing between these categories reduces "buyer's remorse" and increases the trust-premium, allowing the marketplace to command higher transaction fees for "Staffing" drops.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j1cye5bwurcy" w:id="11"/>
      <w:bookmarkEnd w:id="11"/>
      <w:r w:rsidDel="00000000" w:rsidR="00000000" w:rsidRPr="00000000">
        <w:rPr>
          <w:rtl w:val="0"/>
        </w:rPr>
        <w:t xml:space="preserve">5. Product Architecture: The Standardized Case Summary Card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 maximize efficiency, the marketplace utilizes a  </w:t>
      </w:r>
      <w:r w:rsidDel="00000000" w:rsidR="00000000" w:rsidRPr="00000000">
        <w:rPr>
          <w:b w:val="1"/>
          <w:bCs w:val="1"/>
          <w:rtl w:val="0"/>
        </w:rPr>
        <w:t xml:space="preserve">Visual Case Card</w:t>
      </w:r>
      <w:r w:rsidDel="00000000" w:rsidR="00000000" w:rsidRPr="00000000">
        <w:rPr>
          <w:rtl w:val="0"/>
        </w:rPr>
        <w:t xml:space="preserve">  designed to reduce "cognitive load," enabling firm principals to make "Accept/Decline" decisions in under 15 seconds.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j7cqekzhd3fm" w:id="12"/>
      <w:bookmarkEnd w:id="12"/>
      <w:r w:rsidDel="00000000" w:rsidR="00000000" w:rsidRPr="00000000">
        <w:rPr>
          <w:rtl w:val="0"/>
        </w:rPr>
        <w:t xml:space="preserve">Mandatory Case Card Fields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Liability &amp; Coverage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Fault Assessment (Clear, Disputed, or Comparative).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Insurance Policy Limits (Known/Confirmed vs. Estimated).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At-fault Party Carrier information.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Medical/Damages Milestones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Treatment Visits Completed (Current count).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Diagnostic Status (MRI, X-ray, or CT scan results confirmed).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Lien Status:</w:t>
      </w:r>
      <w:r w:rsidDel="00000000" w:rsidR="00000000" w:rsidRPr="00000000">
        <w:rPr>
          <w:rtl w:val="0"/>
        </w:rPr>
        <w:t xml:space="preserve">  (Medicare, Medicaid, or private insurance liens identified).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Economics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Costs Advanced to Date:</w:t>
      </w:r>
      <w:r w:rsidDel="00000000" w:rsidR="00000000" w:rsidRPr="00000000">
        <w:rPr>
          <w:rtl w:val="0"/>
        </w:rPr>
        <w:t xml:space="preserve">  (Verifiable firm out-of-pocket spend).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Estimated Case Value (Range based on carrier and injury).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Proof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Police Report Status (Obtained &amp; Verified).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Retainer Status (Signed/Compliance-ready under 2025 TCPA rules).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Last Client Contact Date:</w:t>
      </w:r>
      <w:r w:rsidDel="00000000" w:rsidR="00000000" w:rsidRPr="00000000">
        <w:rPr>
          <w:rtl w:val="0"/>
        </w:rPr>
        <w:t xml:space="preserve">  A critical trust signal indicating lead "warmth."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rtq3iqxsqe5r" w:id="13"/>
      <w:bookmarkEnd w:id="13"/>
      <w:r w:rsidDel="00000000" w:rsidR="00000000" w:rsidRPr="00000000">
        <w:rPr>
          <w:rtl w:val="0"/>
        </w:rPr>
        <w:t xml:space="preserve">6. Monetization Models &amp; Business Sustainability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Our monetization strategy balances the need for rapid adoption with the necessity of predictable, recurring revenue.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2kc5sddfodvm" w:id="14"/>
      <w:bookmarkEnd w:id="14"/>
      <w:r w:rsidDel="00000000" w:rsidR="00000000" w:rsidRPr="00000000">
        <w:rPr>
          <w:rtl w:val="0"/>
        </w:rPr>
        <w:t xml:space="preserve">Proposed Monetization Tiers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Pay-Per-Signed-Client (The Transactional Wedge):</w:t>
      </w:r>
      <w:r w:rsidDel="00000000" w:rsidR="00000000" w:rsidRPr="00000000">
        <w:rPr>
          <w:rtl w:val="0"/>
        </w:rPr>
        <w:t xml:space="preserve">  Senders post for free; accepting firms pay a success fee of  </w:t>
      </w:r>
      <w:r w:rsidDel="00000000" w:rsidR="00000000" w:rsidRPr="00000000">
        <w:rPr>
          <w:b w:val="1"/>
          <w:bCs w:val="1"/>
          <w:rtl w:val="0"/>
        </w:rPr>
        <w:t xml:space="preserve">$49–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299</w:t>
      </w:r>
      <w:r w:rsidDel="00000000" w:rsidR="00000000" w:rsidRPr="00000000">
        <w:rPr>
          <w:rtl w:val="0"/>
        </w:rPr>
        <w:t xml:space="preserve">  only upon a signed retainer. This minimizes barriers for smaller firms.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SaaS Subscription (Enterprise Tier):</w:t>
      </w:r>
      <w:r w:rsidDel="00000000" w:rsidR="00000000" w:rsidRPr="00000000">
        <w:rPr>
          <w:rtl w:val="0"/>
        </w:rPr>
        <w:t xml:space="preserve">  A monthly fee of  </w:t>
      </w:r>
      <w:r w:rsidDel="00000000" w:rsidR="00000000" w:rsidRPr="00000000">
        <w:rPr>
          <w:b w:val="1"/>
          <w:bCs w:val="1"/>
          <w:rtl w:val="0"/>
        </w:rPr>
        <w:t xml:space="preserve">$199–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499</w:t>
      </w:r>
      <w:r w:rsidDel="00000000" w:rsidR="00000000" w:rsidRPr="00000000">
        <w:rPr>
          <w:rtl w:val="0"/>
        </w:rPr>
        <w:t xml:space="preserve">  for unlimited exchanges. This targets the "Volume Leaders" (Thompson Law, etc.) who process dozens of referrals monthly and require predictable overhead.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Hybrid "Freemium" Tier:</w:t>
      </w:r>
      <w:r w:rsidDel="00000000" w:rsidR="00000000" w:rsidRPr="00000000">
        <w:rPr>
          <w:rtl w:val="0"/>
        </w:rPr>
        <w:t xml:space="preserve">  Free posting to maximize supply, with a "Success Fee on Accept" for non-subscribers.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e6yh4maof3uk" w:id="15"/>
      <w:bookmarkEnd w:id="15"/>
      <w:r w:rsidDel="00000000" w:rsidR="00000000" w:rsidRPr="00000000">
        <w:rPr>
          <w:rtl w:val="0"/>
        </w:rPr>
        <w:t xml:space="preserve">Value-Based Pricing Narrative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model drastically reduces "hidden costs" for firms—specifically intake labor and response time penalties. By providing a "pre-vetted" product with verifiable compliance documentation, the marketplace eliminates the 95% "waste" typical of generic lead-gen platforms, turning intake from a cost center into a profit center.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49ocztp1otjn" w:id="16"/>
      <w:bookmarkEnd w:id="16"/>
      <w:r w:rsidDel="00000000" w:rsidR="00000000" w:rsidRPr="00000000">
        <w:rPr>
          <w:rtl w:val="0"/>
        </w:rPr>
        <w:t xml:space="preserve">7. Strategic Implementation &amp; Roadmap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Dominance will be achieved through a phased rollout, leveraging the high density of PI firms in Houston, DFW, and Austin.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jbhlfjqsk7yz" w:id="17"/>
      <w:bookmarkEnd w:id="17"/>
      <w:r w:rsidDel="00000000" w:rsidR="00000000" w:rsidRPr="00000000">
        <w:rPr>
          <w:rtl w:val="0"/>
        </w:rPr>
        <w:t xml:space="preserve">Three-Step Go-To-Market Roadmap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1: The Texas Pilot.</w:t>
      </w:r>
      <w:r w:rsidDel="00000000" w:rsidR="00000000" w:rsidRPr="00000000">
        <w:rPr>
          <w:rtl w:val="0"/>
        </w:rPr>
        <w:t xml:space="preserve">  Targeting 10 high-volume Texas PI firms currently on Litify. This phase validates the bi-directional Salesforce API sync and the 15-second triage efficacy of the Case Card.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2: Regional Mid-Market Expansion.</w:t>
      </w:r>
      <w:r w:rsidDel="00000000" w:rsidR="00000000" w:rsidRPr="00000000">
        <w:rPr>
          <w:rtl w:val="0"/>
        </w:rPr>
        <w:t xml:space="preserve">  Expanding integrations to Filevine and Clio (targeting the  $39–$ 109/user tiers) to capture mid-market firms handling overflow from enterprise giants.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3: National Scale &amp; Ecosystem Revenue.</w:t>
      </w:r>
      <w:r w:rsidDel="00000000" w:rsidR="00000000" w:rsidRPr="00000000">
        <w:rPr>
          <w:rtl w:val="0"/>
        </w:rPr>
        <w:t xml:space="preserve">  Scaling to Florida and California. Introduce affiliate revenue from ancillary services like Independent Medical Examination (IME) vendors and litigation finance providers.This marketplace transforms "dropped leads" from a sunk marketing cost into a recurring, high-margin revenue stream. By standardizing the data model and the reason for transfer, we provide the ultimate operational solution:  </w:t>
      </w:r>
      <w:r w:rsidDel="00000000" w:rsidR="00000000" w:rsidRPr="00000000">
        <w:rPr>
          <w:b w:val="1"/>
          <w:bCs w:val="1"/>
          <w:rtl w:val="0"/>
        </w:rPr>
        <w:t xml:space="preserve">a transparent, Litify-native exchange that treats legal matters as liquid assets.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