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pStyle w:val="Heading3"/>
        <w:rPr/>
      </w:pPr>
      <w:bookmarkStart w:colFirst="0" w:colLast="0" w:name="_l4mkml26fwpp" w:id="0"/>
      <w:bookmarkEnd w:id="0"/>
      <w:r w:rsidDel="00000000" w:rsidR="00000000" w:rsidRPr="00000000">
        <w:rPr>
          <w:rtl w:val="0"/>
        </w:rPr>
        <w:t xml:space="preserve">Strategic Analysis: The Texas Personal Injury Lead &amp; Intake Ecosystem</w:t>
      </w:r>
    </w:p>
    <w:p w:rsidR="00000000" w:rsidDel="00000000" w:rsidP="00000000" w:rsidRDefault="00000000" w:rsidRPr="00000000" w14:paraId="00000002">
      <w:pPr>
        <w:pStyle w:val="Heading4"/>
        <w:rPr/>
      </w:pPr>
      <w:bookmarkStart w:colFirst="0" w:colLast="0" w:name="_iu17ju4vpjl2" w:id="1"/>
      <w:bookmarkEnd w:id="1"/>
      <w:r w:rsidDel="00000000" w:rsidR="00000000" w:rsidRPr="00000000">
        <w:rPr>
          <w:rtl w:val="0"/>
        </w:rPr>
        <w:t xml:space="preserve">1. The Texas PI Competitive Landscape: Top Firms and Market Positioning</w:t>
      </w:r>
    </w:p>
    <w:p w:rsidR="00000000" w:rsidDel="00000000" w:rsidP="00000000" w:rsidRDefault="00000000" w:rsidRPr="00000000" w14:paraId="00000003">
      <w:pPr>
        <w:rPr/>
      </w:pPr>
      <w:r w:rsidDel="00000000" w:rsidR="00000000" w:rsidRPr="00000000">
        <w:rPr>
          <w:rtl w:val="0"/>
        </w:rPr>
        <w:t xml:space="preserve">The Texas personal injury (PI) market is one of the most aggressive legal environments in the United States, with total law firm revenue projected to reach $36 billion by 2026. In this high-stakes arena, success is no longer a simple byproduct of massive marketing spend; rather, it is dictated by strategic niche selection and the cultivation of a formidable trial reputation. Dominant players leverage their brand equity to capture high-value catastrophic cases, while emerging firms must identify specific "wedges" to penetrate the market effectively.| Firm Name | Primary Niche/Focus | Strategic Advantage | Break-In Difficulty (1-10) || ------ | ------ | ------ | ------ || </w:t>
      </w:r>
      <w:r w:rsidDel="00000000" w:rsidR="00000000" w:rsidRPr="00000000">
        <w:rPr>
          <w:b w:val="1"/>
          <w:bCs w:val="1"/>
          <w:rtl w:val="0"/>
        </w:rPr>
        <w:t xml:space="preserve">Arnold &amp; Itkin</w:t>
      </w:r>
      <w:r w:rsidDel="00000000" w:rsidR="00000000" w:rsidRPr="00000000">
        <w:rPr>
          <w:rtl w:val="0"/>
        </w:rPr>
        <w:t xml:space="preserve"> | Catastrophic, maritime, product liability | Elite trial reputation; record verdicts | 10 || </w:t>
      </w:r>
      <w:r w:rsidDel="00000000" w:rsidR="00000000" w:rsidRPr="00000000">
        <w:rPr>
          <w:b w:val="1"/>
          <w:bCs w:val="1"/>
          <w:rtl w:val="0"/>
        </w:rPr>
        <w:t xml:space="preserve">The Buzbee Law Firm</w:t>
      </w:r>
      <w:r w:rsidDel="00000000" w:rsidR="00000000" w:rsidRPr="00000000">
        <w:rPr>
          <w:rtl w:val="0"/>
        </w:rPr>
        <w:t xml:space="preserve"> | Catastrophic PI, high-profile disputes | High-visibility branding; media pull | 9 || </w:t>
      </w:r>
      <w:r w:rsidDel="00000000" w:rsidR="00000000" w:rsidRPr="00000000">
        <w:rPr>
          <w:b w:val="1"/>
          <w:bCs w:val="1"/>
          <w:rtl w:val="0"/>
        </w:rPr>
        <w:t xml:space="preserve">Baron &amp; Budd</w:t>
      </w:r>
      <w:r w:rsidDel="00000000" w:rsidR="00000000" w:rsidRPr="00000000">
        <w:rPr>
          <w:rtl w:val="0"/>
        </w:rPr>
        <w:t xml:space="preserve"> | Mass torts, product liability | National mass-tort engine; class-action scale | 9 || </w:t>
      </w:r>
      <w:r w:rsidDel="00000000" w:rsidR="00000000" w:rsidRPr="00000000">
        <w:rPr>
          <w:b w:val="1"/>
          <w:bCs w:val="1"/>
          <w:rtl w:val="0"/>
        </w:rPr>
        <w:t xml:space="preserve">Jackson Walker</w:t>
      </w:r>
      <w:r w:rsidDel="00000000" w:rsidR="00000000" w:rsidRPr="00000000">
        <w:rPr>
          <w:rtl w:val="0"/>
        </w:rPr>
        <w:t xml:space="preserve"> | Broad litigation platform | Scale and institutional credibility | 9 || </w:t>
      </w:r>
      <w:r w:rsidDel="00000000" w:rsidR="00000000" w:rsidRPr="00000000">
        <w:rPr>
          <w:b w:val="1"/>
          <w:bCs w:val="1"/>
          <w:rtl w:val="0"/>
        </w:rPr>
        <w:t xml:space="preserve">Thompson Law</w:t>
      </w:r>
      <w:r w:rsidDel="00000000" w:rsidR="00000000" w:rsidRPr="00000000">
        <w:rPr>
          <w:rtl w:val="0"/>
        </w:rPr>
        <w:t xml:space="preserve"> | Auto/truck collisions | 1-800-LION-LAW brand; volume leader | 8 || </w:t>
      </w:r>
      <w:r w:rsidDel="00000000" w:rsidR="00000000" w:rsidRPr="00000000">
        <w:rPr>
          <w:b w:val="1"/>
          <w:bCs w:val="1"/>
          <w:rtl w:val="0"/>
        </w:rPr>
        <w:t xml:space="preserve">Sutliff &amp; Stout</w:t>
      </w:r>
      <w:r w:rsidDel="00000000" w:rsidR="00000000" w:rsidRPr="00000000">
        <w:rPr>
          <w:rtl w:val="0"/>
        </w:rPr>
        <w:t xml:space="preserve"> | Catastrophic PI, trucking | Multi-office Texas presence; settlement track record | 8 || </w:t>
      </w:r>
      <w:r w:rsidDel="00000000" w:rsidR="00000000" w:rsidRPr="00000000">
        <w:rPr>
          <w:b w:val="1"/>
          <w:bCs w:val="1"/>
          <w:rtl w:val="0"/>
        </w:rPr>
        <w:t xml:space="preserve">Gray Reed</w:t>
      </w:r>
      <w:r w:rsidDel="00000000" w:rsidR="00000000" w:rsidRPr="00000000">
        <w:rPr>
          <w:rtl w:val="0"/>
        </w:rPr>
        <w:t xml:space="preserve"> | Litigation, selective PI | Full-service platform; Texas-only strength | 8 || </w:t>
      </w:r>
      <w:r w:rsidDel="00000000" w:rsidR="00000000" w:rsidRPr="00000000">
        <w:rPr>
          <w:b w:val="1"/>
          <w:bCs w:val="1"/>
          <w:rtl w:val="0"/>
        </w:rPr>
        <w:t xml:space="preserve">Kelly Hart &amp; Hallman</w:t>
      </w:r>
      <w:r w:rsidDel="00000000" w:rsidR="00000000" w:rsidRPr="00000000">
        <w:rPr>
          <w:rtl w:val="0"/>
        </w:rPr>
        <w:t xml:space="preserve"> | Litigation, selective PI | Large-firm infrastructure; corporate network | 8 || </w:t>
      </w:r>
      <w:r w:rsidDel="00000000" w:rsidR="00000000" w:rsidRPr="00000000">
        <w:rPr>
          <w:b w:val="1"/>
          <w:bCs w:val="1"/>
          <w:rtl w:val="0"/>
        </w:rPr>
        <w:t xml:space="preserve">Porter Hedges</w:t>
      </w:r>
      <w:r w:rsidDel="00000000" w:rsidR="00000000" w:rsidRPr="00000000">
        <w:rPr>
          <w:rtl w:val="0"/>
        </w:rPr>
        <w:t xml:space="preserve"> | Litigation, selective PI | Corporate-litigation platform; referral reach | 8 || </w:t>
      </w:r>
      <w:r w:rsidDel="00000000" w:rsidR="00000000" w:rsidRPr="00000000">
        <w:rPr>
          <w:b w:val="1"/>
          <w:bCs w:val="1"/>
          <w:rtl w:val="0"/>
        </w:rPr>
        <w:t xml:space="preserve">Angel Reyes &amp; Associates</w:t>
      </w:r>
      <w:r w:rsidDel="00000000" w:rsidR="00000000" w:rsidRPr="00000000">
        <w:rPr>
          <w:rtl w:val="0"/>
        </w:rPr>
        <w:t xml:space="preserve"> | Auto, truck, rideshare, motorcycle | Massive consumer brand; Hispanic market leadership | 7 || </w:t>
      </w:r>
      <w:r w:rsidDel="00000000" w:rsidR="00000000" w:rsidRPr="00000000">
        <w:rPr>
          <w:b w:val="1"/>
          <w:bCs w:val="1"/>
          <w:rtl w:val="0"/>
        </w:rPr>
        <w:t xml:space="preserve">Ben Martin Law Group</w:t>
      </w:r>
      <w:r w:rsidDel="00000000" w:rsidR="00000000" w:rsidRPr="00000000">
        <w:rPr>
          <w:rtl w:val="0"/>
        </w:rPr>
        <w:t xml:space="preserve"> | PI litigation plaintiffs | Strong DFW peer recognition; litigation positioning | 7 || </w:t>
      </w:r>
      <w:r w:rsidDel="00000000" w:rsidR="00000000" w:rsidRPr="00000000">
        <w:rPr>
          <w:b w:val="1"/>
          <w:bCs w:val="1"/>
          <w:rtl w:val="0"/>
        </w:rPr>
        <w:t xml:space="preserve">Lyons &amp; Simmons</w:t>
      </w:r>
      <w:r w:rsidDel="00000000" w:rsidR="00000000" w:rsidRPr="00000000">
        <w:rPr>
          <w:rtl w:val="0"/>
        </w:rPr>
        <w:t xml:space="preserve"> | PI litigation plaintiffs | DFW brand strength; trial credibility | 7 || </w:t>
      </w:r>
      <w:r w:rsidDel="00000000" w:rsidR="00000000" w:rsidRPr="00000000">
        <w:rPr>
          <w:b w:val="1"/>
          <w:bCs w:val="1"/>
          <w:rtl w:val="0"/>
        </w:rPr>
        <w:t xml:space="preserve">Miller Weisbrod Olesky</w:t>
      </w:r>
      <w:r w:rsidDel="00000000" w:rsidR="00000000" w:rsidRPr="00000000">
        <w:rPr>
          <w:rtl w:val="0"/>
        </w:rPr>
        <w:t xml:space="preserve"> | Complex PI, birth injury, trucking | Niche specialization; medical provider relations | 7 || </w:t>
      </w:r>
      <w:r w:rsidDel="00000000" w:rsidR="00000000" w:rsidRPr="00000000">
        <w:rPr>
          <w:b w:val="1"/>
          <w:bCs w:val="1"/>
          <w:rtl w:val="0"/>
        </w:rPr>
        <w:t xml:space="preserve">Blizzard Greenberg</w:t>
      </w:r>
      <w:r w:rsidDel="00000000" w:rsidR="00000000" w:rsidRPr="00000000">
        <w:rPr>
          <w:rtl w:val="0"/>
        </w:rPr>
        <w:t xml:space="preserve"> | Mass torts, PI | Tier-1 credibility; national recognition | 7 || </w:t>
      </w:r>
      <w:r w:rsidDel="00000000" w:rsidR="00000000" w:rsidRPr="00000000">
        <w:rPr>
          <w:b w:val="1"/>
          <w:bCs w:val="1"/>
          <w:rtl w:val="0"/>
        </w:rPr>
        <w:t xml:space="preserve">Provost Umphrey Law Firm</w:t>
      </w:r>
      <w:r w:rsidDel="00000000" w:rsidR="00000000" w:rsidRPr="00000000">
        <w:rPr>
          <w:rtl w:val="0"/>
        </w:rPr>
        <w:t xml:space="preserve"> | PI, mass torts, complex litigation | High-value trial results; niche positioning | 7 || </w:t>
      </w:r>
      <w:r w:rsidDel="00000000" w:rsidR="00000000" w:rsidRPr="00000000">
        <w:rPr>
          <w:b w:val="1"/>
          <w:bCs w:val="1"/>
          <w:rtl w:val="0"/>
        </w:rPr>
        <w:t xml:space="preserve">The Ammons Law Firm</w:t>
      </w:r>
      <w:r w:rsidDel="00000000" w:rsidR="00000000" w:rsidRPr="00000000">
        <w:rPr>
          <w:rtl w:val="0"/>
        </w:rPr>
        <w:t xml:space="preserve"> | Catastrophic, trucking, wrongful death | Quality over volume; statewide work | 6 || </w:t>
      </w:r>
      <w:r w:rsidDel="00000000" w:rsidR="00000000" w:rsidRPr="00000000">
        <w:rPr>
          <w:b w:val="1"/>
          <w:bCs w:val="1"/>
          <w:rtl w:val="0"/>
        </w:rPr>
        <w:t xml:space="preserve">Hartline Barger</w:t>
      </w:r>
      <w:r w:rsidDel="00000000" w:rsidR="00000000" w:rsidRPr="00000000">
        <w:rPr>
          <w:rtl w:val="0"/>
        </w:rPr>
        <w:t xml:space="preserve"> | PI litigation plaintiffs | Regional strength; established referral base | 6 || </w:t>
      </w:r>
      <w:r w:rsidDel="00000000" w:rsidR="00000000" w:rsidRPr="00000000">
        <w:rPr>
          <w:b w:val="1"/>
          <w:bCs w:val="1"/>
          <w:rtl w:val="0"/>
        </w:rPr>
        <w:t xml:space="preserve">Brooker Law</w:t>
      </w:r>
      <w:r w:rsidDel="00000000" w:rsidR="00000000" w:rsidRPr="00000000">
        <w:rPr>
          <w:rtl w:val="0"/>
        </w:rPr>
        <w:t xml:space="preserve"> | PI litigation plaintiffs | DFW boutique positioning; peer recognition | 6 || </w:t>
      </w:r>
      <w:r w:rsidDel="00000000" w:rsidR="00000000" w:rsidRPr="00000000">
        <w:rPr>
          <w:b w:val="1"/>
          <w:bCs w:val="1"/>
          <w:rtl w:val="0"/>
        </w:rPr>
        <w:t xml:space="preserve">Crosley Law Firm</w:t>
      </w:r>
      <w:r w:rsidDel="00000000" w:rsidR="00000000" w:rsidRPr="00000000">
        <w:rPr>
          <w:rtl w:val="0"/>
        </w:rPr>
        <w:t xml:space="preserve"> | PI plaintiffs | Strong Houston positioning; ranking | 6 || </w:t>
      </w:r>
      <w:r w:rsidDel="00000000" w:rsidR="00000000" w:rsidRPr="00000000">
        <w:rPr>
          <w:b w:val="1"/>
          <w:bCs w:val="1"/>
          <w:rtl w:val="0"/>
        </w:rPr>
        <w:t xml:space="preserve">McCathern Law</w:t>
      </w:r>
      <w:r w:rsidDel="00000000" w:rsidR="00000000" w:rsidRPr="00000000">
        <w:rPr>
          <w:rtl w:val="0"/>
        </w:rPr>
        <w:t xml:space="preserve"> | PI, mass torts | Litigation platform with notable settlement wins | 6 |</w:t>
      </w:r>
    </w:p>
    <w:p w:rsidR="00000000" w:rsidDel="00000000" w:rsidP="00000000" w:rsidRDefault="00000000" w:rsidRPr="00000000" w14:paraId="00000004">
      <w:pPr>
        <w:rPr/>
      </w:pPr>
      <w:r w:rsidDel="00000000" w:rsidR="00000000" w:rsidRPr="00000000">
        <w:rPr>
          <w:rtl w:val="0"/>
        </w:rPr>
        <w:t xml:space="preserve">For smaller firms attempting to enter this ecosystem, the most effective entry wedges involve hyper-localization and specialized service capacity:</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Hyper-Local SEO and LSA:</w:t>
      </w:r>
      <w:r w:rsidDel="00000000" w:rsidR="00000000" w:rsidRPr="00000000">
        <w:rPr>
          <w:rtl w:val="0"/>
        </w:rPr>
        <w:t xml:space="preserve">  Focusing on specific counties or metros (e.g., Houston rear-end MVAs) to compete on relevance rather than raw spend.</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Spanish-Language Capacity:</w:t>
      </w:r>
      <w:r w:rsidDel="00000000" w:rsidR="00000000" w:rsidRPr="00000000">
        <w:rPr>
          <w:rtl w:val="0"/>
        </w:rPr>
        <w:t xml:space="preserve">  Capturing the underserved Hispanic market through bilingual intake and targeted messaging, particularly in DFW and the Rio Grande Valley.</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Niche Claim Specialization:</w:t>
      </w:r>
      <w:r w:rsidDel="00000000" w:rsidR="00000000" w:rsidRPr="00000000">
        <w:rPr>
          <w:rtl w:val="0"/>
        </w:rPr>
        <w:t xml:space="preserve">  Building a reputation in narrow lanes like trucking, slip-and-fall, or medical provider referrals to bypass broad-market competition.As elite firms solidify their dominance through brand saturation, the strategic battlefield has shifted from lead volume to the clinical efficiency of intake operations.</w:t>
      </w:r>
    </w:p>
    <w:p w:rsidR="00000000" w:rsidDel="00000000" w:rsidP="00000000" w:rsidRDefault="00000000" w:rsidRPr="00000000" w14:paraId="00000008">
      <w:pPr>
        <w:pStyle w:val="Heading4"/>
        <w:rPr/>
      </w:pPr>
      <w:bookmarkStart w:colFirst="0" w:colLast="0" w:name="_j03ust8mcr9" w:id="2"/>
      <w:bookmarkEnd w:id="2"/>
      <w:r w:rsidDel="00000000" w:rsidR="00000000" w:rsidRPr="00000000">
        <w:rPr>
          <w:rtl w:val="0"/>
        </w:rPr>
        <w:t xml:space="preserve">2. The Intake Crisis: Identifying Bottlenecks and Modern Solutions</w:t>
      </w:r>
    </w:p>
    <w:p w:rsidR="00000000" w:rsidDel="00000000" w:rsidP="00000000" w:rsidRDefault="00000000" w:rsidRPr="00000000" w14:paraId="00000009">
      <w:pPr>
        <w:rPr/>
      </w:pPr>
      <w:r w:rsidDel="00000000" w:rsidR="00000000" w:rsidRPr="00000000">
        <w:rPr>
          <w:rtl w:val="0"/>
        </w:rPr>
        <w:t xml:space="preserve">Intake is the "leaky bucket" of legal marketing. Even the most sophisticated advertising campaigns fail if the conversion process is structurally flawed. Strategic failure in intake often stems from poor response times—where a delay of just minutes can slash conversion rates by half—and compromised data integrity, which creates friction throughout the entire life of a case. For a strategist, intake is not a secretarial task; it is a revenue-retention engine.The common pain points in Texas PI firms cluster into five thematic categories:</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Speed and Responsiveness:</w:t>
      </w:r>
      <w:r w:rsidDel="00000000" w:rsidR="00000000" w:rsidRPr="00000000">
        <w:rPr>
          <w:rtl w:val="0"/>
        </w:rPr>
        <w:t xml:space="preserve">  Missed calls and slow response times lose the lead before contact is made.</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Data Fragmentation:</w:t>
      </w:r>
      <w:r w:rsidDel="00000000" w:rsidR="00000000" w:rsidRPr="00000000">
        <w:rPr>
          <w:rtl w:val="0"/>
        </w:rPr>
        <w:t xml:space="preserve">  Excessive manual data entry and re-typing across systems leads to incomplete or inaccurate data that plagues the file during litigation.</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Follow-up Inconsistency:</w:t>
      </w:r>
      <w:r w:rsidDel="00000000" w:rsidR="00000000" w:rsidRPr="00000000">
        <w:rPr>
          <w:rtl w:val="0"/>
        </w:rPr>
        <w:t xml:space="preserve">  Disjointed workflows across email, phone, and CRM result in no structured cadence for non-responders.</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Visibility and Tracking:</w:t>
      </w:r>
      <w:r w:rsidDel="00000000" w:rsidR="00000000" w:rsidRPr="00000000">
        <w:rPr>
          <w:rtl w:val="0"/>
        </w:rPr>
        <w:t xml:space="preserve">  Leads are not tracked well enough to identify their stage, making it impossible to calculate marketing ROI accurately.</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Customer Experience Friction:</w:t>
      </w:r>
      <w:r w:rsidDel="00000000" w:rsidR="00000000" w:rsidRPr="00000000">
        <w:rPr>
          <w:rtl w:val="0"/>
        </w:rPr>
        <w:t xml:space="preserve">  Static forms that behave like documents rather than conversations cause potential clients to drop off during the capture phase.High-performing firms differentiate themselves by transitioning from human-heavy manual processes to integrated, AI-assisted stacks. Real-world proof of this shift is found in firms like  </w:t>
      </w:r>
      <w:r w:rsidDel="00000000" w:rsidR="00000000" w:rsidRPr="00000000">
        <w:rPr>
          <w:b w:val="1"/>
          <w:bCs w:val="1"/>
          <w:rtl w:val="0"/>
        </w:rPr>
        <w:t xml:space="preserve">Phillips Law</w:t>
      </w:r>
      <w:r w:rsidDel="00000000" w:rsidR="00000000" w:rsidRPr="00000000">
        <w:rPr>
          <w:rtl w:val="0"/>
        </w:rPr>
        <w:t xml:space="preserve"> , which cut intake processing time by 50%, and  </w:t>
      </w:r>
      <w:r w:rsidDel="00000000" w:rsidR="00000000" w:rsidRPr="00000000">
        <w:rPr>
          <w:b w:val="1"/>
          <w:bCs w:val="1"/>
          <w:rtl w:val="0"/>
        </w:rPr>
        <w:t xml:space="preserve">Angel Reyes &amp; Associates</w:t>
      </w:r>
      <w:r w:rsidDel="00000000" w:rsidR="00000000" w:rsidRPr="00000000">
        <w:rPr>
          <w:rtl w:val="0"/>
        </w:rPr>
        <w:t xml:space="preserve"> , which realized a 15% increase in intake conversions after centralizing their workflows.</w:t>
      </w:r>
      <w:r w:rsidDel="00000000" w:rsidR="00000000" w:rsidRPr="00000000">
        <w:rPr>
          <w:b w:val="1"/>
          <w:bCs w:val="1"/>
          <w:rtl w:val="0"/>
        </w:rPr>
        <w:t xml:space="preserve">Standard Firm Workflow:</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Manual Callbacks:</w:t>
      </w:r>
      <w:r w:rsidDel="00000000" w:rsidR="00000000" w:rsidRPr="00000000">
        <w:rPr>
          <w:rtl w:val="0"/>
        </w:rPr>
        <w:t xml:space="preserve">  Staff calls back leads as they arrive, often with significant delays.</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Static Intake Forms:</w:t>
      </w:r>
      <w:r w:rsidDel="00000000" w:rsidR="00000000" w:rsidRPr="00000000">
        <w:rPr>
          <w:rtl w:val="0"/>
        </w:rPr>
        <w:t xml:space="preserve">  Generic web forms that require manual transcription into a CRM.</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Subjective Lead Routing:</w:t>
      </w:r>
      <w:r w:rsidDel="00000000" w:rsidR="00000000" w:rsidRPr="00000000">
        <w:rPr>
          <w:rtl w:val="0"/>
        </w:rPr>
        <w:t xml:space="preserve">  Leads are assigned based on staff availability rather than case value or urgency.</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Disconnected Documentation:</w:t>
      </w:r>
      <w:r w:rsidDel="00000000" w:rsidR="00000000" w:rsidRPr="00000000">
        <w:rPr>
          <w:rtl w:val="0"/>
        </w:rPr>
        <w:t xml:space="preserve">  Notes are scattered across emails and paper files without a durable system of record.</w:t>
      </w:r>
      <w:r w:rsidDel="00000000" w:rsidR="00000000" w:rsidRPr="00000000">
        <w:rPr>
          <w:b w:val="1"/>
          <w:bCs w:val="1"/>
          <w:rtl w:val="0"/>
        </w:rPr>
        <w:t xml:space="preserve">High-Performing Firm Stack:</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Instant Response:</w:t>
      </w:r>
      <w:r w:rsidDel="00000000" w:rsidR="00000000" w:rsidRPr="00000000">
        <w:rPr>
          <w:rtl w:val="0"/>
        </w:rPr>
        <w:t xml:space="preserve">  Responses occur in minutes, utilizing AI receptionists or immediate SMS acknowledgments to "lock" the lead.</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Conversational AI Intake:</w:t>
      </w:r>
      <w:r w:rsidDel="00000000" w:rsidR="00000000" w:rsidRPr="00000000">
        <w:rPr>
          <w:rtl w:val="0"/>
        </w:rPr>
        <w:t xml:space="preserve">  Structured data is captured via AI and pushed directly into the CRM without manual re-typing.</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Automated Lead Scoring:</w:t>
      </w:r>
      <w:r w:rsidDel="00000000" w:rsidR="00000000" w:rsidRPr="00000000">
        <w:rPr>
          <w:rtl w:val="0"/>
        </w:rPr>
        <w:t xml:space="preserve">  Routing logic prioritizes high-value matters (e.g., commercial trucking) for immediate partner or senior rep attention.</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Auto-Documentation:</w:t>
      </w:r>
      <w:r w:rsidDel="00000000" w:rsidR="00000000" w:rsidRPr="00000000">
        <w:rPr>
          <w:rtl w:val="0"/>
        </w:rPr>
        <w:t xml:space="preserve">  Call transcripts, recordings, and client portal entries create a durable, conflict-aware system of record from second one.The "Best-Practice Stack" for modern Texas PI intake involves an integrated operational overhaul:  </w:t>
      </w:r>
      <w:r w:rsidDel="00000000" w:rsidR="00000000" w:rsidRPr="00000000">
        <w:rPr>
          <w:b w:val="1"/>
          <w:bCs w:val="1"/>
          <w:rtl w:val="0"/>
        </w:rPr>
        <w:t xml:space="preserve">Live Answer</w:t>
      </w:r>
      <w:r w:rsidDel="00000000" w:rsidR="00000000" w:rsidRPr="00000000">
        <w:rPr>
          <w:rtl w:val="0"/>
        </w:rPr>
        <w:t xml:space="preserve">  for immediate human connection,  </w:t>
      </w:r>
      <w:r w:rsidDel="00000000" w:rsidR="00000000" w:rsidRPr="00000000">
        <w:rPr>
          <w:b w:val="1"/>
          <w:bCs w:val="1"/>
          <w:rtl w:val="0"/>
        </w:rPr>
        <w:t xml:space="preserve">Automated SMS</w:t>
      </w:r>
      <w:r w:rsidDel="00000000" w:rsidR="00000000" w:rsidRPr="00000000">
        <w:rPr>
          <w:rtl w:val="0"/>
        </w:rPr>
        <w:t xml:space="preserve">  for instant engagement,  </w:t>
      </w:r>
      <w:r w:rsidDel="00000000" w:rsidR="00000000" w:rsidRPr="00000000">
        <w:rPr>
          <w:b w:val="1"/>
          <w:bCs w:val="1"/>
          <w:rtl w:val="0"/>
        </w:rPr>
        <w:t xml:space="preserve">CRM Auto-logging</w:t>
      </w:r>
      <w:r w:rsidDel="00000000" w:rsidR="00000000" w:rsidRPr="00000000">
        <w:rPr>
          <w:rtl w:val="0"/>
        </w:rPr>
        <w:t xml:space="preserve">  to eliminate manual entry, and  </w:t>
      </w:r>
      <w:r w:rsidDel="00000000" w:rsidR="00000000" w:rsidRPr="00000000">
        <w:rPr>
          <w:b w:val="1"/>
          <w:bCs w:val="1"/>
          <w:rtl w:val="0"/>
        </w:rPr>
        <w:t xml:space="preserve">Lead Scoring</w:t>
      </w:r>
      <w:r w:rsidDel="00000000" w:rsidR="00000000" w:rsidRPr="00000000">
        <w:rPr>
          <w:rtl w:val="0"/>
        </w:rPr>
        <w:t xml:space="preserve">  to signal priority to the litigation team. This evolution in intake theory is enabled by a new generation of legal-specific AI and software platforms.</w:t>
      </w:r>
    </w:p>
    <w:p w:rsidR="00000000" w:rsidDel="00000000" w:rsidP="00000000" w:rsidRDefault="00000000" w:rsidRPr="00000000" w14:paraId="00000017">
      <w:pPr>
        <w:pStyle w:val="Heading4"/>
        <w:rPr/>
      </w:pPr>
      <w:bookmarkStart w:colFirst="0" w:colLast="0" w:name="_1e9vpfamz4h" w:id="3"/>
      <w:bookmarkEnd w:id="3"/>
      <w:r w:rsidDel="00000000" w:rsidR="00000000" w:rsidRPr="00000000">
        <w:rPr>
          <w:rtl w:val="0"/>
        </w:rPr>
        <w:t xml:space="preserve">3. Technology &amp; CRM Ecosystem: Costs and Compliance</w:t>
      </w:r>
    </w:p>
    <w:p w:rsidR="00000000" w:rsidDel="00000000" w:rsidP="00000000" w:rsidRDefault="00000000" w:rsidRPr="00000000" w14:paraId="00000018">
      <w:pPr>
        <w:rPr/>
      </w:pPr>
      <w:r w:rsidDel="00000000" w:rsidR="00000000" w:rsidRPr="00000000">
        <w:rPr>
          <w:rtl w:val="0"/>
        </w:rPr>
        <w:t xml:space="preserve">A firm’s CRM serves as its "System of Record," and the choice of platform involves a critical trade-off between enterprise-grade power and solo-firm agility. While powerhouses like Litify offer deep customization, they come with higher implementation costs compared to more nimble tools like Clio or MyCase.| Platform | Public Starting Price | Ideal User Count / Scale || ------ | ------ | ------ || </w:t>
      </w:r>
      <w:r w:rsidDel="00000000" w:rsidR="00000000" w:rsidRPr="00000000">
        <w:rPr>
          <w:b w:val="1"/>
          <w:bCs w:val="1"/>
          <w:rtl w:val="0"/>
        </w:rPr>
        <w:t xml:space="preserve">Litify</w:t>
      </w:r>
      <w:r w:rsidDel="00000000" w:rsidR="00000000" w:rsidRPr="00000000">
        <w:rPr>
          <w:rtl w:val="0"/>
        </w:rPr>
        <w:t xml:space="preserve"> | ~$150/mo per user | Enterprise; multiple teams; high-volume automation || </w:t>
      </w:r>
      <w:r w:rsidDel="00000000" w:rsidR="00000000" w:rsidRPr="00000000">
        <w:rPr>
          <w:b w:val="1"/>
          <w:bCs w:val="1"/>
          <w:rtl w:val="0"/>
        </w:rPr>
        <w:t xml:space="preserve">Filevine</w:t>
      </w:r>
      <w:r w:rsidDel="00000000" w:rsidR="00000000" w:rsidRPr="00000000">
        <w:rPr>
          <w:rtl w:val="0"/>
        </w:rPr>
        <w:t xml:space="preserve"> | ~$109/mo per user | Mid-market; 10-30 users with growing complexity || </w:t>
      </w:r>
      <w:r w:rsidDel="00000000" w:rsidR="00000000" w:rsidRPr="00000000">
        <w:rPr>
          <w:b w:val="1"/>
          <w:bCs w:val="1"/>
          <w:rtl w:val="0"/>
        </w:rPr>
        <w:t xml:space="preserve">Clio</w:t>
      </w:r>
      <w:r w:rsidDel="00000000" w:rsidR="00000000" w:rsidRPr="00000000">
        <w:rPr>
          <w:rtl w:val="0"/>
        </w:rPr>
        <w:t xml:space="preserve"> | ~$49/mo per user | Solo to small firms; high flexibility and ecosystem || </w:t>
      </w:r>
      <w:r w:rsidDel="00000000" w:rsidR="00000000" w:rsidRPr="00000000">
        <w:rPr>
          <w:b w:val="1"/>
          <w:bCs w:val="1"/>
          <w:rtl w:val="0"/>
        </w:rPr>
        <w:t xml:space="preserve">MyCase</w:t>
      </w:r>
      <w:r w:rsidDel="00000000" w:rsidR="00000000" w:rsidRPr="00000000">
        <w:rPr>
          <w:rtl w:val="0"/>
        </w:rPr>
        <w:t xml:space="preserve"> | ~$39/mo per user | Solos; lowest friction and high value |</w:t>
      </w:r>
    </w:p>
    <w:p w:rsidR="00000000" w:rsidDel="00000000" w:rsidP="00000000" w:rsidRDefault="00000000" w:rsidRPr="00000000" w14:paraId="00000019">
      <w:pPr>
        <w:rPr/>
      </w:pPr>
      <w:r w:rsidDel="00000000" w:rsidR="00000000" w:rsidRPr="00000000">
        <w:rPr>
          <w:rtl w:val="0"/>
        </w:rPr>
        <w:t xml:space="preserve">Texas firms should maximize overhead efficiency by leveraging specialized discounts available through the  </w:t>
      </w:r>
      <w:r w:rsidDel="00000000" w:rsidR="00000000" w:rsidRPr="00000000">
        <w:rPr>
          <w:b w:val="1"/>
          <w:bCs w:val="1"/>
          <w:rtl w:val="0"/>
        </w:rPr>
        <w:t xml:space="preserve">State Bar of Texas</w:t>
      </w:r>
      <w:r w:rsidDel="00000000" w:rsidR="00000000" w:rsidRPr="00000000">
        <w:rPr>
          <w:rtl w:val="0"/>
        </w:rPr>
        <w:t xml:space="preserve"> :</w:t>
      </w:r>
    </w:p>
    <w:p w:rsidR="00000000" w:rsidDel="00000000" w:rsidP="00000000" w:rsidRDefault="00000000" w:rsidRPr="00000000" w14:paraId="0000001A">
      <w:pPr>
        <w:numPr>
          <w:ilvl w:val="0"/>
          <w:numId w:val="9"/>
        </w:numPr>
        <w:ind w:left="720" w:hanging="360"/>
        <w:rPr>
          <w:u w:val="none"/>
        </w:rPr>
      </w:pPr>
      <w:r w:rsidDel="00000000" w:rsidR="00000000" w:rsidRPr="00000000">
        <w:rPr>
          <w:b w:val="1"/>
          <w:bCs w:val="1"/>
          <w:rtl w:val="0"/>
        </w:rPr>
        <w:t xml:space="preserve">10% Subscription Discount:</w:t>
      </w:r>
      <w:r w:rsidDel="00000000" w:rsidR="00000000" w:rsidRPr="00000000">
        <w:rPr>
          <w:rtl w:val="0"/>
        </w:rPr>
        <w:t xml:space="preserve">  Available for Smokeball, Lawmatics, and CosmoLex.</w:t>
      </w:r>
    </w:p>
    <w:p w:rsidR="00000000" w:rsidDel="00000000" w:rsidP="00000000" w:rsidRDefault="00000000" w:rsidRPr="00000000" w14:paraId="0000001B">
      <w:pPr>
        <w:numPr>
          <w:ilvl w:val="0"/>
          <w:numId w:val="9"/>
        </w:numPr>
        <w:ind w:left="720" w:hanging="360"/>
        <w:rPr>
          <w:u w:val="none"/>
        </w:rPr>
      </w:pPr>
      <w:r w:rsidDel="00000000" w:rsidR="00000000" w:rsidRPr="00000000">
        <w:rPr>
          <w:b w:val="1"/>
          <w:bCs w:val="1"/>
          <w:rtl w:val="0"/>
        </w:rPr>
        <w:t xml:space="preserve">10% Lifetime Discount:</w:t>
      </w:r>
      <w:r w:rsidDel="00000000" w:rsidR="00000000" w:rsidRPr="00000000">
        <w:rPr>
          <w:rtl w:val="0"/>
        </w:rPr>
        <w:t xml:space="preserve">  Specifically available for  </w:t>
      </w:r>
      <w:r w:rsidDel="00000000" w:rsidR="00000000" w:rsidRPr="00000000">
        <w:rPr>
          <w:b w:val="1"/>
          <w:bCs w:val="1"/>
          <w:rtl w:val="0"/>
        </w:rPr>
        <w:t xml:space="preserve">Rocket Matter</w:t>
      </w:r>
      <w:r w:rsidDel="00000000" w:rsidR="00000000" w:rsidRPr="00000000">
        <w:rPr>
          <w:rtl w:val="0"/>
        </w:rPr>
        <w:t xml:space="preserve">  members.</w:t>
      </w:r>
    </w:p>
    <w:p w:rsidR="00000000" w:rsidDel="00000000" w:rsidP="00000000" w:rsidRDefault="00000000" w:rsidRPr="00000000" w14:paraId="0000001C">
      <w:pPr>
        <w:numPr>
          <w:ilvl w:val="0"/>
          <w:numId w:val="9"/>
        </w:numPr>
        <w:ind w:left="720" w:hanging="360"/>
        <w:rPr>
          <w:u w:val="none"/>
        </w:rPr>
      </w:pPr>
      <w:r w:rsidDel="00000000" w:rsidR="00000000" w:rsidRPr="00000000">
        <w:rPr>
          <w:b w:val="1"/>
          <w:bCs w:val="1"/>
          <w:rtl w:val="0"/>
        </w:rPr>
        <w:t xml:space="preserve">Smokeball Bill:</w:t>
      </w:r>
      <w:r w:rsidDel="00000000" w:rsidR="00000000" w:rsidRPr="00000000">
        <w:rPr>
          <w:rtl w:val="0"/>
        </w:rPr>
        <w:t xml:space="preserve">  Provided for free to Texas lawyers for trust accounting and billing compliance.For firms utilizing Clio, maintaining  </w:t>
      </w:r>
      <w:r w:rsidDel="00000000" w:rsidR="00000000" w:rsidRPr="00000000">
        <w:rPr>
          <w:b w:val="1"/>
          <w:bCs w:val="1"/>
          <w:rtl w:val="0"/>
        </w:rPr>
        <w:t xml:space="preserve">Texas IOLTA trust accounting compliance</w:t>
      </w:r>
      <w:r w:rsidDel="00000000" w:rsidR="00000000" w:rsidRPr="00000000">
        <w:rPr>
          <w:rtl w:val="0"/>
        </w:rPr>
        <w:t xml:space="preserve">  is simplified through several specialized features:</w:t>
      </w:r>
    </w:p>
    <w:p w:rsidR="00000000" w:rsidDel="00000000" w:rsidP="00000000" w:rsidRDefault="00000000" w:rsidRPr="00000000" w14:paraId="0000001D">
      <w:pPr>
        <w:numPr>
          <w:ilvl w:val="0"/>
          <w:numId w:val="7"/>
        </w:numPr>
        <w:ind w:left="720" w:hanging="360"/>
        <w:rPr>
          <w:u w:val="none"/>
        </w:rPr>
      </w:pPr>
      <w:r w:rsidDel="00000000" w:rsidR="00000000" w:rsidRPr="00000000">
        <w:rPr>
          <w:b w:val="1"/>
          <w:bCs w:val="1"/>
          <w:rtl w:val="0"/>
        </w:rPr>
        <w:t xml:space="preserve">Separate Ledgers:</w:t>
      </w:r>
      <w:r w:rsidDel="00000000" w:rsidR="00000000" w:rsidRPr="00000000">
        <w:rPr>
          <w:rtl w:val="0"/>
        </w:rPr>
        <w:t xml:space="preserve">  Distinct tracking for trust and operating funds to prevent commingling.</w:t>
      </w:r>
    </w:p>
    <w:p w:rsidR="00000000" w:rsidDel="00000000" w:rsidP="00000000" w:rsidRDefault="00000000" w:rsidRPr="00000000" w14:paraId="0000001E">
      <w:pPr>
        <w:numPr>
          <w:ilvl w:val="0"/>
          <w:numId w:val="7"/>
        </w:numPr>
        <w:ind w:left="720" w:hanging="360"/>
        <w:rPr>
          <w:u w:val="none"/>
        </w:rPr>
      </w:pPr>
      <w:r w:rsidDel="00000000" w:rsidR="00000000" w:rsidRPr="00000000">
        <w:rPr>
          <w:b w:val="1"/>
          <w:bCs w:val="1"/>
          <w:rtl w:val="0"/>
        </w:rPr>
        <w:t xml:space="preserve">Three-Way Reconciliation:</w:t>
      </w:r>
      <w:r w:rsidDel="00000000" w:rsidR="00000000" w:rsidRPr="00000000">
        <w:rPr>
          <w:rtl w:val="0"/>
        </w:rPr>
        <w:t xml:space="preserve">  Tools to match bank balances, trust ledgers, and client ledgers to meet quarterly and monthly audit standards.</w:t>
      </w:r>
    </w:p>
    <w:p w:rsidR="00000000" w:rsidDel="00000000" w:rsidP="00000000" w:rsidRDefault="00000000" w:rsidRPr="00000000" w14:paraId="0000001F">
      <w:pPr>
        <w:numPr>
          <w:ilvl w:val="0"/>
          <w:numId w:val="7"/>
        </w:numPr>
        <w:ind w:left="720" w:hanging="360"/>
        <w:rPr>
          <w:u w:val="none"/>
        </w:rPr>
      </w:pPr>
      <w:r w:rsidDel="00000000" w:rsidR="00000000" w:rsidRPr="00000000">
        <w:rPr>
          <w:b w:val="1"/>
          <w:bCs w:val="1"/>
          <w:rtl w:val="0"/>
        </w:rPr>
        <w:t xml:space="preserve">Client-Specific Reporting:</w:t>
      </w:r>
      <w:r w:rsidDel="00000000" w:rsidR="00000000" w:rsidRPr="00000000">
        <w:rPr>
          <w:rtl w:val="0"/>
        </w:rPr>
        <w:t xml:space="preserve">  Automated transaction logs and balances displayed on every invoice to avoid the over-disbursement of client funds.Software choice is a foundational step, but it must be balanced against the hidden costs of lead acquisition.</w:t>
      </w:r>
    </w:p>
    <w:p w:rsidR="00000000" w:rsidDel="00000000" w:rsidP="00000000" w:rsidRDefault="00000000" w:rsidRPr="00000000" w14:paraId="00000020">
      <w:pPr>
        <w:pStyle w:val="Heading4"/>
        <w:rPr/>
      </w:pPr>
      <w:bookmarkStart w:colFirst="0" w:colLast="0" w:name="_ez3elriczslj" w:id="4"/>
      <w:bookmarkEnd w:id="4"/>
      <w:r w:rsidDel="00000000" w:rsidR="00000000" w:rsidRPr="00000000">
        <w:rPr>
          <w:rtl w:val="0"/>
        </w:rPr>
        <w:t xml:space="preserve">4. Lead Generation Dynamics: Acquisition Models and Hidden Costs</w:t>
      </w:r>
    </w:p>
    <w:p w:rsidR="00000000" w:rsidDel="00000000" w:rsidP="00000000" w:rsidRDefault="00000000" w:rsidRPr="00000000" w14:paraId="00000021">
      <w:pPr>
        <w:rPr/>
      </w:pPr>
      <w:r w:rsidDel="00000000" w:rsidR="00000000" w:rsidRPr="00000000">
        <w:rPr>
          <w:rtl w:val="0"/>
        </w:rPr>
        <w:t xml:space="preserve">The metric of truth for a Texas PI firm is the pivot from Cost-Per-Lead (CPL) to the  </w:t>
      </w:r>
      <w:r w:rsidDel="00000000" w:rsidR="00000000" w:rsidRPr="00000000">
        <w:rPr>
          <w:b w:val="1"/>
          <w:bCs w:val="1"/>
          <w:rtl w:val="0"/>
        </w:rPr>
        <w:t xml:space="preserve">Cost-Per-Signed-Case (CPSC)</w:t>
      </w:r>
      <w:r w:rsidDel="00000000" w:rsidR="00000000" w:rsidRPr="00000000">
        <w:rPr>
          <w:rtl w:val="0"/>
        </w:rPr>
        <w:t xml:space="preserve"> . A lead may be inexpensive to acquire, but if it requires significant labor to sign or has a low probability of conversion, the ultimate CPSC will be unsustainable for firm growth.| Lead-Gen Model | Typical Price Points | Quality / Intent Level || ------ | ------ | ------ || </w:t>
      </w:r>
      <w:r w:rsidDel="00000000" w:rsidR="00000000" w:rsidRPr="00000000">
        <w:rPr>
          <w:b w:val="1"/>
          <w:bCs w:val="1"/>
          <w:rtl w:val="0"/>
        </w:rPr>
        <w:t xml:space="preserve">Signed Retainers</w:t>
      </w:r>
      <w:r w:rsidDel="00000000" w:rsidR="00000000" w:rsidRPr="00000000">
        <w:rPr>
          <w:rtl w:val="0"/>
        </w:rPr>
        <w:t xml:space="preserve"> | Premium (High) | </w:t>
      </w:r>
      <w:r w:rsidDel="00000000" w:rsidR="00000000" w:rsidRPr="00000000">
        <w:rPr>
          <w:b w:val="1"/>
          <w:bCs w:val="1"/>
          <w:rtl w:val="0"/>
        </w:rPr>
        <w:t xml:space="preserve">High:</w:t>
      </w:r>
      <w:r w:rsidDel="00000000" w:rsidR="00000000" w:rsidRPr="00000000">
        <w:rPr>
          <w:rtl w:val="0"/>
        </w:rPr>
        <w:t xml:space="preserve">  Conversion and paperwork already completed. || </w:t>
      </w:r>
      <w:r w:rsidDel="00000000" w:rsidR="00000000" w:rsidRPr="00000000">
        <w:rPr>
          <w:b w:val="1"/>
          <w:bCs w:val="1"/>
          <w:rtl w:val="0"/>
        </w:rPr>
        <w:t xml:space="preserve">Live Transfers</w:t>
      </w:r>
      <w:r w:rsidDel="00000000" w:rsidR="00000000" w:rsidRPr="00000000">
        <w:rPr>
          <w:rtl w:val="0"/>
        </w:rPr>
        <w:t xml:space="preserve"> | $250 - $600+ | </w:t>
      </w:r>
      <w:r w:rsidDel="00000000" w:rsidR="00000000" w:rsidRPr="00000000">
        <w:rPr>
          <w:b w:val="1"/>
          <w:bCs w:val="1"/>
          <w:rtl w:val="0"/>
        </w:rPr>
        <w:t xml:space="preserve">High:</w:t>
      </w:r>
      <w:r w:rsidDel="00000000" w:rsidR="00000000" w:rsidRPr="00000000">
        <w:rPr>
          <w:rtl w:val="0"/>
        </w:rPr>
        <w:t xml:space="preserve">  Real-time contact and pre-screened intent. || </w:t>
      </w:r>
      <w:r w:rsidDel="00000000" w:rsidR="00000000" w:rsidRPr="00000000">
        <w:rPr>
          <w:b w:val="1"/>
          <w:bCs w:val="1"/>
          <w:rtl w:val="0"/>
        </w:rPr>
        <w:t xml:space="preserve">Exclusive PI Leads</w:t>
      </w:r>
      <w:r w:rsidDel="00000000" w:rsidR="00000000" w:rsidRPr="00000000">
        <w:rPr>
          <w:rtl w:val="0"/>
        </w:rPr>
        <w:t xml:space="preserve"> | $200 - $400 | </w:t>
      </w:r>
      <w:r w:rsidDel="00000000" w:rsidR="00000000" w:rsidRPr="00000000">
        <w:rPr>
          <w:b w:val="1"/>
          <w:bCs w:val="1"/>
          <w:rtl w:val="0"/>
        </w:rPr>
        <w:t xml:space="preserve">Moderate:</w:t>
      </w:r>
      <w:r w:rsidDel="00000000" w:rsidR="00000000" w:rsidRPr="00000000">
        <w:rPr>
          <w:rtl w:val="0"/>
        </w:rPr>
        <w:t xml:space="preserve">  No competition, but requires intake effort. || </w:t>
      </w:r>
      <w:r w:rsidDel="00000000" w:rsidR="00000000" w:rsidRPr="00000000">
        <w:rPr>
          <w:b w:val="1"/>
          <w:bCs w:val="1"/>
          <w:rtl w:val="0"/>
        </w:rPr>
        <w:t xml:space="preserve">SEO/PPC Retainers</w:t>
      </w:r>
      <w:r w:rsidDel="00000000" w:rsidR="00000000" w:rsidRPr="00000000">
        <w:rPr>
          <w:rtl w:val="0"/>
        </w:rPr>
        <w:t xml:space="preserve"> | $5,000 - $15,000+/mo | </w:t>
      </w:r>
      <w:r w:rsidDel="00000000" w:rsidR="00000000" w:rsidRPr="00000000">
        <w:rPr>
          <w:b w:val="1"/>
          <w:bCs w:val="1"/>
          <w:rtl w:val="0"/>
        </w:rPr>
        <w:t xml:space="preserve">Variable:</w:t>
      </w:r>
      <w:r w:rsidDel="00000000" w:rsidR="00000000" w:rsidRPr="00000000">
        <w:rPr>
          <w:rtl w:val="0"/>
        </w:rPr>
        <w:t xml:space="preserve">  Durable long-term volume; requires internal conversion. || </w:t>
      </w:r>
      <w:r w:rsidDel="00000000" w:rsidR="00000000" w:rsidRPr="00000000">
        <w:rPr>
          <w:b w:val="1"/>
          <w:bCs w:val="1"/>
          <w:rtl w:val="0"/>
        </w:rPr>
        <w:t xml:space="preserve">Shared Form Leads</w:t>
      </w:r>
      <w:r w:rsidDel="00000000" w:rsidR="00000000" w:rsidRPr="00000000">
        <w:rPr>
          <w:rtl w:val="0"/>
        </w:rPr>
        <w:t xml:space="preserve"> | $50 - $150 | </w:t>
      </w:r>
      <w:r w:rsidDel="00000000" w:rsidR="00000000" w:rsidRPr="00000000">
        <w:rPr>
          <w:b w:val="1"/>
          <w:bCs w:val="1"/>
          <w:rtl w:val="0"/>
        </w:rPr>
        <w:t xml:space="preserve">Low:</w:t>
      </w:r>
      <w:r w:rsidDel="00000000" w:rsidR="00000000" w:rsidRPr="00000000">
        <w:rPr>
          <w:rtl w:val="0"/>
        </w:rPr>
        <w:t xml:space="preserve">  High competition; requires sub-minute response. |</w:t>
      </w:r>
    </w:p>
    <w:p w:rsidR="00000000" w:rsidDel="00000000" w:rsidP="00000000" w:rsidRDefault="00000000" w:rsidRPr="00000000" w14:paraId="00000022">
      <w:pPr>
        <w:rPr/>
      </w:pPr>
      <w:r w:rsidDel="00000000" w:rsidR="00000000" w:rsidRPr="00000000">
        <w:rPr>
          <w:rtl w:val="0"/>
        </w:rPr>
        <w:t xml:space="preserve">The  </w:t>
      </w:r>
      <w:r w:rsidDel="00000000" w:rsidR="00000000" w:rsidRPr="00000000">
        <w:rPr>
          <w:b w:val="1"/>
          <w:bCs w:val="1"/>
          <w:rtl w:val="0"/>
        </w:rPr>
        <w:t xml:space="preserve">12-month regret cycle</w:t>
      </w:r>
      <w:r w:rsidDel="00000000" w:rsidR="00000000" w:rsidRPr="00000000">
        <w:rPr>
          <w:rtl w:val="0"/>
        </w:rPr>
        <w:t xml:space="preserve">  in lead generation typically stems from operational drains that firms fail to factor into their initial ROI projections:</w:t>
      </w:r>
    </w:p>
    <w:p w:rsidR="00000000" w:rsidDel="00000000" w:rsidP="00000000" w:rsidRDefault="00000000" w:rsidRPr="00000000" w14:paraId="00000023">
      <w:pPr>
        <w:numPr>
          <w:ilvl w:val="0"/>
          <w:numId w:val="8"/>
        </w:numPr>
        <w:ind w:left="720" w:hanging="360"/>
        <w:rPr>
          <w:u w:val="none"/>
        </w:rPr>
      </w:pPr>
      <w:r w:rsidDel="00000000" w:rsidR="00000000" w:rsidRPr="00000000">
        <w:rPr>
          <w:b w:val="1"/>
          <w:bCs w:val="1"/>
          <w:rtl w:val="0"/>
        </w:rPr>
        <w:t xml:space="preserve">Intake Labor Drain:</w:t>
      </w:r>
      <w:r w:rsidDel="00000000" w:rsidR="00000000" w:rsidRPr="00000000">
        <w:rPr>
          <w:rtl w:val="0"/>
        </w:rPr>
        <w:t xml:space="preserve">  Shared leads often require 20+ minutes of staff time per contact attempt, a labor cost rarely reflected in marketing budgets.</w:t>
      </w:r>
    </w:p>
    <w:p w:rsidR="00000000" w:rsidDel="00000000" w:rsidP="00000000" w:rsidRDefault="00000000" w:rsidRPr="00000000" w14:paraId="00000024">
      <w:pPr>
        <w:numPr>
          <w:ilvl w:val="0"/>
          <w:numId w:val="8"/>
        </w:numPr>
        <w:ind w:left="720" w:hanging="360"/>
        <w:rPr>
          <w:u w:val="none"/>
        </w:rPr>
      </w:pPr>
      <w:r w:rsidDel="00000000" w:rsidR="00000000" w:rsidRPr="00000000">
        <w:rPr>
          <w:b w:val="1"/>
          <w:bCs w:val="1"/>
          <w:rtl w:val="0"/>
        </w:rPr>
        <w:t xml:space="preserve">TCPA Compliance Risks:</w:t>
      </w:r>
      <w:r w:rsidDel="00000000" w:rsidR="00000000" w:rsidRPr="00000000">
        <w:rPr>
          <w:rtl w:val="0"/>
        </w:rPr>
        <w:t xml:space="preserve">  Firms inherit liability for vendor consent documentation; 2025 rule updates make this a critical litigation risk for law firms.</w:t>
      </w:r>
    </w:p>
    <w:p w:rsidR="00000000" w:rsidDel="00000000" w:rsidP="00000000" w:rsidRDefault="00000000" w:rsidRPr="00000000" w14:paraId="00000025">
      <w:pPr>
        <w:numPr>
          <w:ilvl w:val="0"/>
          <w:numId w:val="8"/>
        </w:numPr>
        <w:ind w:left="720" w:hanging="360"/>
        <w:rPr>
          <w:u w:val="none"/>
        </w:rPr>
      </w:pPr>
      <w:r w:rsidDel="00000000" w:rsidR="00000000" w:rsidRPr="00000000">
        <w:rPr>
          <w:b w:val="1"/>
          <w:bCs w:val="1"/>
          <w:rtl w:val="0"/>
        </w:rPr>
        <w:t xml:space="preserve">Staff Burnout:</w:t>
      </w:r>
      <w:r w:rsidDel="00000000" w:rsidR="00000000" w:rsidRPr="00000000">
        <w:rPr>
          <w:rtl w:val="0"/>
        </w:rPr>
        <w:t xml:space="preserve">  Chasing low-quality, non-responsive leads triggers high turnover in the intake department, which in turn degrades the handling of high-value cases.The top lead-generation providers with a visible Texas presence—including  </w:t>
      </w:r>
      <w:r w:rsidDel="00000000" w:rsidR="00000000" w:rsidRPr="00000000">
        <w:rPr>
          <w:b w:val="1"/>
          <w:bCs w:val="1"/>
          <w:rtl w:val="0"/>
        </w:rPr>
        <w:t xml:space="preserve">iLawyer Marketing</w:t>
      </w:r>
      <w:r w:rsidDel="00000000" w:rsidR="00000000" w:rsidRPr="00000000">
        <w:rPr>
          <w:rtl w:val="0"/>
        </w:rPr>
        <w:t xml:space="preserve">  (SEO/PPC),  </w:t>
      </w:r>
      <w:r w:rsidDel="00000000" w:rsidR="00000000" w:rsidRPr="00000000">
        <w:rPr>
          <w:b w:val="1"/>
          <w:bCs w:val="1"/>
          <w:rtl w:val="0"/>
        </w:rPr>
        <w:t xml:space="preserve">Androvett</w:t>
      </w:r>
      <w:r w:rsidDel="00000000" w:rsidR="00000000" w:rsidRPr="00000000">
        <w:rPr>
          <w:rtl w:val="0"/>
        </w:rPr>
        <w:t xml:space="preserve">  (Full-service),  </w:t>
      </w:r>
      <w:r w:rsidDel="00000000" w:rsidR="00000000" w:rsidRPr="00000000">
        <w:rPr>
          <w:b w:val="1"/>
          <w:bCs w:val="1"/>
          <w:rtl w:val="0"/>
        </w:rPr>
        <w:t xml:space="preserve">On Point Legal Leads</w:t>
      </w:r>
      <w:r w:rsidDel="00000000" w:rsidR="00000000" w:rsidRPr="00000000">
        <w:rPr>
          <w:rtl w:val="0"/>
        </w:rPr>
        <w:t xml:space="preserve">  (Live transfers),  </w:t>
      </w:r>
      <w:r w:rsidDel="00000000" w:rsidR="00000000" w:rsidRPr="00000000">
        <w:rPr>
          <w:b w:val="1"/>
          <w:bCs w:val="1"/>
          <w:rtl w:val="0"/>
        </w:rPr>
        <w:t xml:space="preserve">Best Case Leads</w:t>
      </w:r>
      <w:r w:rsidDel="00000000" w:rsidR="00000000" w:rsidRPr="00000000">
        <w:rPr>
          <w:rtl w:val="0"/>
        </w:rPr>
        <w:t xml:space="preserve">  (Call network), and  </w:t>
      </w:r>
      <w:r w:rsidDel="00000000" w:rsidR="00000000" w:rsidRPr="00000000">
        <w:rPr>
          <w:b w:val="1"/>
          <w:bCs w:val="1"/>
          <w:rtl w:val="0"/>
        </w:rPr>
        <w:t xml:space="preserve">Legal Leads Group</w:t>
      </w:r>
      <w:r w:rsidDel="00000000" w:rsidR="00000000" w:rsidRPr="00000000">
        <w:rPr>
          <w:rtl w:val="0"/>
        </w:rPr>
        <w:t xml:space="preserve">  (Signed MVA)—leverage specific market wedges to deliver value. However, the most innovative firms are moving beyond generic lead buying toward a standardized case-trading marketplace.</w:t>
      </w:r>
    </w:p>
    <w:p w:rsidR="00000000" w:rsidDel="00000000" w:rsidP="00000000" w:rsidRDefault="00000000" w:rsidRPr="00000000" w14:paraId="00000026">
      <w:pPr>
        <w:pStyle w:val="Heading4"/>
        <w:rPr/>
      </w:pPr>
      <w:bookmarkStart w:colFirst="0" w:colLast="0" w:name="_2zmldk188r4w" w:id="5"/>
      <w:bookmarkEnd w:id="5"/>
      <w:r w:rsidDel="00000000" w:rsidR="00000000" w:rsidRPr="00000000">
        <w:rPr>
          <w:rtl w:val="0"/>
        </w:rPr>
        <w:t xml:space="preserve">5. The Case Marketplace: A New Model for Trading and Selling Leads</w:t>
      </w:r>
    </w:p>
    <w:p w:rsidR="00000000" w:rsidDel="00000000" w:rsidP="00000000" w:rsidRDefault="00000000" w:rsidRPr="00000000" w14:paraId="00000027">
      <w:pPr>
        <w:rPr/>
      </w:pPr>
      <w:r w:rsidDel="00000000" w:rsidR="00000000" w:rsidRPr="00000000">
        <w:rPr>
          <w:rtl w:val="0"/>
        </w:rPr>
        <w:t xml:space="preserve">The "Case Marketplace" offers a strategic solution for firms encountering staffing constraints or clients who have abandoned treatment. By utilizing a "Litify-Native" data format, firms can trade cases seamlessly, ensuring that the work already performed on a file is not wasted when a firm needs to drop a matter.| Marketplace Model | Monetization Strategy | Primary Advantage || ------ | ------ | ------ || </w:t>
      </w:r>
      <w:r w:rsidDel="00000000" w:rsidR="00000000" w:rsidRPr="00000000">
        <w:rPr>
          <w:b w:val="1"/>
          <w:bCs w:val="1"/>
          <w:rtl w:val="0"/>
        </w:rPr>
        <w:t xml:space="preserve">Attorney Share</w:t>
      </w:r>
      <w:r w:rsidDel="00000000" w:rsidR="00000000" w:rsidRPr="00000000">
        <w:rPr>
          <w:rtl w:val="0"/>
        </w:rPr>
        <w:t xml:space="preserve"> | Success fee ( $49–$ 299 per signed client) | No upfront cost for senders. || </w:t>
      </w:r>
      <w:r w:rsidDel="00000000" w:rsidR="00000000" w:rsidRPr="00000000">
        <w:rPr>
          <w:b w:val="1"/>
          <w:bCs w:val="1"/>
          <w:rtl w:val="0"/>
        </w:rPr>
        <w:t xml:space="preserve">Lexchange</w:t>
      </w:r>
      <w:r w:rsidDel="00000000" w:rsidR="00000000" w:rsidRPr="00000000">
        <w:rPr>
          <w:rtl w:val="0"/>
        </w:rPr>
        <w:t xml:space="preserve"> | Flat SaaS subscription | </w:t>
      </w:r>
      <w:r w:rsidDel="00000000" w:rsidR="00000000" w:rsidRPr="00000000">
        <w:rPr>
          <w:b w:val="1"/>
          <w:bCs w:val="1"/>
          <w:rtl w:val="0"/>
        </w:rPr>
        <w:t xml:space="preserve">Lifetime free access for the first 500 users.</w:t>
      </w:r>
      <w:r w:rsidDel="00000000" w:rsidR="00000000" w:rsidRPr="00000000">
        <w:rPr>
          <w:rtl w:val="0"/>
        </w:rPr>
        <w:t xml:space="preserve"> || </w:t>
      </w:r>
      <w:r w:rsidDel="00000000" w:rsidR="00000000" w:rsidRPr="00000000">
        <w:rPr>
          <w:b w:val="1"/>
          <w:bCs w:val="1"/>
          <w:rtl w:val="0"/>
        </w:rPr>
        <w:t xml:space="preserve">Case Xchange</w:t>
      </w:r>
      <w:r w:rsidDel="00000000" w:rsidR="00000000" w:rsidRPr="00000000">
        <w:rPr>
          <w:rtl w:val="0"/>
        </w:rPr>
        <w:t xml:space="preserve"> | Subscription-based | Deep analytics and matching technology. |</w:t>
      </w:r>
    </w:p>
    <w:p w:rsidR="00000000" w:rsidDel="00000000" w:rsidP="00000000" w:rsidRDefault="00000000" w:rsidRPr="00000000" w14:paraId="00000028">
      <w:pPr>
        <w:pStyle w:val="Heading5"/>
        <w:rPr/>
      </w:pPr>
      <w:bookmarkStart w:colFirst="0" w:colLast="0" w:name="_kgnq5w1jmagl" w:id="6"/>
      <w:bookmarkEnd w:id="6"/>
      <w:r w:rsidDel="00000000" w:rsidR="00000000" w:rsidRPr="00000000">
        <w:rPr>
          <w:rtl w:val="0"/>
        </w:rPr>
        <w:t xml:space="preserve">Strategic Business Models for Case-Trading Platforms:</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Pay-Per-Signed-Client:</w:t>
      </w:r>
      <w:r w:rsidDel="00000000" w:rsidR="00000000" w:rsidRPr="00000000">
        <w:rPr>
          <w:rtl w:val="0"/>
        </w:rPr>
        <w:t xml:space="preserve">  Best for small firms with overflow.</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Flat SaaS Subscription:</w:t>
      </w:r>
      <w:r w:rsidDel="00000000" w:rsidR="00000000" w:rsidRPr="00000000">
        <w:rPr>
          <w:rtl w:val="0"/>
        </w:rPr>
        <w:t xml:space="preserve">  Predictable recurring revenue for high-volume referral firms.</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Freemium Model:</w:t>
      </w:r>
      <w:r w:rsidDel="00000000" w:rsidR="00000000" w:rsidRPr="00000000">
        <w:rPr>
          <w:rtl w:val="0"/>
        </w:rPr>
        <w:t xml:space="preserve">  Rapid national penetration via free basic access and paid feature tiers.</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Transaction/Commission Fee:</w:t>
      </w:r>
      <w:r w:rsidDel="00000000" w:rsidR="00000000" w:rsidRPr="00000000">
        <w:rPr>
          <w:rtl w:val="0"/>
        </w:rPr>
        <w:t xml:space="preserve">  Scalable revenue based on a percentage of the final recovery.</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Data &amp; Analytics Upsell:</w:t>
      </w:r>
      <w:r w:rsidDel="00000000" w:rsidR="00000000" w:rsidRPr="00000000">
        <w:rPr>
          <w:rtl w:val="0"/>
        </w:rPr>
        <w:t xml:space="preserve">  Monetizing anonymized trends and average case values.</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Lead Generation Affiliate:</w:t>
      </w:r>
      <w:r w:rsidDel="00000000" w:rsidR="00000000" w:rsidRPr="00000000">
        <w:rPr>
          <w:rtl w:val="0"/>
        </w:rPr>
        <w:t xml:space="preserve">  Earning fees by recommending vetted medical or litigation finance vendors.</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White-Label Licensing:</w:t>
      </w:r>
      <w:r w:rsidDel="00000000" w:rsidR="00000000" w:rsidRPr="00000000">
        <w:rPr>
          <w:rtl w:val="0"/>
        </w:rPr>
        <w:t xml:space="preserve">  Licensing technology to state bar associations or internal networks.</w:t>
      </w:r>
    </w:p>
    <w:p w:rsidR="00000000" w:rsidDel="00000000" w:rsidP="00000000" w:rsidRDefault="00000000" w:rsidRPr="00000000" w14:paraId="00000030">
      <w:pPr>
        <w:numPr>
          <w:ilvl w:val="0"/>
          <w:numId w:val="3"/>
        </w:numPr>
        <w:ind w:left="720" w:hanging="360"/>
        <w:rPr>
          <w:u w:val="none"/>
        </w:rPr>
      </w:pPr>
      <w:r w:rsidDel="00000000" w:rsidR="00000000" w:rsidRPr="00000000">
        <w:rPr>
          <w:b w:val="1"/>
          <w:bCs w:val="1"/>
          <w:rtl w:val="0"/>
        </w:rPr>
        <w:t xml:space="preserve">Hybrid Success Fee:</w:t>
      </w:r>
      <w:r w:rsidDel="00000000" w:rsidR="00000000" w:rsidRPr="00000000">
        <w:rPr>
          <w:rtl w:val="0"/>
        </w:rPr>
        <w:t xml:space="preserve">  Eliminates sender friction by charging only upon successful signing.</w:t>
      </w:r>
    </w:p>
    <w:p w:rsidR="00000000" w:rsidDel="00000000" w:rsidP="00000000" w:rsidRDefault="00000000" w:rsidRPr="00000000" w14:paraId="00000031">
      <w:pPr>
        <w:numPr>
          <w:ilvl w:val="0"/>
          <w:numId w:val="3"/>
        </w:numPr>
        <w:ind w:left="720" w:hanging="360"/>
        <w:rPr>
          <w:u w:val="none"/>
        </w:rPr>
      </w:pPr>
      <w:r w:rsidDel="00000000" w:rsidR="00000000" w:rsidRPr="00000000">
        <w:rPr>
          <w:b w:val="1"/>
          <w:bCs w:val="1"/>
          <w:rtl w:val="0"/>
        </w:rPr>
        <w:t xml:space="preserve">Vertically Integrated Platform:</w:t>
      </w:r>
      <w:r w:rsidDel="00000000" w:rsidR="00000000" w:rsidRPr="00000000">
        <w:rPr>
          <w:rtl w:val="0"/>
        </w:rPr>
        <w:t xml:space="preserve">  Combining new lead generation with a secondary trading market.</w:t>
      </w:r>
    </w:p>
    <w:p w:rsidR="00000000" w:rsidDel="00000000" w:rsidP="00000000" w:rsidRDefault="00000000" w:rsidRPr="00000000" w14:paraId="00000032">
      <w:pPr>
        <w:numPr>
          <w:ilvl w:val="0"/>
          <w:numId w:val="3"/>
        </w:numPr>
        <w:ind w:left="720" w:hanging="360"/>
        <w:rPr>
          <w:u w:val="none"/>
        </w:rPr>
      </w:pPr>
      <w:r w:rsidDel="00000000" w:rsidR="00000000" w:rsidRPr="00000000">
        <w:rPr>
          <w:b w:val="1"/>
          <w:bCs w:val="1"/>
          <w:rtl w:val="0"/>
        </w:rPr>
        <w:t xml:space="preserve">Litigation Finance Integration:</w:t>
      </w:r>
      <w:r w:rsidDel="00000000" w:rsidR="00000000" w:rsidRPr="00000000">
        <w:rPr>
          <w:rtl w:val="0"/>
        </w:rPr>
        <w:t xml:space="preserve">  Incorporating a  </w:t>
      </w:r>
      <w:r w:rsidDel="00000000" w:rsidR="00000000" w:rsidRPr="00000000">
        <w:rPr>
          <w:b w:val="1"/>
          <w:bCs w:val="1"/>
          <w:rtl w:val="0"/>
        </w:rPr>
        <w:t xml:space="preserve">LexShares</w:t>
      </w:r>
      <w:r w:rsidDel="00000000" w:rsidR="00000000" w:rsidRPr="00000000">
        <w:rPr>
          <w:rtl w:val="0"/>
        </w:rPr>
        <w:t xml:space="preserve">  model to provide capital for plaintiffs or firms.To facilitate quick triage, a  </w:t>
      </w:r>
      <w:r w:rsidDel="00000000" w:rsidR="00000000" w:rsidRPr="00000000">
        <w:rPr>
          <w:b w:val="1"/>
          <w:bCs w:val="1"/>
          <w:rtl w:val="0"/>
        </w:rPr>
        <w:t xml:space="preserve">Standardized Case Card</w:t>
      </w:r>
      <w:r w:rsidDel="00000000" w:rsidR="00000000" w:rsidRPr="00000000">
        <w:rPr>
          <w:rtl w:val="0"/>
        </w:rPr>
        <w:t xml:space="preserve">  must be used to reduce cognitive load for buyers:| Field Category | Required Data || ------ | ------ || </w:t>
      </w:r>
      <w:r w:rsidDel="00000000" w:rsidR="00000000" w:rsidRPr="00000000">
        <w:rPr>
          <w:b w:val="1"/>
          <w:bCs w:val="1"/>
          <w:rtl w:val="0"/>
        </w:rPr>
        <w:t xml:space="preserve">Liability</w:t>
      </w:r>
      <w:r w:rsidDel="00000000" w:rsidR="00000000" w:rsidRPr="00000000">
        <w:rPr>
          <w:rtl w:val="0"/>
        </w:rPr>
        <w:t xml:space="preserve"> | Accident type, fault assessment, insurance policy limits. || </w:t>
      </w:r>
      <w:r w:rsidDel="00000000" w:rsidR="00000000" w:rsidRPr="00000000">
        <w:rPr>
          <w:b w:val="1"/>
          <w:bCs w:val="1"/>
          <w:rtl w:val="0"/>
        </w:rPr>
        <w:t xml:space="preserve">Treatment Status</w:t>
      </w:r>
      <w:r w:rsidDel="00000000" w:rsidR="00000000" w:rsidRPr="00000000">
        <w:rPr>
          <w:rtl w:val="0"/>
        </w:rPr>
        <w:t xml:space="preserve"> | </w:t>
      </w:r>
      <w:r w:rsidDel="00000000" w:rsidR="00000000" w:rsidRPr="00000000">
        <w:rPr>
          <w:b w:val="1"/>
          <w:bCs w:val="1"/>
          <w:rtl w:val="0"/>
        </w:rPr>
        <w:t xml:space="preserve">Visit Count (to date)</w:t>
      </w:r>
      <w:r w:rsidDel="00000000" w:rsidR="00000000" w:rsidRPr="00000000">
        <w:rPr>
          <w:rtl w:val="0"/>
        </w:rPr>
        <w:t xml:space="preserve"> ; Active vs. Abandoned status. || </w:t>
      </w:r>
      <w:r w:rsidDel="00000000" w:rsidR="00000000" w:rsidRPr="00000000">
        <w:rPr>
          <w:b w:val="1"/>
          <w:bCs w:val="1"/>
          <w:rtl w:val="0"/>
        </w:rPr>
        <w:t xml:space="preserve">Medical Proof</w:t>
      </w:r>
      <w:r w:rsidDel="00000000" w:rsidR="00000000" w:rsidRPr="00000000">
        <w:rPr>
          <w:rtl w:val="0"/>
        </w:rPr>
        <w:t xml:space="preserve"> | </w:t>
      </w:r>
      <w:r w:rsidDel="00000000" w:rsidR="00000000" w:rsidRPr="00000000">
        <w:rPr>
          <w:b w:val="1"/>
          <w:bCs w:val="1"/>
          <w:rtl w:val="0"/>
        </w:rPr>
        <w:t xml:space="preserve">MRI status</w:t>
      </w:r>
      <w:r w:rsidDel="00000000" w:rsidR="00000000" w:rsidRPr="00000000">
        <w:rPr>
          <w:rtl w:val="0"/>
        </w:rPr>
        <w:t xml:space="preserve"> ; Diagnostic tests completed; Total bills to date. || </w:t>
      </w:r>
      <w:r w:rsidDel="00000000" w:rsidR="00000000" w:rsidRPr="00000000">
        <w:rPr>
          <w:b w:val="1"/>
          <w:bCs w:val="1"/>
          <w:rtl w:val="0"/>
        </w:rPr>
        <w:t xml:space="preserve">Case Economics</w:t>
      </w:r>
      <w:r w:rsidDel="00000000" w:rsidR="00000000" w:rsidRPr="00000000">
        <w:rPr>
          <w:rtl w:val="0"/>
        </w:rPr>
        <w:t xml:space="preserve"> | Costs advanced; Lien status (Medicare/Medicaid). || </w:t>
      </w:r>
      <w:r w:rsidDel="00000000" w:rsidR="00000000" w:rsidRPr="00000000">
        <w:rPr>
          <w:b w:val="1"/>
          <w:bCs w:val="1"/>
          <w:rtl w:val="0"/>
        </w:rPr>
        <w:t xml:space="preserve">Reason for Drop</w:t>
      </w:r>
      <w:r w:rsidDel="00000000" w:rsidR="00000000" w:rsidRPr="00000000">
        <w:rPr>
          <w:rtl w:val="0"/>
        </w:rPr>
        <w:t xml:space="preserve"> | Staffing, venue mismatch, client non-compliance, or liability dispute. |</w:t>
      </w:r>
    </w:p>
    <w:p w:rsidR="00000000" w:rsidDel="00000000" w:rsidP="00000000" w:rsidRDefault="00000000" w:rsidRPr="00000000" w14:paraId="00000033">
      <w:pPr>
        <w:pStyle w:val="Heading4"/>
        <w:rPr/>
      </w:pPr>
      <w:bookmarkStart w:colFirst="0" w:colLast="0" w:name="_gqy02kqlb98" w:id="7"/>
      <w:bookmarkEnd w:id="7"/>
      <w:r w:rsidDel="00000000" w:rsidR="00000000" w:rsidRPr="00000000">
        <w:rPr>
          <w:rtl w:val="0"/>
        </w:rPr>
        <w:t xml:space="preserve">6. Technical Implementation: Building the Lean Lead-Gen Stack</w:t>
      </w:r>
    </w:p>
    <w:p w:rsidR="00000000" w:rsidDel="00000000" w:rsidP="00000000" w:rsidRDefault="00000000" w:rsidRPr="00000000" w14:paraId="00000034">
      <w:pPr>
        <w:rPr/>
      </w:pPr>
      <w:r w:rsidDel="00000000" w:rsidR="00000000" w:rsidRPr="00000000">
        <w:rPr>
          <w:rtl w:val="0"/>
        </w:rPr>
        <w:t xml:space="preserve">Developing a lead-gen stack is an  </w:t>
      </w:r>
      <w:r w:rsidDel="00000000" w:rsidR="00000000" w:rsidRPr="00000000">
        <w:rPr>
          <w:b w:val="1"/>
          <w:bCs w:val="1"/>
          <w:rtl w:val="0"/>
        </w:rPr>
        <w:t xml:space="preserve">Operational Mandate</w:t>
      </w:r>
      <w:r w:rsidDel="00000000" w:rsidR="00000000" w:rsidRPr="00000000">
        <w:rPr>
          <w:rtl w:val="0"/>
        </w:rPr>
        <w:t xml:space="preserve"> , not a suggestion. Firms must choose between "Low-Cost/No-Cost" builds using general business tools and the specialized automation of legal platforms.</w:t>
      </w:r>
    </w:p>
    <w:p w:rsidR="00000000" w:rsidDel="00000000" w:rsidP="00000000" w:rsidRDefault="00000000" w:rsidRPr="00000000" w14:paraId="00000035">
      <w:pPr>
        <w:pStyle w:val="Heading5"/>
        <w:rPr/>
      </w:pPr>
      <w:bookmarkStart w:colFirst="0" w:colLast="0" w:name="_ay6bc7tktmef" w:id="8"/>
      <w:bookmarkEnd w:id="8"/>
      <w:r w:rsidDel="00000000" w:rsidR="00000000" w:rsidRPr="00000000">
        <w:rPr>
          <w:rtl w:val="0"/>
        </w:rPr>
        <w:t xml:space="preserve">Operational Setup Guide (Bitrix24/HubSpot)</w:t>
      </w:r>
    </w:p>
    <w:p w:rsidR="00000000" w:rsidDel="00000000" w:rsidP="00000000" w:rsidRDefault="00000000" w:rsidRPr="00000000" w14:paraId="00000036">
      <w:pPr>
        <w:numPr>
          <w:ilvl w:val="0"/>
          <w:numId w:val="1"/>
        </w:numPr>
        <w:ind w:left="720" w:hanging="360"/>
        <w:rPr>
          <w:u w:val="none"/>
        </w:rPr>
      </w:pPr>
      <w:r w:rsidDel="00000000" w:rsidR="00000000" w:rsidRPr="00000000">
        <w:rPr>
          <w:b w:val="1"/>
          <w:bCs w:val="1"/>
          <w:rtl w:val="0"/>
        </w:rPr>
        <w:t xml:space="preserve">Step 1:</w:t>
      </w:r>
      <w:r w:rsidDel="00000000" w:rsidR="00000000" w:rsidRPr="00000000">
        <w:rPr>
          <w:rtl w:val="0"/>
        </w:rPr>
        <w:t xml:space="preserve">  Create custom CRM forms mapping name, county, incident type, and injury.</w:t>
      </w:r>
    </w:p>
    <w:p w:rsidR="00000000" w:rsidDel="00000000" w:rsidP="00000000" w:rsidRDefault="00000000" w:rsidRPr="00000000" w14:paraId="00000037">
      <w:pPr>
        <w:numPr>
          <w:ilvl w:val="0"/>
          <w:numId w:val="1"/>
        </w:numPr>
        <w:ind w:left="720" w:hanging="360"/>
        <w:rPr>
          <w:u w:val="none"/>
        </w:rPr>
      </w:pPr>
      <w:r w:rsidDel="00000000" w:rsidR="00000000" w:rsidRPr="00000000">
        <w:rPr>
          <w:b w:val="1"/>
          <w:bCs w:val="1"/>
          <w:rtl w:val="0"/>
        </w:rPr>
        <w:t xml:space="preserve">Step 2:</w:t>
      </w:r>
      <w:r w:rsidDel="00000000" w:rsidR="00000000" w:rsidRPr="00000000">
        <w:rPr>
          <w:rtl w:val="0"/>
        </w:rPr>
        <w:t xml:space="preserve">  Define lead stages (New, Attempted, Qualified, Sold).</w:t>
      </w:r>
    </w:p>
    <w:p w:rsidR="00000000" w:rsidDel="00000000" w:rsidP="00000000" w:rsidRDefault="00000000" w:rsidRPr="00000000" w14:paraId="00000038">
      <w:pPr>
        <w:numPr>
          <w:ilvl w:val="0"/>
          <w:numId w:val="1"/>
        </w:numPr>
        <w:ind w:left="720" w:hanging="360"/>
        <w:rPr>
          <w:u w:val="none"/>
        </w:rPr>
      </w:pPr>
      <w:r w:rsidDel="00000000" w:rsidR="00000000" w:rsidRPr="00000000">
        <w:rPr>
          <w:b w:val="1"/>
          <w:bCs w:val="1"/>
          <w:rtl w:val="0"/>
        </w:rPr>
        <w:t xml:space="preserve">Step 3:</w:t>
      </w:r>
      <w:r w:rsidDel="00000000" w:rsidR="00000000" w:rsidRPr="00000000">
        <w:rPr>
          <w:rtl w:val="0"/>
        </w:rPr>
        <w:t xml:space="preserve">  Set auto-assignment rules to route hot leads to reps instantly.</w:t>
      </w:r>
    </w:p>
    <w:p w:rsidR="00000000" w:rsidDel="00000000" w:rsidP="00000000" w:rsidRDefault="00000000" w:rsidRPr="00000000" w14:paraId="00000039">
      <w:pPr>
        <w:numPr>
          <w:ilvl w:val="0"/>
          <w:numId w:val="1"/>
        </w:numPr>
        <w:ind w:left="720" w:hanging="360"/>
        <w:rPr>
          <w:u w:val="none"/>
        </w:rPr>
      </w:pPr>
      <w:r w:rsidDel="00000000" w:rsidR="00000000" w:rsidRPr="00000000">
        <w:rPr>
          <w:b w:val="1"/>
          <w:bCs w:val="1"/>
          <w:rtl w:val="0"/>
        </w:rPr>
        <w:t xml:space="preserve">Step 4:</w:t>
      </w:r>
      <w:r w:rsidDel="00000000" w:rsidR="00000000" w:rsidRPr="00000000">
        <w:rPr>
          <w:rtl w:val="0"/>
        </w:rPr>
        <w:t xml:space="preserve">  Integrate webhooks or APIs to push qualified data to the buyer’s case management system.</w:t>
      </w:r>
    </w:p>
    <w:p w:rsidR="00000000" w:rsidDel="00000000" w:rsidP="00000000" w:rsidRDefault="00000000" w:rsidRPr="00000000" w14:paraId="0000003A">
      <w:pPr>
        <w:pStyle w:val="Heading5"/>
        <w:rPr/>
      </w:pPr>
      <w:bookmarkStart w:colFirst="0" w:colLast="0" w:name="_vuqe1hcw8g67" w:id="9"/>
      <w:bookmarkEnd w:id="9"/>
      <w:r w:rsidDel="00000000" w:rsidR="00000000" w:rsidRPr="00000000">
        <w:rPr>
          <w:rtl w:val="0"/>
        </w:rPr>
        <w:t xml:space="preserve">HubSpot + Lawmatics Integration Analysis</w:t>
      </w:r>
    </w:p>
    <w:p w:rsidR="00000000" w:rsidDel="00000000" w:rsidP="00000000" w:rsidRDefault="00000000" w:rsidRPr="00000000" w14:paraId="0000003B">
      <w:pPr>
        <w:rPr>
          <w:b w:val="1"/>
          <w:bCs w:val="1"/>
        </w:rPr>
      </w:pPr>
      <w:r w:rsidDel="00000000" w:rsidR="00000000" w:rsidRPr="00000000">
        <w:rPr>
          <w:b w:val="1"/>
          <w:bCs w:val="1"/>
          <w:rtl w:val="0"/>
        </w:rPr>
        <w:t xml:space="preserve">Pros:</w:t>
      </w:r>
    </w:p>
    <w:p w:rsidR="00000000" w:rsidDel="00000000" w:rsidP="00000000" w:rsidRDefault="00000000" w:rsidRPr="00000000" w14:paraId="0000003C">
      <w:pPr>
        <w:numPr>
          <w:ilvl w:val="0"/>
          <w:numId w:val="4"/>
        </w:numPr>
        <w:ind w:left="720" w:hanging="360"/>
        <w:rPr>
          <w:u w:val="none"/>
        </w:rPr>
      </w:pPr>
      <w:r w:rsidDel="00000000" w:rsidR="00000000" w:rsidRPr="00000000">
        <w:rPr>
          <w:b w:val="1"/>
          <w:bCs w:val="1"/>
          <w:rtl w:val="0"/>
        </w:rPr>
        <w:t xml:space="preserve">Strategic Split:</w:t>
      </w:r>
      <w:r w:rsidDel="00000000" w:rsidR="00000000" w:rsidRPr="00000000">
        <w:rPr>
          <w:rtl w:val="0"/>
        </w:rPr>
        <w:t xml:space="preserve">  HubSpot manages broad marketing/nurture while Lawmatics handles legal intake.</w:t>
      </w:r>
    </w:p>
    <w:p w:rsidR="00000000" w:rsidDel="00000000" w:rsidP="00000000" w:rsidRDefault="00000000" w:rsidRPr="00000000" w14:paraId="0000003D">
      <w:pPr>
        <w:numPr>
          <w:ilvl w:val="0"/>
          <w:numId w:val="4"/>
        </w:numPr>
        <w:ind w:left="720" w:hanging="360"/>
        <w:rPr>
          <w:u w:val="none"/>
        </w:rPr>
      </w:pPr>
      <w:r w:rsidDel="00000000" w:rsidR="00000000" w:rsidRPr="00000000">
        <w:rPr>
          <w:b w:val="1"/>
          <w:bCs w:val="1"/>
          <w:rtl w:val="0"/>
        </w:rPr>
        <w:t xml:space="preserve">Performance:</w:t>
      </w:r>
      <w:r w:rsidDel="00000000" w:rsidR="00000000" w:rsidRPr="00000000">
        <w:rPr>
          <w:rtl w:val="0"/>
        </w:rPr>
        <w:t xml:space="preserve">  Lawmatics provides legal-specific forms and conversion automation that HubSpot lacks.</w:t>
      </w:r>
    </w:p>
    <w:p w:rsidR="00000000" w:rsidDel="00000000" w:rsidP="00000000" w:rsidRDefault="00000000" w:rsidRPr="00000000" w14:paraId="0000003E">
      <w:pPr>
        <w:numPr>
          <w:ilvl w:val="0"/>
          <w:numId w:val="4"/>
        </w:numPr>
        <w:ind w:left="720" w:hanging="360"/>
        <w:rPr>
          <w:u w:val="none"/>
        </w:rPr>
      </w:pPr>
      <w:r w:rsidDel="00000000" w:rsidR="00000000" w:rsidRPr="00000000">
        <w:rPr>
          <w:b w:val="1"/>
          <w:bCs w:val="1"/>
          <w:rtl w:val="0"/>
        </w:rPr>
        <w:t xml:space="preserve">Attribution:</w:t>
      </w:r>
      <w:r w:rsidDel="00000000" w:rsidR="00000000" w:rsidRPr="00000000">
        <w:rPr>
          <w:rtl w:val="0"/>
        </w:rPr>
        <w:t xml:space="preserve">  Improved tracking of lead sources through the entire conversion funnel.</w:t>
      </w:r>
      <w:r w:rsidDel="00000000" w:rsidR="00000000" w:rsidRPr="00000000">
        <w:rPr>
          <w:b w:val="1"/>
          <w:bCs w:val="1"/>
          <w:rtl w:val="0"/>
        </w:rPr>
        <w:t xml:space="preserve">Cons:</w:t>
      </w:r>
    </w:p>
    <w:p w:rsidR="00000000" w:rsidDel="00000000" w:rsidP="00000000" w:rsidRDefault="00000000" w:rsidRPr="00000000" w14:paraId="0000003F">
      <w:pPr>
        <w:numPr>
          <w:ilvl w:val="0"/>
          <w:numId w:val="4"/>
        </w:numPr>
        <w:ind w:left="720" w:hanging="360"/>
        <w:rPr>
          <w:u w:val="none"/>
        </w:rPr>
      </w:pPr>
      <w:r w:rsidDel="00000000" w:rsidR="00000000" w:rsidRPr="00000000">
        <w:rPr>
          <w:b w:val="1"/>
          <w:bCs w:val="1"/>
          <w:rtl w:val="0"/>
        </w:rPr>
        <w:t xml:space="preserve">Complexity:</w:t>
      </w:r>
      <w:r w:rsidDel="00000000" w:rsidR="00000000" w:rsidRPr="00000000">
        <w:rPr>
          <w:rtl w:val="0"/>
        </w:rPr>
        <w:t xml:space="preserve">  Data mapping and deduping can become messy without an operational owner.</w:t>
      </w:r>
    </w:p>
    <w:p w:rsidR="00000000" w:rsidDel="00000000" w:rsidP="00000000" w:rsidRDefault="00000000" w:rsidRPr="00000000" w14:paraId="00000040">
      <w:pPr>
        <w:numPr>
          <w:ilvl w:val="0"/>
          <w:numId w:val="4"/>
        </w:numPr>
        <w:ind w:left="720" w:hanging="360"/>
        <w:rPr>
          <w:u w:val="none"/>
        </w:rPr>
      </w:pPr>
      <w:r w:rsidDel="00000000" w:rsidR="00000000" w:rsidRPr="00000000">
        <w:rPr>
          <w:b w:val="1"/>
          <w:bCs w:val="1"/>
          <w:rtl w:val="0"/>
        </w:rPr>
        <w:t xml:space="preserve">Cost Creep:</w:t>
      </w:r>
      <w:r w:rsidDel="00000000" w:rsidR="00000000" w:rsidRPr="00000000">
        <w:rPr>
          <w:rtl w:val="0"/>
        </w:rPr>
        <w:t xml:space="preserve">  Subscription fees for both platforms can scale rapidly with user count.</w:t>
      </w:r>
    </w:p>
    <w:p w:rsidR="00000000" w:rsidDel="00000000" w:rsidP="00000000" w:rsidRDefault="00000000" w:rsidRPr="00000000" w14:paraId="00000041">
      <w:pPr>
        <w:numPr>
          <w:ilvl w:val="0"/>
          <w:numId w:val="4"/>
        </w:numPr>
        <w:ind w:left="720" w:hanging="360"/>
        <w:rPr>
          <w:u w:val="none"/>
        </w:rPr>
      </w:pPr>
      <w:r w:rsidDel="00000000" w:rsidR="00000000" w:rsidRPr="00000000">
        <w:rPr>
          <w:b w:val="1"/>
          <w:bCs w:val="1"/>
          <w:rtl w:val="0"/>
        </w:rPr>
        <w:t xml:space="preserve">Redundancy:</w:t>
      </w:r>
      <w:r w:rsidDel="00000000" w:rsidR="00000000" w:rsidRPr="00000000">
        <w:rPr>
          <w:rtl w:val="0"/>
        </w:rPr>
        <w:t xml:space="preserve">  Risk of "double maintenance" where staff must update both systems.</w:t>
      </w:r>
    </w:p>
    <w:p w:rsidR="00000000" w:rsidDel="00000000" w:rsidP="00000000" w:rsidRDefault="00000000" w:rsidRPr="00000000" w14:paraId="00000042">
      <w:pPr>
        <w:pStyle w:val="Heading5"/>
        <w:rPr/>
      </w:pPr>
      <w:bookmarkStart w:colFirst="0" w:colLast="0" w:name="_o2vjqeq5cmx8" w:id="10"/>
      <w:bookmarkEnd w:id="10"/>
      <w:r w:rsidDel="00000000" w:rsidR="00000000" w:rsidRPr="00000000">
        <w:rPr>
          <w:rtl w:val="0"/>
        </w:rPr>
        <w:t xml:space="preserve">Features Google Workspace Cannot Easily Replicate</w:t>
      </w:r>
    </w:p>
    <w:p w:rsidR="00000000" w:rsidDel="00000000" w:rsidP="00000000" w:rsidRDefault="00000000" w:rsidRPr="00000000" w14:paraId="00000043">
      <w:pPr>
        <w:rPr/>
      </w:pPr>
      <w:r w:rsidDel="00000000" w:rsidR="00000000" w:rsidRPr="00000000">
        <w:rPr>
          <w:rtl w:val="0"/>
        </w:rPr>
        <w:t xml:space="preserve">While Google provides the individual tools, it lacks the  </w:t>
      </w:r>
      <w:r w:rsidDel="00000000" w:rsidR="00000000" w:rsidRPr="00000000">
        <w:rPr>
          <w:b w:val="1"/>
          <w:bCs w:val="1"/>
          <w:rtl w:val="0"/>
        </w:rPr>
        <w:t xml:space="preserve">connected legal workflow</w:t>
      </w:r>
      <w:r w:rsidDel="00000000" w:rsidR="00000000" w:rsidRPr="00000000">
        <w:rPr>
          <w:rtl w:val="0"/>
        </w:rPr>
        <w:t xml:space="preserve">  essential for PI production:</w:t>
      </w:r>
    </w:p>
    <w:p w:rsidR="00000000" w:rsidDel="00000000" w:rsidP="00000000" w:rsidRDefault="00000000" w:rsidRPr="00000000" w14:paraId="00000044">
      <w:pPr>
        <w:numPr>
          <w:ilvl w:val="0"/>
          <w:numId w:val="6"/>
        </w:numPr>
        <w:ind w:left="720" w:hanging="360"/>
        <w:rPr>
          <w:u w:val="none"/>
        </w:rPr>
      </w:pPr>
      <w:r w:rsidDel="00000000" w:rsidR="00000000" w:rsidRPr="00000000">
        <w:rPr>
          <w:b w:val="1"/>
          <w:bCs w:val="1"/>
          <w:rtl w:val="0"/>
        </w:rPr>
        <w:t xml:space="preserve">Matter-Centric Data Structures:</w:t>
      </w:r>
      <w:r w:rsidDel="00000000" w:rsidR="00000000" w:rsidRPr="00000000">
        <w:rPr>
          <w:rtl w:val="0"/>
        </w:rPr>
        <w:t xml:space="preserve">  Linking every note, document, and task to a specific case file.</w:t>
      </w:r>
    </w:p>
    <w:p w:rsidR="00000000" w:rsidDel="00000000" w:rsidP="00000000" w:rsidRDefault="00000000" w:rsidRPr="00000000" w14:paraId="00000045">
      <w:pPr>
        <w:numPr>
          <w:ilvl w:val="0"/>
          <w:numId w:val="6"/>
        </w:numPr>
        <w:ind w:left="720" w:hanging="360"/>
        <w:rPr>
          <w:u w:val="none"/>
        </w:rPr>
      </w:pPr>
      <w:r w:rsidDel="00000000" w:rsidR="00000000" w:rsidRPr="00000000">
        <w:rPr>
          <w:b w:val="1"/>
          <w:bCs w:val="1"/>
          <w:rtl w:val="0"/>
        </w:rPr>
        <w:t xml:space="preserve">Bidirectional Field Syncing:</w:t>
      </w:r>
      <w:r w:rsidDel="00000000" w:rsidR="00000000" w:rsidRPr="00000000">
        <w:rPr>
          <w:rtl w:val="0"/>
        </w:rPr>
        <w:t xml:space="preserve">  Seamless data movement between intake and case management.</w:t>
      </w:r>
    </w:p>
    <w:p w:rsidR="00000000" w:rsidDel="00000000" w:rsidP="00000000" w:rsidRDefault="00000000" w:rsidRPr="00000000" w14:paraId="00000046">
      <w:pPr>
        <w:numPr>
          <w:ilvl w:val="0"/>
          <w:numId w:val="6"/>
        </w:numPr>
        <w:ind w:left="720" w:hanging="360"/>
        <w:rPr>
          <w:u w:val="none"/>
        </w:rPr>
      </w:pPr>
      <w:r w:rsidDel="00000000" w:rsidR="00000000" w:rsidRPr="00000000">
        <w:rPr>
          <w:b w:val="1"/>
          <w:bCs w:val="1"/>
          <w:rtl w:val="0"/>
        </w:rPr>
        <w:t xml:space="preserve">Conflict-Aware Record Keeping:</w:t>
      </w:r>
      <w:r w:rsidDel="00000000" w:rsidR="00000000" w:rsidRPr="00000000">
        <w:rPr>
          <w:rtl w:val="0"/>
        </w:rPr>
        <w:t xml:space="preserve">  Automated checks for adverse parties.</w:t>
      </w:r>
    </w:p>
    <w:p w:rsidR="00000000" w:rsidDel="00000000" w:rsidP="00000000" w:rsidRDefault="00000000" w:rsidRPr="00000000" w14:paraId="00000047">
      <w:pPr>
        <w:numPr>
          <w:ilvl w:val="0"/>
          <w:numId w:val="6"/>
        </w:numPr>
        <w:ind w:left="720" w:hanging="360"/>
        <w:rPr>
          <w:u w:val="none"/>
        </w:rPr>
      </w:pPr>
      <w:r w:rsidDel="00000000" w:rsidR="00000000" w:rsidRPr="00000000">
        <w:rPr>
          <w:b w:val="1"/>
          <w:bCs w:val="1"/>
          <w:rtl w:val="0"/>
        </w:rPr>
        <w:t xml:space="preserve">Matter Creation Automation:</w:t>
      </w:r>
      <w:r w:rsidDel="00000000" w:rsidR="00000000" w:rsidRPr="00000000">
        <w:rPr>
          <w:rtl w:val="0"/>
        </w:rPr>
        <w:t xml:space="preserve">  Instant conversion of a signed lead into a litigation-ready matter.Ultimately, the highest probability path for a Texas PI firm involves a disciplined commitment to high-speed intake, bilingual capacity, and a rigorous KPI model focused on signed cases rather than raw lead volume.</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