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Heading3"/>
        <w:rPr/>
      </w:pPr>
      <w:bookmarkStart w:colFirst="0" w:colLast="0" w:name="_xm0s99mwk4um" w:id="0"/>
      <w:bookmarkEnd w:id="0"/>
      <w:r w:rsidDel="00000000" w:rsidR="00000000" w:rsidRPr="00000000">
        <w:rPr>
          <w:rtl w:val="0"/>
        </w:rPr>
        <w:t xml:space="preserve">Strategic Implementation Plan: Modernizing the Texas PI Intake Operating System</w:t>
      </w:r>
    </w:p>
    <w:p w:rsidR="00000000" w:rsidDel="00000000" w:rsidP="00000000" w:rsidRDefault="00000000" w:rsidRPr="00000000" w14:paraId="00000002">
      <w:pPr>
        <w:pStyle w:val="Heading4"/>
        <w:rPr/>
      </w:pPr>
      <w:bookmarkStart w:colFirst="0" w:colLast="0" w:name="_cew3sfbacpcq" w:id="1"/>
      <w:bookmarkEnd w:id="1"/>
      <w:r w:rsidDel="00000000" w:rsidR="00000000" w:rsidRPr="00000000">
        <w:rPr>
          <w:rtl w:val="0"/>
        </w:rPr>
        <w:t xml:space="preserve">1. The Crisis of Conventional Intake: Identifying the $36B Market Friction</w:t>
      </w:r>
    </w:p>
    <w:p w:rsidR="00000000" w:rsidDel="00000000" w:rsidP="00000000" w:rsidRDefault="00000000" w:rsidRPr="00000000" w14:paraId="00000003">
      <w:pPr>
        <w:rPr/>
      </w:pPr>
      <w:r w:rsidDel="00000000" w:rsidR="00000000" w:rsidRPr="00000000">
        <w:rPr>
          <w:rtl w:val="0"/>
        </w:rPr>
        <w:t xml:space="preserve">The Texas personal injury market is a $36 billion revenue engine, yet it is currently choked by operational friction. In this hyper-competitive landscape, intake is the primary driver of firm health, yet most partners treat it as a secondary administrative burden. Relying on a "forms + callbacks" model is no longer just inefficient; it is a strategic liability. When a prospect initiates contact, they are a "case asset" at peak volatility. Any delay in response or the presence of a disjointed, manual intake process signals a lack of professional urgency, effectively handing that asset to a competitor. To survive in the Texas market, firms must stop "taking messages" and start "securing inventory."</w:t>
      </w:r>
    </w:p>
    <w:p w:rsidR="00000000" w:rsidDel="00000000" w:rsidP="00000000" w:rsidRDefault="00000000" w:rsidRPr="00000000" w14:paraId="00000004">
      <w:pPr>
        <w:pStyle w:val="Heading5"/>
        <w:rPr/>
      </w:pPr>
      <w:bookmarkStart w:colFirst="0" w:colLast="0" w:name="_gzn5wh1trirn" w:id="2"/>
      <w:bookmarkEnd w:id="2"/>
      <w:r w:rsidDel="00000000" w:rsidR="00000000" w:rsidRPr="00000000">
        <w:rPr>
          <w:rtl w:val="0"/>
        </w:rPr>
        <w:t xml:space="preserve">Impact Analysis: Top 10 Industry Complaints</w:t>
      </w:r>
    </w:p>
    <w:p w:rsidR="00000000" w:rsidDel="00000000" w:rsidP="00000000" w:rsidRDefault="00000000" w:rsidRPr="00000000" w14:paraId="00000005">
      <w:pPr>
        <w:rPr/>
      </w:pPr>
      <w:r w:rsidDel="00000000" w:rsidR="00000000" w:rsidRPr="00000000">
        <w:rPr>
          <w:rtl w:val="0"/>
        </w:rPr>
        <w:t xml:space="preserve">The following table evaluates the pain points reported by Texas PI firms and their direct impact on firm profitability and lead leakage:| Pain Point | Impact on Firm Profitability &amp; Lead Leakage || ------ | ------ || </w:t>
      </w:r>
      <w:r w:rsidDel="00000000" w:rsidR="00000000" w:rsidRPr="00000000">
        <w:rPr>
          <w:b w:val="1"/>
          <w:bCs w:val="1"/>
          <w:rtl w:val="0"/>
        </w:rPr>
        <w:t xml:space="preserve">1. Missed calls/Slow response</w:t>
      </w:r>
      <w:r w:rsidDel="00000000" w:rsidR="00000000" w:rsidRPr="00000000">
        <w:rPr>
          <w:rtl w:val="0"/>
        </w:rPr>
        <w:t xml:space="preserve"> | </w:t>
      </w:r>
      <w:r w:rsidDel="00000000" w:rsidR="00000000" w:rsidRPr="00000000">
        <w:rPr>
          <w:b w:val="1"/>
          <w:bCs w:val="1"/>
          <w:rtl w:val="0"/>
        </w:rPr>
        <w:t xml:space="preserve">Immediate lead loss;</w:t>
      </w:r>
      <w:r w:rsidDel="00000000" w:rsidR="00000000" w:rsidRPr="00000000">
        <w:rPr>
          <w:rtl w:val="0"/>
        </w:rPr>
        <w:t xml:space="preserve">  prospects contact the next firm in seconds. || </w:t>
      </w:r>
      <w:r w:rsidDel="00000000" w:rsidR="00000000" w:rsidRPr="00000000">
        <w:rPr>
          <w:b w:val="1"/>
          <w:bCs w:val="1"/>
          <w:rtl w:val="0"/>
        </w:rPr>
        <w:t xml:space="preserve">2. Manual data re-entry</w:t>
      </w:r>
      <w:r w:rsidDel="00000000" w:rsidR="00000000" w:rsidRPr="00000000">
        <w:rPr>
          <w:rtl w:val="0"/>
        </w:rPr>
        <w:t xml:space="preserve"> | </w:t>
      </w:r>
      <w:r w:rsidDel="00000000" w:rsidR="00000000" w:rsidRPr="00000000">
        <w:rPr>
          <w:b w:val="1"/>
          <w:bCs w:val="1"/>
          <w:rtl w:val="0"/>
        </w:rPr>
        <w:t xml:space="preserve">"Re-typing Tax;"</w:t>
      </w:r>
      <w:r w:rsidDel="00000000" w:rsidR="00000000" w:rsidRPr="00000000">
        <w:rPr>
          <w:rtl w:val="0"/>
        </w:rPr>
        <w:t xml:space="preserve">  excessive labor costs and high clerical error rates. || </w:t>
      </w:r>
      <w:r w:rsidDel="00000000" w:rsidR="00000000" w:rsidRPr="00000000">
        <w:rPr>
          <w:b w:val="1"/>
          <w:bCs w:val="1"/>
          <w:rtl w:val="0"/>
        </w:rPr>
        <w:t xml:space="preserve">3. Disjointed workflows</w:t>
      </w:r>
      <w:r w:rsidDel="00000000" w:rsidR="00000000" w:rsidRPr="00000000">
        <w:rPr>
          <w:rtl w:val="0"/>
        </w:rPr>
        <w:t xml:space="preserve"> | </w:t>
      </w:r>
      <w:r w:rsidDel="00000000" w:rsidR="00000000" w:rsidRPr="00000000">
        <w:rPr>
          <w:b w:val="1"/>
          <w:bCs w:val="1"/>
          <w:rtl w:val="0"/>
        </w:rPr>
        <w:t xml:space="preserve">Lead Decay;</w:t>
      </w:r>
      <w:r w:rsidDel="00000000" w:rsidR="00000000" w:rsidRPr="00000000">
        <w:rPr>
          <w:rtl w:val="0"/>
        </w:rPr>
        <w:t xml:space="preserve">  follow-up fails in the gap between phone and CRM. || </w:t>
      </w:r>
      <w:r w:rsidDel="00000000" w:rsidR="00000000" w:rsidRPr="00000000">
        <w:rPr>
          <w:b w:val="1"/>
          <w:bCs w:val="1"/>
          <w:rtl w:val="0"/>
        </w:rPr>
        <w:t xml:space="preserve">4. Poor lead tracking</w:t>
      </w:r>
      <w:r w:rsidDel="00000000" w:rsidR="00000000" w:rsidRPr="00000000">
        <w:rPr>
          <w:rtl w:val="0"/>
        </w:rPr>
        <w:t xml:space="preserve"> | </w:t>
      </w:r>
      <w:r w:rsidDel="00000000" w:rsidR="00000000" w:rsidRPr="00000000">
        <w:rPr>
          <w:b w:val="1"/>
          <w:bCs w:val="1"/>
          <w:rtl w:val="0"/>
        </w:rPr>
        <w:t xml:space="preserve">Zero Pipeline Visibility;</w:t>
      </w:r>
      <w:r w:rsidDel="00000000" w:rsidR="00000000" w:rsidRPr="00000000">
        <w:rPr>
          <w:rtl w:val="0"/>
        </w:rPr>
        <w:t xml:space="preserve">  inability to forecast or manage volume. || </w:t>
      </w:r>
      <w:r w:rsidDel="00000000" w:rsidR="00000000" w:rsidRPr="00000000">
        <w:rPr>
          <w:b w:val="1"/>
          <w:bCs w:val="1"/>
          <w:rtl w:val="0"/>
        </w:rPr>
        <w:t xml:space="preserve">5. Weak documentation</w:t>
      </w:r>
      <w:r w:rsidDel="00000000" w:rsidR="00000000" w:rsidRPr="00000000">
        <w:rPr>
          <w:rtl w:val="0"/>
        </w:rPr>
        <w:t xml:space="preserve"> | </w:t>
      </w:r>
      <w:r w:rsidDel="00000000" w:rsidR="00000000" w:rsidRPr="00000000">
        <w:rPr>
          <w:b w:val="1"/>
          <w:bCs w:val="1"/>
          <w:rtl w:val="0"/>
        </w:rPr>
        <w:t xml:space="preserve">Devalued Settlements;</w:t>
      </w:r>
      <w:r w:rsidDel="00000000" w:rsidR="00000000" w:rsidRPr="00000000">
        <w:rPr>
          <w:rtl w:val="0"/>
        </w:rPr>
        <w:t xml:space="preserve">  critical early promises or details are lost. || </w:t>
      </w:r>
      <w:r w:rsidDel="00000000" w:rsidR="00000000" w:rsidRPr="00000000">
        <w:rPr>
          <w:b w:val="1"/>
          <w:bCs w:val="1"/>
          <w:rtl w:val="0"/>
        </w:rPr>
        <w:t xml:space="preserve">6. Incomplete intake data</w:t>
      </w:r>
      <w:r w:rsidDel="00000000" w:rsidR="00000000" w:rsidRPr="00000000">
        <w:rPr>
          <w:rtl w:val="0"/>
        </w:rPr>
        <w:t xml:space="preserve"> | </w:t>
      </w:r>
      <w:r w:rsidDel="00000000" w:rsidR="00000000" w:rsidRPr="00000000">
        <w:rPr>
          <w:b w:val="1"/>
          <w:bCs w:val="1"/>
          <w:rtl w:val="0"/>
        </w:rPr>
        <w:t xml:space="preserve">Downstream Bottlenecks;</w:t>
      </w:r>
      <w:r w:rsidDel="00000000" w:rsidR="00000000" w:rsidRPr="00000000">
        <w:rPr>
          <w:rtl w:val="0"/>
        </w:rPr>
        <w:t xml:space="preserve">  pre-litigation stalls due to missing facts. || </w:t>
      </w:r>
      <w:r w:rsidDel="00000000" w:rsidR="00000000" w:rsidRPr="00000000">
        <w:rPr>
          <w:b w:val="1"/>
          <w:bCs w:val="1"/>
          <w:rtl w:val="0"/>
        </w:rPr>
        <w:t xml:space="preserve">7. No follow-up cadence</w:t>
      </w:r>
      <w:r w:rsidDel="00000000" w:rsidR="00000000" w:rsidRPr="00000000">
        <w:rPr>
          <w:rtl w:val="0"/>
        </w:rPr>
        <w:t xml:space="preserve"> | </w:t>
      </w:r>
      <w:r w:rsidDel="00000000" w:rsidR="00000000" w:rsidRPr="00000000">
        <w:rPr>
          <w:b w:val="1"/>
          <w:bCs w:val="1"/>
          <w:rtl w:val="0"/>
        </w:rPr>
        <w:t xml:space="preserve">Wasted Acquisition Spend;</w:t>
      </w:r>
      <w:r w:rsidDel="00000000" w:rsidR="00000000" w:rsidRPr="00000000">
        <w:rPr>
          <w:rtl w:val="0"/>
        </w:rPr>
        <w:t xml:space="preserve">  viable leads die after a single attempt. || </w:t>
      </w:r>
      <w:r w:rsidDel="00000000" w:rsidR="00000000" w:rsidRPr="00000000">
        <w:rPr>
          <w:b w:val="1"/>
          <w:bCs w:val="1"/>
          <w:rtl w:val="0"/>
        </w:rPr>
        <w:t xml:space="preserve">8. Marketing ROI blind spots</w:t>
      </w:r>
      <w:r w:rsidDel="00000000" w:rsidR="00000000" w:rsidRPr="00000000">
        <w:rPr>
          <w:rtl w:val="0"/>
        </w:rPr>
        <w:t xml:space="preserve"> | </w:t>
      </w:r>
      <w:r w:rsidDel="00000000" w:rsidR="00000000" w:rsidRPr="00000000">
        <w:rPr>
          <w:b w:val="1"/>
          <w:bCs w:val="1"/>
          <w:rtl w:val="0"/>
        </w:rPr>
        <w:t xml:space="preserve">Strategic Blindness;</w:t>
      </w:r>
      <w:r w:rsidDel="00000000" w:rsidR="00000000" w:rsidRPr="00000000">
        <w:rPr>
          <w:rtl w:val="0"/>
        </w:rPr>
        <w:t xml:space="preserve">  inability to cut non-performing lead sources. || </w:t>
      </w:r>
      <w:r w:rsidDel="00000000" w:rsidR="00000000" w:rsidRPr="00000000">
        <w:rPr>
          <w:b w:val="1"/>
          <w:bCs w:val="1"/>
          <w:rtl w:val="0"/>
        </w:rPr>
        <w:t xml:space="preserve">9. Lack of routing rules</w:t>
      </w:r>
      <w:r w:rsidDel="00000000" w:rsidR="00000000" w:rsidRPr="00000000">
        <w:rPr>
          <w:rtl w:val="0"/>
        </w:rPr>
        <w:t xml:space="preserve"> | </w:t>
      </w:r>
      <w:r w:rsidDel="00000000" w:rsidR="00000000" w:rsidRPr="00000000">
        <w:rPr>
          <w:b w:val="1"/>
          <w:bCs w:val="1"/>
          <w:rtl w:val="0"/>
        </w:rPr>
        <w:t xml:space="preserve">Mismanaged Priority;</w:t>
      </w:r>
      <w:r w:rsidDel="00000000" w:rsidR="00000000" w:rsidRPr="00000000">
        <w:rPr>
          <w:rtl w:val="0"/>
        </w:rPr>
        <w:t xml:space="preserve">  trucking/catastrophic cases buried in volume. || </w:t>
      </w:r>
      <w:r w:rsidDel="00000000" w:rsidR="00000000" w:rsidRPr="00000000">
        <w:rPr>
          <w:b w:val="1"/>
          <w:bCs w:val="1"/>
          <w:rtl w:val="0"/>
        </w:rPr>
        <w:t xml:space="preserve">10. Static "Form" intake</w:t>
      </w:r>
      <w:r w:rsidDel="00000000" w:rsidR="00000000" w:rsidRPr="00000000">
        <w:rPr>
          <w:rtl w:val="0"/>
        </w:rPr>
        <w:t xml:space="preserve"> | </w:t>
      </w:r>
      <w:r w:rsidDel="00000000" w:rsidR="00000000" w:rsidRPr="00000000">
        <w:rPr>
          <w:b w:val="1"/>
          <w:bCs w:val="1"/>
          <w:rtl w:val="0"/>
        </w:rPr>
        <w:t xml:space="preserve">High Abandonment;</w:t>
      </w:r>
      <w:r w:rsidDel="00000000" w:rsidR="00000000" w:rsidRPr="00000000">
        <w:rPr>
          <w:rtl w:val="0"/>
        </w:rPr>
        <w:t xml:space="preserve">  prospects reject forms for conversations. |</w:t>
      </w:r>
    </w:p>
    <w:p w:rsidR="00000000" w:rsidDel="00000000" w:rsidP="00000000" w:rsidRDefault="00000000" w:rsidRPr="00000000" w14:paraId="00000006">
      <w:pPr>
        <w:pStyle w:val="Heading5"/>
        <w:rPr/>
      </w:pPr>
      <w:bookmarkStart w:colFirst="0" w:colLast="0" w:name="_v59a56rsrakz" w:id="3"/>
      <w:bookmarkEnd w:id="3"/>
      <w:r w:rsidDel="00000000" w:rsidR="00000000" w:rsidRPr="00000000">
        <w:rPr>
          <w:rtl w:val="0"/>
        </w:rPr>
        <w:t xml:space="preserve">The Critique of the Manual Model</w:t>
      </w:r>
    </w:p>
    <w:p w:rsidR="00000000" w:rsidDel="00000000" w:rsidP="00000000" w:rsidRDefault="00000000" w:rsidRPr="00000000" w14:paraId="00000007">
      <w:pPr>
        <w:rPr/>
      </w:pPr>
      <w:r w:rsidDel="00000000" w:rsidR="00000000" w:rsidRPr="00000000">
        <w:rPr>
          <w:rtl w:val="0"/>
        </w:rPr>
        <w:t xml:space="preserve">Most firms operate a "Weakest Version" of intake: a human-driven, manual logging model where staff capture basic notes for later entry. This creates a lethal bottleneck. By relying on human memory and manual logging, firms create a "leaky bucket" where expensive leads are lost before contact is made. Without a durable system to maintain prospect engagement after the initial contact, firms are penalizing their own growth through operational inertia.The solution is a transition from friction-heavy manual processes to a structured "Intake Operating System."</w:t>
      </w:r>
    </w:p>
    <w:p w:rsidR="00000000" w:rsidDel="00000000" w:rsidP="00000000" w:rsidRDefault="00000000" w:rsidRPr="00000000" w14:paraId="00000008">
      <w:pPr>
        <w:pStyle w:val="Heading4"/>
        <w:rPr/>
      </w:pPr>
      <w:bookmarkStart w:colFirst="0" w:colLast="0" w:name="_n6b2tgp4ft65" w:id="4"/>
      <w:bookmarkEnd w:id="4"/>
      <w:r w:rsidDel="00000000" w:rsidR="00000000" w:rsidRPr="00000000">
        <w:rPr>
          <w:rtl w:val="0"/>
        </w:rPr>
        <w:t xml:space="preserve">2. The "Intake Operating System" Paradigm: A Shift to Structured Data &amp; Speed</w:t>
      </w:r>
    </w:p>
    <w:p w:rsidR="00000000" w:rsidDel="00000000" w:rsidP="00000000" w:rsidRDefault="00000000" w:rsidRPr="00000000" w14:paraId="00000009">
      <w:pPr>
        <w:rPr/>
      </w:pPr>
      <w:r w:rsidDel="00000000" w:rsidR="00000000" w:rsidRPr="00000000">
        <w:rPr>
          <w:rtl w:val="0"/>
        </w:rPr>
        <w:t xml:space="preserve">The "Intake Operating System" (Intake OS) is a strategic shift from static data collection to a dynamic, guided conversation. Unlike a legacy call center, an Intake OS automatically handles logging, routing, and reminders. This system ensures that every call is treated as a data-rich asset that must be secured, evaluated, and moved into pre-litigation with zero human-induced friction.</w:t>
      </w:r>
    </w:p>
    <w:p w:rsidR="00000000" w:rsidDel="00000000" w:rsidP="00000000" w:rsidRDefault="00000000" w:rsidRPr="00000000" w14:paraId="0000000A">
      <w:pPr>
        <w:pStyle w:val="Heading5"/>
        <w:rPr/>
      </w:pPr>
      <w:bookmarkStart w:colFirst="0" w:colLast="0" w:name="_hwwby0s60mtw" w:id="5"/>
      <w:bookmarkEnd w:id="5"/>
      <w:r w:rsidDel="00000000" w:rsidR="00000000" w:rsidRPr="00000000">
        <w:rPr>
          <w:rtl w:val="0"/>
        </w:rPr>
        <w:t xml:space="preserve">The Best-Practice Stack for Texas PI</w:t>
      </w:r>
    </w:p>
    <w:p w:rsidR="00000000" w:rsidDel="00000000" w:rsidP="00000000" w:rsidRDefault="00000000" w:rsidRPr="00000000" w14:paraId="0000000B">
      <w:pPr>
        <w:rPr/>
      </w:pPr>
      <w:r w:rsidDel="00000000" w:rsidR="00000000" w:rsidRPr="00000000">
        <w:rPr>
          <w:rtl w:val="0"/>
        </w:rPr>
        <w:t xml:space="preserve">Firms must deploy a unified ecosystem of specialized tools to achieve elite operational lift:</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Live Answer/AI Reception (Smith.ai):</w:t>
      </w:r>
      <w:r w:rsidDel="00000000" w:rsidR="00000000" w:rsidRPr="00000000">
        <w:rPr>
          <w:rtl w:val="0"/>
        </w:rPr>
        <w:t xml:space="preserve">  Deploy this for 24/7 coverage and missed-call prevention. It performs immediate conflict checks and triggers CRM-based follow-ups instantly, eliminating the number one cause of lead leakage.</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AI-Assisted Evaluation (Practice AI):</w:t>
      </w:r>
      <w:r w:rsidDel="00000000" w:rsidR="00000000" w:rsidRPr="00000000">
        <w:rPr>
          <w:rtl w:val="0"/>
        </w:rPr>
        <w:t xml:space="preserve">  Use this for case summaries and evaluation. It generates immediate insights into Liability, Coverage, and Treatment during the first 72 hours.</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Core CRM Infrastructure (Litify):</w:t>
      </w:r>
      <w:r w:rsidDel="00000000" w:rsidR="00000000" w:rsidRPr="00000000">
        <w:rPr>
          <w:rtl w:val="0"/>
        </w:rPr>
        <w:t xml:space="preserve">  Establish this as your "Single Source of Truth." Litify serves as the central dashboard for all intake data, transcripts, and routing logic, ensuring a seamless transition from lead to matter.</w:t>
      </w:r>
    </w:p>
    <w:p w:rsidR="00000000" w:rsidDel="00000000" w:rsidP="00000000" w:rsidRDefault="00000000" w:rsidRPr="00000000" w14:paraId="0000000F">
      <w:pPr>
        <w:pStyle w:val="Heading5"/>
        <w:rPr/>
      </w:pPr>
      <w:bookmarkStart w:colFirst="0" w:colLast="0" w:name="_n1oyhh5i3y1w" w:id="6"/>
      <w:bookmarkEnd w:id="6"/>
      <w:r w:rsidDel="00000000" w:rsidR="00000000" w:rsidRPr="00000000">
        <w:rPr>
          <w:rtl w:val="0"/>
        </w:rPr>
        <w:t xml:space="preserve">Speed-to-Lead: Cannibalizing the Competition</w:t>
      </w:r>
    </w:p>
    <w:p w:rsidR="00000000" w:rsidDel="00000000" w:rsidP="00000000" w:rsidRDefault="00000000" w:rsidRPr="00000000" w14:paraId="00000010">
      <w:pPr>
        <w:rPr/>
      </w:pPr>
      <w:r w:rsidDel="00000000" w:rsidR="00000000" w:rsidRPr="00000000">
        <w:rPr>
          <w:rtl w:val="0"/>
        </w:rPr>
        <w:t xml:space="preserve">In the Texas market, speed is the only relevant conversion metric. Responding in minutes rather than hours  </w:t>
      </w:r>
      <w:r w:rsidDel="00000000" w:rsidR="00000000" w:rsidRPr="00000000">
        <w:rPr>
          <w:b w:val="1"/>
          <w:bCs w:val="1"/>
          <w:rtl w:val="0"/>
        </w:rPr>
        <w:t xml:space="preserve">cannibalizes the lead-time of slower competitors.</w:t>
      </w:r>
      <w:r w:rsidDel="00000000" w:rsidR="00000000" w:rsidRPr="00000000">
        <w:rPr>
          <w:rtl w:val="0"/>
        </w:rPr>
        <w:t xml:space="preserve">  This shift  </w:t>
      </w:r>
      <w:r w:rsidDel="00000000" w:rsidR="00000000" w:rsidRPr="00000000">
        <w:rPr>
          <w:b w:val="1"/>
          <w:bCs w:val="1"/>
          <w:rtl w:val="0"/>
        </w:rPr>
        <w:t xml:space="preserve">secures the retainer before the competitor picks up the phone</w:t>
      </w:r>
      <w:r w:rsidDel="00000000" w:rsidR="00000000" w:rsidRPr="00000000">
        <w:rPr>
          <w:rtl w:val="0"/>
        </w:rPr>
        <w:t xml:space="preserve">  and  </w:t>
      </w:r>
      <w:r w:rsidDel="00000000" w:rsidR="00000000" w:rsidRPr="00000000">
        <w:rPr>
          <w:b w:val="1"/>
          <w:bCs w:val="1"/>
          <w:rtl w:val="0"/>
        </w:rPr>
        <w:t xml:space="preserve">eliminates lead decay</w:t>
      </w:r>
      <w:r w:rsidDel="00000000" w:rsidR="00000000" w:rsidRPr="00000000">
        <w:rPr>
          <w:rtl w:val="0"/>
        </w:rPr>
        <w:t xml:space="preserve">  entirely. By automating the first 72 hours of follow-up via SMS and email, high-performing firms maintain a persistent presence that prevents prospects from seeking counsel elsewhere.</w:t>
      </w:r>
    </w:p>
    <w:p w:rsidR="00000000" w:rsidDel="00000000" w:rsidP="00000000" w:rsidRDefault="00000000" w:rsidRPr="00000000" w14:paraId="00000011">
      <w:pPr>
        <w:pStyle w:val="Heading4"/>
        <w:rPr/>
      </w:pPr>
      <w:bookmarkStart w:colFirst="0" w:colLast="0" w:name="_h0y7f6m7p9uv" w:id="7"/>
      <w:bookmarkEnd w:id="7"/>
      <w:r w:rsidDel="00000000" w:rsidR="00000000" w:rsidRPr="00000000">
        <w:rPr>
          <w:rtl w:val="0"/>
        </w:rPr>
        <w:t xml:space="preserve">3. Software Solutions &amp; Integrated Technology Architecture</w:t>
      </w:r>
    </w:p>
    <w:p w:rsidR="00000000" w:rsidDel="00000000" w:rsidP="00000000" w:rsidRDefault="00000000" w:rsidRPr="00000000" w14:paraId="00000012">
      <w:pPr>
        <w:rPr/>
      </w:pPr>
      <w:r w:rsidDel="00000000" w:rsidR="00000000" w:rsidRPr="00000000">
        <w:rPr>
          <w:rtl w:val="0"/>
        </w:rPr>
        <w:t xml:space="preserve">A fragmented approach using "point solutions" creates data silos. A strategic, integrated stack is superior because data flows without manual intervention, eliminating the "re-typing tax" that slows down the pre-litigation phase.</w:t>
      </w:r>
    </w:p>
    <w:p w:rsidR="00000000" w:rsidDel="00000000" w:rsidP="00000000" w:rsidRDefault="00000000" w:rsidRPr="00000000" w14:paraId="00000013">
      <w:pPr>
        <w:pStyle w:val="Heading5"/>
        <w:rPr/>
      </w:pPr>
      <w:bookmarkStart w:colFirst="0" w:colLast="0" w:name="_dwg5z9l3t863" w:id="8"/>
      <w:bookmarkEnd w:id="8"/>
      <w:r w:rsidDel="00000000" w:rsidR="00000000" w:rsidRPr="00000000">
        <w:rPr>
          <w:rtl w:val="0"/>
        </w:rPr>
        <w:t xml:space="preserve">Comparative Analysis: Leading Case Management Systems</w:t>
      </w:r>
    </w:p>
    <w:p w:rsidR="00000000" w:rsidDel="00000000" w:rsidP="00000000" w:rsidRDefault="00000000" w:rsidRPr="00000000" w14:paraId="00000014">
      <w:pPr>
        <w:rPr/>
      </w:pPr>
      <w:r w:rsidDel="00000000" w:rsidR="00000000" w:rsidRPr="00000000">
        <w:rPr>
          <w:rtl w:val="0"/>
        </w:rPr>
        <w:t xml:space="preserve">Platform,Scalability &amp; Complexity,Cost (Per User/Mo),Texas Bar Advantage</w:t>
      </w:r>
    </w:p>
    <w:p w:rsidR="00000000" w:rsidDel="00000000" w:rsidP="00000000" w:rsidRDefault="00000000" w:rsidRPr="00000000" w14:paraId="00000015">
      <w:pPr>
        <w:rPr/>
      </w:pPr>
      <w:r w:rsidDel="00000000" w:rsidR="00000000" w:rsidRPr="00000000">
        <w:rPr>
          <w:rtl w:val="0"/>
        </w:rPr>
        <w:t xml:space="preserve">Litify,High; Enterprise-grade; Multiple teams,~$150,Native Salesforce reporting; no specific Bar discount.</w:t>
      </w:r>
    </w:p>
    <w:p w:rsidR="00000000" w:rsidDel="00000000" w:rsidP="00000000" w:rsidRDefault="00000000" w:rsidRPr="00000000" w14:paraId="00000016">
      <w:pPr>
        <w:rPr/>
      </w:pPr>
      <w:r w:rsidDel="00000000" w:rsidR="00000000" w:rsidRPr="00000000">
        <w:rPr>
          <w:rtl w:val="0"/>
        </w:rPr>
        <w:t xml:space="preserve">Filevine,Mid-High; Highly customizable,~$109,Flexible workflows; no specific Bar discount.</w:t>
      </w:r>
    </w:p>
    <w:p w:rsidR="00000000" w:rsidDel="00000000" w:rsidP="00000000" w:rsidRDefault="00000000" w:rsidRPr="00000000" w14:paraId="00000017">
      <w:pPr>
        <w:rPr/>
      </w:pPr>
      <w:r w:rsidDel="00000000" w:rsidR="00000000" w:rsidRPr="00000000">
        <w:rPr>
          <w:rtl w:val="0"/>
        </w:rPr>
        <w:t xml:space="preserve">Clio,Mid; Flexible cloud platform,$49 – $149,Lowest Entry Point;  broad app ecosystem.</w:t>
      </w:r>
    </w:p>
    <w:p w:rsidR="00000000" w:rsidDel="00000000" w:rsidP="00000000" w:rsidRDefault="00000000" w:rsidRPr="00000000" w14:paraId="00000018">
      <w:pPr>
        <w:rPr/>
      </w:pPr>
      <w:r w:rsidDel="00000000" w:rsidR="00000000" w:rsidRPr="00000000">
        <w:rPr>
          <w:rtl w:val="0"/>
        </w:rPr>
        <w:t xml:space="preserve">MyCase,Solo/Small; Low-friction,~$39,Economical for startups; no specific Bar discount.</w:t>
      </w:r>
    </w:p>
    <w:p w:rsidR="00000000" w:rsidDel="00000000" w:rsidP="00000000" w:rsidRDefault="00000000" w:rsidRPr="00000000" w14:paraId="00000019">
      <w:pPr>
        <w:rPr/>
      </w:pPr>
      <w:r w:rsidDel="00000000" w:rsidR="00000000" w:rsidRPr="00000000">
        <w:rPr>
          <w:b w:val="1"/>
          <w:bCs w:val="1"/>
          <w:rtl w:val="0"/>
        </w:rPr>
        <w:t xml:space="preserve">Texas Bar Member Strategic Advantage:</w:t>
      </w:r>
      <w:r w:rsidDel="00000000" w:rsidR="00000000" w:rsidRPr="00000000">
        <w:rPr>
          <w:rtl w:val="0"/>
        </w:rPr>
        <w:t xml:space="preserve">  Leverage State Bar of Texas benefits to reduce overhead. Members receive  </w:t>
      </w:r>
      <w:r w:rsidDel="00000000" w:rsidR="00000000" w:rsidRPr="00000000">
        <w:rPr>
          <w:b w:val="1"/>
          <w:bCs w:val="1"/>
          <w:rtl w:val="0"/>
        </w:rPr>
        <w:t xml:space="preserve">10% discounts</w:t>
      </w:r>
      <w:r w:rsidDel="00000000" w:rsidR="00000000" w:rsidRPr="00000000">
        <w:rPr>
          <w:rtl w:val="0"/>
        </w:rPr>
        <w:t xml:space="preserve">  for  </w:t>
      </w:r>
      <w:r w:rsidDel="00000000" w:rsidR="00000000" w:rsidRPr="00000000">
        <w:rPr>
          <w:b w:val="1"/>
          <w:bCs w:val="1"/>
          <w:rtl w:val="0"/>
        </w:rPr>
        <w:t xml:space="preserve">Smokeball</w:t>
      </w:r>
      <w:r w:rsidDel="00000000" w:rsidR="00000000" w:rsidRPr="00000000">
        <w:rPr>
          <w:rtl w:val="0"/>
        </w:rPr>
        <w:t xml:space="preserve"> ,  </w:t>
      </w:r>
      <w:r w:rsidDel="00000000" w:rsidR="00000000" w:rsidRPr="00000000">
        <w:rPr>
          <w:b w:val="1"/>
          <w:bCs w:val="1"/>
          <w:rtl w:val="0"/>
        </w:rPr>
        <w:t xml:space="preserve">Lawmatics</w:t>
      </w:r>
      <w:r w:rsidDel="00000000" w:rsidR="00000000" w:rsidRPr="00000000">
        <w:rPr>
          <w:rtl w:val="0"/>
        </w:rPr>
        <w:t xml:space="preserve"> ,  </w:t>
      </w:r>
      <w:r w:rsidDel="00000000" w:rsidR="00000000" w:rsidRPr="00000000">
        <w:rPr>
          <w:b w:val="1"/>
          <w:bCs w:val="1"/>
          <w:rtl w:val="0"/>
        </w:rPr>
        <w:t xml:space="preserve">CosmoLex</w:t>
      </w:r>
      <w:r w:rsidDel="00000000" w:rsidR="00000000" w:rsidRPr="00000000">
        <w:rPr>
          <w:rtl w:val="0"/>
        </w:rPr>
        <w:t xml:space="preserve"> , and  </w:t>
      </w:r>
      <w:r w:rsidDel="00000000" w:rsidR="00000000" w:rsidRPr="00000000">
        <w:rPr>
          <w:b w:val="1"/>
          <w:bCs w:val="1"/>
          <w:rtl w:val="0"/>
        </w:rPr>
        <w:t xml:space="preserve">Rocket Matter</w:t>
      </w:r>
      <w:r w:rsidDel="00000000" w:rsidR="00000000" w:rsidRPr="00000000">
        <w:rPr>
          <w:rtl w:val="0"/>
        </w:rPr>
        <w:t xml:space="preserve"> . Additionally,  </w:t>
      </w:r>
      <w:r w:rsidDel="00000000" w:rsidR="00000000" w:rsidRPr="00000000">
        <w:rPr>
          <w:b w:val="1"/>
          <w:bCs w:val="1"/>
          <w:rtl w:val="0"/>
        </w:rPr>
        <w:t xml:space="preserve">Smokeball Bill</w:t>
      </w:r>
      <w:r w:rsidDel="00000000" w:rsidR="00000000" w:rsidRPr="00000000">
        <w:rPr>
          <w:rtl w:val="0"/>
        </w:rPr>
        <w:t xml:space="preserve">  is available for free to Texas Bar members for trust accounting and billing compliance.</w:t>
      </w:r>
    </w:p>
    <w:p w:rsidR="00000000" w:rsidDel="00000000" w:rsidP="00000000" w:rsidRDefault="00000000" w:rsidRPr="00000000" w14:paraId="0000001A">
      <w:pPr>
        <w:pStyle w:val="Heading5"/>
        <w:rPr/>
      </w:pPr>
      <w:bookmarkStart w:colFirst="0" w:colLast="0" w:name="_dftuyo5aznq" w:id="9"/>
      <w:bookmarkEnd w:id="9"/>
      <w:r w:rsidDel="00000000" w:rsidR="00000000" w:rsidRPr="00000000">
        <w:rPr>
          <w:rtl w:val="0"/>
        </w:rPr>
        <w:t xml:space="preserve">AI-First Tools: Directives for Automation</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Deploy Smith.ai:</w:t>
      </w:r>
      <w:r w:rsidDel="00000000" w:rsidR="00000000" w:rsidRPr="00000000">
        <w:rPr>
          <w:rtl w:val="0"/>
        </w:rPr>
        <w:t xml:space="preserve">  Automate 24/7 response and CRM-triggered follow-up sequences to ensure zero missed opportunities.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Deploy Tavrn:</w:t>
      </w:r>
      <w:r w:rsidDel="00000000" w:rsidR="00000000" w:rsidRPr="00000000">
        <w:rPr>
          <w:rtl w:val="0"/>
        </w:rPr>
        <w:t xml:space="preserve">  Integrate intake directly with downstream PI workflows in Filevine or Litify to push results instantly.</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Deploy Practice AI:</w:t>
      </w:r>
      <w:r w:rsidDel="00000000" w:rsidR="00000000" w:rsidRPr="00000000">
        <w:rPr>
          <w:rtl w:val="0"/>
        </w:rPr>
        <w:t xml:space="preserve">  Generate AI-driven document collection and case evaluation summaries to reduce "after-call work" for intake staff.</w:t>
      </w:r>
    </w:p>
    <w:p w:rsidR="00000000" w:rsidDel="00000000" w:rsidP="00000000" w:rsidRDefault="00000000" w:rsidRPr="00000000" w14:paraId="0000001E">
      <w:pPr>
        <w:pStyle w:val="Heading5"/>
        <w:rPr/>
      </w:pPr>
      <w:bookmarkStart w:colFirst="0" w:colLast="0" w:name="_7w6z32rdgpk8" w:id="10"/>
      <w:bookmarkEnd w:id="10"/>
      <w:r w:rsidDel="00000000" w:rsidR="00000000" w:rsidRPr="00000000">
        <w:rPr>
          <w:rtl w:val="0"/>
        </w:rPr>
        <w:t xml:space="preserve">The Litify-Native Advantage</w:t>
      </w:r>
    </w:p>
    <w:p w:rsidR="00000000" w:rsidDel="00000000" w:rsidP="00000000" w:rsidRDefault="00000000" w:rsidRPr="00000000" w14:paraId="0000001F">
      <w:pPr>
        <w:rPr/>
      </w:pPr>
      <w:r w:rsidDel="00000000" w:rsidR="00000000" w:rsidRPr="00000000">
        <w:rPr>
          <w:rtl w:val="0"/>
        </w:rPr>
        <w:t xml:space="preserve">The strategic value of a "Litify-Native" architecture is the  </w:t>
      </w:r>
      <w:r w:rsidDel="00000000" w:rsidR="00000000" w:rsidRPr="00000000">
        <w:rPr>
          <w:b w:val="1"/>
          <w:bCs w:val="1"/>
          <w:rtl w:val="0"/>
        </w:rPr>
        <w:t xml:space="preserve">bi-directional API sync.</w:t>
      </w:r>
      <w:r w:rsidDel="00000000" w:rsidR="00000000" w:rsidRPr="00000000">
        <w:rPr>
          <w:rtl w:val="0"/>
        </w:rPr>
        <w:t xml:space="preserve">  Standardized data fields—including Liability, Insurance Coverage, and Treatment Status (e.g., MRI results)—move from the initial call directly into the matter file. This eliminates the re-typing tax and ensures the pre-litigation team acts on the "Single Source of Truth" without delay.</w:t>
      </w:r>
    </w:p>
    <w:p w:rsidR="00000000" w:rsidDel="00000000" w:rsidP="00000000" w:rsidRDefault="00000000" w:rsidRPr="00000000" w14:paraId="00000020">
      <w:pPr>
        <w:pStyle w:val="Heading4"/>
        <w:rPr/>
      </w:pPr>
      <w:bookmarkStart w:colFirst="0" w:colLast="0" w:name="_1vrdd7626b52" w:id="11"/>
      <w:bookmarkEnd w:id="11"/>
      <w:r w:rsidDel="00000000" w:rsidR="00000000" w:rsidRPr="00000000">
        <w:rPr>
          <w:rtl w:val="0"/>
        </w:rPr>
        <w:t xml:space="preserve">4. Empirical Justification: Case Studies in Operational Lift</w:t>
      </w:r>
    </w:p>
    <w:p w:rsidR="00000000" w:rsidDel="00000000" w:rsidP="00000000" w:rsidRDefault="00000000" w:rsidRPr="00000000" w14:paraId="00000021">
      <w:pPr>
        <w:rPr/>
      </w:pPr>
      <w:r w:rsidDel="00000000" w:rsidR="00000000" w:rsidRPr="00000000">
        <w:rPr>
          <w:rtl w:val="0"/>
        </w:rPr>
        <w:t xml:space="preserve">For partners, operational lift is not a "soft" benefit—it is the catalyst for  </w:t>
      </w:r>
      <w:r w:rsidDel="00000000" w:rsidR="00000000" w:rsidRPr="00000000">
        <w:rPr>
          <w:b w:val="1"/>
          <w:bCs w:val="1"/>
          <w:rtl w:val="0"/>
        </w:rPr>
        <w:t xml:space="preserve">non-linear growth.</w:t>
      </w:r>
      <w:r w:rsidDel="00000000" w:rsidR="00000000" w:rsidRPr="00000000">
        <w:rPr>
          <w:rtl w:val="0"/>
        </w:rPr>
        <w:t xml:space="preserve">  Increasing efficiency allows a firm to increase case volume by 20% or more without a corresponding 20% increase in intake headcount.</w:t>
      </w:r>
    </w:p>
    <w:p w:rsidR="00000000" w:rsidDel="00000000" w:rsidP="00000000" w:rsidRDefault="00000000" w:rsidRPr="00000000" w14:paraId="00000022">
      <w:pPr>
        <w:pStyle w:val="Heading5"/>
        <w:rPr/>
      </w:pPr>
      <w:bookmarkStart w:colFirst="0" w:colLast="0" w:name="_dbt3hxj7t1hl" w:id="12"/>
      <w:bookmarkEnd w:id="12"/>
      <w:r w:rsidDel="00000000" w:rsidR="00000000" w:rsidRPr="00000000">
        <w:rPr>
          <w:rtl w:val="0"/>
        </w:rPr>
        <w:t xml:space="preserve">Performance Benchmarks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Phillips Law:</w:t>
      </w:r>
      <w:r w:rsidDel="00000000" w:rsidR="00000000" w:rsidRPr="00000000">
        <w:rPr>
          <w:rtl w:val="0"/>
        </w:rPr>
        <w:t xml:space="preserve">  Achieved a  </w:t>
      </w:r>
      <w:r w:rsidDel="00000000" w:rsidR="00000000" w:rsidRPr="00000000">
        <w:rPr>
          <w:b w:val="1"/>
          <w:bCs w:val="1"/>
          <w:rtl w:val="0"/>
        </w:rPr>
        <w:t xml:space="preserve">50% reduction</w:t>
      </w:r>
      <w:r w:rsidDel="00000000" w:rsidR="00000000" w:rsidRPr="00000000">
        <w:rPr>
          <w:rtl w:val="0"/>
        </w:rPr>
        <w:t xml:space="preserve">  in intake processing time by centralizing workflows.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Angel Reyes &amp; Associates:</w:t>
      </w:r>
      <w:r w:rsidDel="00000000" w:rsidR="00000000" w:rsidRPr="00000000">
        <w:rPr>
          <w:rtl w:val="0"/>
        </w:rPr>
        <w:t xml:space="preserve">  Realized  </w:t>
      </w:r>
      <w:r w:rsidDel="00000000" w:rsidR="00000000" w:rsidRPr="00000000">
        <w:rPr>
          <w:b w:val="1"/>
          <w:bCs w:val="1"/>
          <w:rtl w:val="0"/>
        </w:rPr>
        <w:t xml:space="preserve">15% higher intake conversion</w:t>
      </w:r>
      <w:r w:rsidDel="00000000" w:rsidR="00000000" w:rsidRPr="00000000">
        <w:rPr>
          <w:rtl w:val="0"/>
        </w:rPr>
        <w:t xml:space="preserve">  and  </w:t>
      </w:r>
      <w:r w:rsidDel="00000000" w:rsidR="00000000" w:rsidRPr="00000000">
        <w:rPr>
          <w:b w:val="1"/>
          <w:bCs w:val="1"/>
          <w:rtl w:val="0"/>
        </w:rPr>
        <w:t xml:space="preserve">20% faster case processing</w:t>
      </w:r>
      <w:r w:rsidDel="00000000" w:rsidR="00000000" w:rsidRPr="00000000">
        <w:rPr>
          <w:rtl w:val="0"/>
        </w:rPr>
        <w:t xml:space="preserve">  post-implementation.</w:t>
      </w:r>
    </w:p>
    <w:p w:rsidR="00000000" w:rsidDel="00000000" w:rsidP="00000000" w:rsidRDefault="00000000" w:rsidRPr="00000000" w14:paraId="00000025">
      <w:pPr>
        <w:pStyle w:val="Heading5"/>
        <w:rPr/>
      </w:pPr>
      <w:bookmarkStart w:colFirst="0" w:colLast="0" w:name="_1psikfdnknpn" w:id="13"/>
      <w:bookmarkEnd w:id="13"/>
      <w:r w:rsidDel="00000000" w:rsidR="00000000" w:rsidRPr="00000000">
        <w:rPr>
          <w:rtl w:val="0"/>
        </w:rPr>
        <w:t xml:space="preserve">The Strategic "So What?"</w:t>
      </w:r>
    </w:p>
    <w:p w:rsidR="00000000" w:rsidDel="00000000" w:rsidP="00000000" w:rsidRDefault="00000000" w:rsidRPr="00000000" w14:paraId="00000026">
      <w:pPr>
        <w:rPr/>
      </w:pPr>
      <w:r w:rsidDel="00000000" w:rsidR="00000000" w:rsidRPr="00000000">
        <w:rPr>
          <w:rtl w:val="0"/>
        </w:rPr>
        <w:t xml:space="preserve">These metrics demonstrate that faster processing increases the firm’s capacity to handle high-value matters. By automating the high-volume, repetitive elements of intake, firms can reallocate their most expensive talent to high-level case strategy and advocacy, driving higher settlement outcomes and faster capital rotation.</w:t>
      </w:r>
    </w:p>
    <w:p w:rsidR="00000000" w:rsidDel="00000000" w:rsidP="00000000" w:rsidRDefault="00000000" w:rsidRPr="00000000" w14:paraId="00000027">
      <w:pPr>
        <w:pStyle w:val="Heading4"/>
        <w:rPr/>
      </w:pPr>
      <w:bookmarkStart w:colFirst="0" w:colLast="0" w:name="_ups2pcp0gfdg" w:id="14"/>
      <w:bookmarkEnd w:id="14"/>
      <w:r w:rsidDel="00000000" w:rsidR="00000000" w:rsidRPr="00000000">
        <w:rPr>
          <w:rtl w:val="0"/>
        </w:rPr>
        <w:t xml:space="preserve">5. Strategic Lead Acquisition and the "Case Asset" Marketplace</w:t>
      </w:r>
    </w:p>
    <w:p w:rsidR="00000000" w:rsidDel="00000000" w:rsidP="00000000" w:rsidRDefault="00000000" w:rsidRPr="00000000" w14:paraId="00000028">
      <w:pPr>
        <w:rPr/>
      </w:pPr>
      <w:r w:rsidDel="00000000" w:rsidR="00000000" w:rsidRPr="00000000">
        <w:rPr>
          <w:rtl w:val="0"/>
        </w:rPr>
        <w:t xml:space="preserve">Firms must move from "buying leads" to "managing assets." A standardized case asset increases the  </w:t>
      </w:r>
      <w:r w:rsidDel="00000000" w:rsidR="00000000" w:rsidRPr="00000000">
        <w:rPr>
          <w:b w:val="1"/>
          <w:bCs w:val="1"/>
          <w:rtl w:val="0"/>
        </w:rPr>
        <w:t xml:space="preserve">liquidity</w:t>
      </w:r>
      <w:r w:rsidDel="00000000" w:rsidR="00000000" w:rsidRPr="00000000">
        <w:rPr>
          <w:rtl w:val="0"/>
        </w:rPr>
        <w:t xml:space="preserve">  of a firm's inventory; if a case is documented with verified MRIs and policy limits, its referral value—and the speed of that referral fee—increases significantly.</w:t>
      </w:r>
    </w:p>
    <w:p w:rsidR="00000000" w:rsidDel="00000000" w:rsidP="00000000" w:rsidRDefault="00000000" w:rsidRPr="00000000" w14:paraId="00000029">
      <w:pPr>
        <w:pStyle w:val="Heading5"/>
        <w:rPr/>
      </w:pPr>
      <w:bookmarkStart w:colFirst="0" w:colLast="0" w:name="_fzgug1f2b94o" w:id="15"/>
      <w:bookmarkEnd w:id="15"/>
      <w:r w:rsidDel="00000000" w:rsidR="00000000" w:rsidRPr="00000000">
        <w:rPr>
          <w:rtl w:val="0"/>
        </w:rPr>
        <w:t xml:space="preserve">Mapping the Texas PI Lead Gen Market: Top 20 Vendors</w:t>
      </w:r>
    </w:p>
    <w:p w:rsidR="00000000" w:rsidDel="00000000" w:rsidP="00000000" w:rsidRDefault="00000000" w:rsidRPr="00000000" w14:paraId="0000002A">
      <w:pPr>
        <w:rPr/>
      </w:pPr>
      <w:r w:rsidDel="00000000" w:rsidR="00000000" w:rsidRPr="00000000">
        <w:rPr>
          <w:rtl w:val="0"/>
        </w:rPr>
        <w:t xml:space="preserve">Texas firms should categorize vendors by their conversion model to align with the Intake OS:</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Live Transfers (High Intent):</w:t>
      </w:r>
      <w:r w:rsidDel="00000000" w:rsidR="00000000" w:rsidRPr="00000000">
        <w:rPr>
          <w:rtl w:val="0"/>
        </w:rPr>
        <w:t xml:space="preserve">  Best Case Leads, On Point Legal Leads, Legal Growth Marketing, eGenerationMarketing.</w:t>
      </w:r>
    </w:p>
    <w:p w:rsidR="00000000" w:rsidDel="00000000" w:rsidP="00000000" w:rsidRDefault="00000000" w:rsidRPr="00000000" w14:paraId="0000002C">
      <w:pPr>
        <w:numPr>
          <w:ilvl w:val="0"/>
          <w:numId w:val="4"/>
        </w:numPr>
        <w:ind w:left="720" w:hanging="360"/>
        <w:rPr>
          <w:u w:val="none"/>
        </w:rPr>
      </w:pPr>
      <w:r w:rsidDel="00000000" w:rsidR="00000000" w:rsidRPr="00000000">
        <w:rPr>
          <w:b w:val="1"/>
          <w:bCs w:val="1"/>
          <w:rtl w:val="0"/>
        </w:rPr>
        <w:t xml:space="preserve">Signed Retainers (Low Friction):</w:t>
      </w:r>
      <w:r w:rsidDel="00000000" w:rsidR="00000000" w:rsidRPr="00000000">
        <w:rPr>
          <w:rtl w:val="0"/>
        </w:rPr>
        <w:t xml:space="preserve">  Legal Leads Group, On Point Legal Leads, Peak Marketing Service.</w:t>
      </w:r>
    </w:p>
    <w:p w:rsidR="00000000" w:rsidDel="00000000" w:rsidP="00000000" w:rsidRDefault="00000000" w:rsidRPr="00000000" w14:paraId="0000002D">
      <w:pPr>
        <w:numPr>
          <w:ilvl w:val="0"/>
          <w:numId w:val="4"/>
        </w:numPr>
        <w:ind w:left="720" w:hanging="360"/>
        <w:rPr>
          <w:u w:val="none"/>
        </w:rPr>
      </w:pPr>
      <w:r w:rsidDel="00000000" w:rsidR="00000000" w:rsidRPr="00000000">
        <w:rPr>
          <w:b w:val="1"/>
          <w:bCs w:val="1"/>
          <w:rtl w:val="0"/>
        </w:rPr>
        <w:t xml:space="preserve">SEO/PPC &amp; Full-Service Agencies (Owned Pipeline):</w:t>
      </w:r>
      <w:r w:rsidDel="00000000" w:rsidR="00000000" w:rsidRPr="00000000">
        <w:rPr>
          <w:rtl w:val="0"/>
        </w:rPr>
        <w:t xml:space="preserve">  iLawyer Marketing, Androvett, Legal Guardian, LaGrande Marketing, MileMark Media, Dominate Marketing, The Legal Marketing Company, MeanPug, Exposure Ninja, dNOVO Group, Innovative Marketing, The AD Leaf.</w:t>
      </w:r>
    </w:p>
    <w:p w:rsidR="00000000" w:rsidDel="00000000" w:rsidP="00000000" w:rsidRDefault="00000000" w:rsidRPr="00000000" w14:paraId="0000002E">
      <w:pPr>
        <w:numPr>
          <w:ilvl w:val="0"/>
          <w:numId w:val="4"/>
        </w:numPr>
        <w:ind w:left="720" w:hanging="360"/>
        <w:rPr>
          <w:u w:val="none"/>
        </w:rPr>
      </w:pPr>
      <w:r w:rsidDel="00000000" w:rsidR="00000000" w:rsidRPr="00000000">
        <w:rPr>
          <w:b w:val="1"/>
          <w:bCs w:val="1"/>
          <w:rtl w:val="0"/>
        </w:rPr>
        <w:t xml:space="preserve">Mass Tort Specialization:</w:t>
      </w:r>
      <w:r w:rsidDel="00000000" w:rsidR="00000000" w:rsidRPr="00000000">
        <w:rPr>
          <w:rtl w:val="0"/>
        </w:rPr>
        <w:t xml:space="preserve">  Best Case Leads Mass Torts.</w:t>
      </w:r>
    </w:p>
    <w:p w:rsidR="00000000" w:rsidDel="00000000" w:rsidP="00000000" w:rsidRDefault="00000000" w:rsidRPr="00000000" w14:paraId="0000002F">
      <w:pPr>
        <w:pStyle w:val="Heading5"/>
        <w:rPr/>
      </w:pPr>
      <w:bookmarkStart w:colFirst="0" w:colLast="0" w:name="_t0sd89h2pw1y" w:id="16"/>
      <w:bookmarkEnd w:id="16"/>
      <w:r w:rsidDel="00000000" w:rsidR="00000000" w:rsidRPr="00000000">
        <w:rPr>
          <w:rtl w:val="0"/>
        </w:rPr>
        <w:t xml:space="preserve">The Standardized Data Model for Case Trading</w:t>
      </w:r>
    </w:p>
    <w:p w:rsidR="00000000" w:rsidDel="00000000" w:rsidP="00000000" w:rsidRDefault="00000000" w:rsidRPr="00000000" w14:paraId="00000030">
      <w:pPr>
        <w:rPr/>
      </w:pPr>
      <w:r w:rsidDel="00000000" w:rsidR="00000000" w:rsidRPr="00000000">
        <w:rPr>
          <w:rtl w:val="0"/>
        </w:rPr>
        <w:t xml:space="preserve">To facilitate "liquidity" in case trading, matters must be packaged using a standardized taxonomy:</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Case Identification:</w:t>
      </w:r>
      <w:r w:rsidDel="00000000" w:rsidR="00000000" w:rsidRPr="00000000">
        <w:rPr>
          <w:rtl w:val="0"/>
        </w:rPr>
        <w:t xml:space="preserve">  Matter number, name, date opened, and source.</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Liability &amp; Coverage:</w:t>
      </w:r>
      <w:r w:rsidDel="00000000" w:rsidR="00000000" w:rsidRPr="00000000">
        <w:rPr>
          <w:rtl w:val="0"/>
        </w:rPr>
        <w:t xml:space="preserve">  Accident type, fault assessment, at-fault carrier, and policy limits.</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Damages &amp; Treatment:</w:t>
      </w:r>
      <w:r w:rsidDel="00000000" w:rsidR="00000000" w:rsidRPr="00000000">
        <w:rPr>
          <w:rtl w:val="0"/>
        </w:rPr>
        <w:t xml:space="preserve">  Injury type, treatment status (active/completed),  </w:t>
      </w:r>
      <w:r w:rsidDel="00000000" w:rsidR="00000000" w:rsidRPr="00000000">
        <w:rPr>
          <w:b w:val="1"/>
          <w:bCs w:val="1"/>
          <w:rtl w:val="0"/>
        </w:rPr>
        <w:t xml:space="preserve">visit counts</w:t>
      </w:r>
      <w:r w:rsidDel="00000000" w:rsidR="00000000" w:rsidRPr="00000000">
        <w:rPr>
          <w:rtl w:val="0"/>
        </w:rPr>
        <w:t xml:space="preserve"> , and  </w:t>
      </w:r>
      <w:r w:rsidDel="00000000" w:rsidR="00000000" w:rsidRPr="00000000">
        <w:rPr>
          <w:b w:val="1"/>
          <w:bCs w:val="1"/>
          <w:rtl w:val="0"/>
        </w:rPr>
        <w:t xml:space="preserve">MRI/Diagnostic results</w:t>
      </w:r>
      <w:r w:rsidDel="00000000" w:rsidR="00000000" w:rsidRPr="00000000">
        <w:rPr>
          <w:rtl w:val="0"/>
        </w:rPr>
        <w:t xml:space="preserve"> .</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Documentation Status:</w:t>
      </w:r>
      <w:r w:rsidDel="00000000" w:rsidR="00000000" w:rsidRPr="00000000">
        <w:rPr>
          <w:rtl w:val="0"/>
        </w:rPr>
        <w:t xml:space="preserve">  Police reports, accident photos, and medical record completion percentage.</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bCs w:val="1"/>
          <w:rtl w:val="0"/>
        </w:rPr>
        <w:t xml:space="preserve">Case Economics:</w:t>
      </w:r>
      <w:r w:rsidDel="00000000" w:rsidR="00000000" w:rsidRPr="00000000">
        <w:rPr>
          <w:rtl w:val="0"/>
        </w:rPr>
        <w:t xml:space="preserve">  Documented bills, costs advanced, and lien status (Medicare/Medicaid).</w:t>
      </w:r>
    </w:p>
    <w:p w:rsidR="00000000" w:rsidDel="00000000" w:rsidP="00000000" w:rsidRDefault="00000000" w:rsidRPr="00000000" w14:paraId="00000036">
      <w:pPr>
        <w:numPr>
          <w:ilvl w:val="0"/>
          <w:numId w:val="6"/>
        </w:numPr>
        <w:ind w:left="720" w:hanging="360"/>
        <w:rPr>
          <w:u w:val="none"/>
        </w:rPr>
      </w:pPr>
      <w:r w:rsidDel="00000000" w:rsidR="00000000" w:rsidRPr="00000000">
        <w:rPr>
          <w:b w:val="1"/>
          <w:bCs w:val="1"/>
          <w:rtl w:val="0"/>
        </w:rPr>
        <w:t xml:space="preserve">Client Information:</w:t>
      </w:r>
      <w:r w:rsidDel="00000000" w:rsidR="00000000" w:rsidRPr="00000000">
        <w:rPr>
          <w:rtl w:val="0"/>
        </w:rPr>
        <w:t xml:space="preserve">  Responsiveness, language preference, and signed retainer status.</w:t>
      </w:r>
    </w:p>
    <w:p w:rsidR="00000000" w:rsidDel="00000000" w:rsidP="00000000" w:rsidRDefault="00000000" w:rsidRPr="00000000" w14:paraId="00000037">
      <w:pPr>
        <w:numPr>
          <w:ilvl w:val="0"/>
          <w:numId w:val="6"/>
        </w:numPr>
        <w:ind w:left="720" w:hanging="360"/>
        <w:rPr>
          <w:u w:val="none"/>
        </w:rPr>
      </w:pPr>
      <w:r w:rsidDel="00000000" w:rsidR="00000000" w:rsidRPr="00000000">
        <w:rPr>
          <w:b w:val="1"/>
          <w:bCs w:val="1"/>
          <w:rtl w:val="0"/>
        </w:rPr>
        <w:t xml:space="preserve">Reason for Transfer:</w:t>
      </w:r>
      <w:r w:rsidDel="00000000" w:rsidR="00000000" w:rsidRPr="00000000">
        <w:rPr>
          <w:rtl w:val="0"/>
        </w:rPr>
        <w:t xml:space="preserve">  Categorized specifically as  </w:t>
      </w:r>
      <w:r w:rsidDel="00000000" w:rsidR="00000000" w:rsidRPr="00000000">
        <w:rPr>
          <w:b w:val="1"/>
          <w:bCs w:val="1"/>
          <w:rtl w:val="0"/>
        </w:rPr>
        <w:t xml:space="preserve">Staffing/Capacity</w:t>
      </w:r>
      <w:r w:rsidDel="00000000" w:rsidR="00000000" w:rsidRPr="00000000">
        <w:rPr>
          <w:rtl w:val="0"/>
        </w:rPr>
        <w:t xml:space="preserve"> , Geography, or  </w:t>
      </w:r>
      <w:r w:rsidDel="00000000" w:rsidR="00000000" w:rsidRPr="00000000">
        <w:rPr>
          <w:b w:val="1"/>
          <w:bCs w:val="1"/>
          <w:rtl w:val="0"/>
        </w:rPr>
        <w:t xml:space="preserve">Client Non-Compliance (No Treatment)</w:t>
      </w:r>
      <w:r w:rsidDel="00000000" w:rsidR="00000000" w:rsidRPr="00000000">
        <w:rPr>
          <w:rtl w:val="0"/>
        </w:rPr>
        <w:t xml:space="preserve"> .</w:t>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Referral Terms:</w:t>
      </w:r>
      <w:r w:rsidDel="00000000" w:rsidR="00000000" w:rsidRPr="00000000">
        <w:rPr>
          <w:rtl w:val="0"/>
        </w:rPr>
        <w:t xml:space="preserve">  Fee percentages and cost-absorption rules.</w:t>
      </w:r>
    </w:p>
    <w:p w:rsidR="00000000" w:rsidDel="00000000" w:rsidP="00000000" w:rsidRDefault="00000000" w:rsidRPr="00000000" w14:paraId="00000039">
      <w:pPr>
        <w:pStyle w:val="Heading5"/>
        <w:rPr/>
      </w:pPr>
      <w:bookmarkStart w:colFirst="0" w:colLast="0" w:name="_t1kjdkk72ob6" w:id="17"/>
      <w:bookmarkEnd w:id="17"/>
      <w:r w:rsidDel="00000000" w:rsidR="00000000" w:rsidRPr="00000000">
        <w:rPr>
          <w:rtl w:val="0"/>
        </w:rPr>
        <w:t xml:space="preserve">Critique of "Lead Gen Regrets" and Compliance</w:t>
      </w:r>
    </w:p>
    <w:p w:rsidR="00000000" w:rsidDel="00000000" w:rsidP="00000000" w:rsidRDefault="00000000" w:rsidRPr="00000000" w14:paraId="0000003A">
      <w:pPr>
        <w:rPr/>
      </w:pPr>
      <w:r w:rsidDel="00000000" w:rsidR="00000000" w:rsidRPr="00000000">
        <w:rPr>
          <w:rtl w:val="0"/>
        </w:rPr>
        <w:t xml:space="preserve">Firms regret lead-gen investments because they ignore the  </w:t>
      </w:r>
      <w:r w:rsidDel="00000000" w:rsidR="00000000" w:rsidRPr="00000000">
        <w:rPr>
          <w:b w:val="1"/>
          <w:bCs w:val="1"/>
          <w:rtl w:val="0"/>
        </w:rPr>
        <w:t xml:space="preserve">intake labor drain</w:t>
      </w:r>
      <w:r w:rsidDel="00000000" w:rsidR="00000000" w:rsidRPr="00000000">
        <w:rPr>
          <w:rtl w:val="0"/>
        </w:rPr>
        <w:t xml:space="preserve">  and the  </w:t>
      </w:r>
      <w:r w:rsidDel="00000000" w:rsidR="00000000" w:rsidRPr="00000000">
        <w:rPr>
          <w:b w:val="1"/>
          <w:bCs w:val="1"/>
          <w:rtl w:val="0"/>
        </w:rPr>
        <w:t xml:space="preserve">January 2025 TCPA rule updates.</w:t>
      </w:r>
      <w:r w:rsidDel="00000000" w:rsidR="00000000" w:rsidRPr="00000000">
        <w:rPr>
          <w:rtl w:val="0"/>
        </w:rPr>
        <w:t xml:space="preserve">  Buying leads without  </w:t>
      </w:r>
      <w:r w:rsidDel="00000000" w:rsidR="00000000" w:rsidRPr="00000000">
        <w:rPr>
          <w:b w:val="1"/>
          <w:bCs w:val="1"/>
          <w:rtl w:val="0"/>
        </w:rPr>
        <w:t xml:space="preserve">TrustedForm-style proof</w:t>
      </w:r>
      <w:r w:rsidDel="00000000" w:rsidR="00000000" w:rsidRPr="00000000">
        <w:rPr>
          <w:rtl w:val="0"/>
        </w:rPr>
        <w:t xml:space="preserve">  of consent exposes the firm to massive compliance risk. Shift from CPL (Cost Per Lead) to  </w:t>
      </w:r>
      <w:r w:rsidDel="00000000" w:rsidR="00000000" w:rsidRPr="00000000">
        <w:rPr>
          <w:b w:val="1"/>
          <w:bCs w:val="1"/>
          <w:rtl w:val="0"/>
        </w:rPr>
        <w:t xml:space="preserve">CPSC (Cost Per Signed Case)</w:t>
      </w:r>
      <w:r w:rsidDel="00000000" w:rsidR="00000000" w:rsidRPr="00000000">
        <w:rPr>
          <w:rtl w:val="0"/>
        </w:rPr>
        <w:t xml:space="preserve">  thinking to account for the total cost of conversion.</w:t>
      </w:r>
    </w:p>
    <w:p w:rsidR="00000000" w:rsidDel="00000000" w:rsidP="00000000" w:rsidRDefault="00000000" w:rsidRPr="00000000" w14:paraId="0000003B">
      <w:pPr>
        <w:pStyle w:val="Heading4"/>
        <w:rPr/>
      </w:pPr>
      <w:bookmarkStart w:colFirst="0" w:colLast="0" w:name="_qftjbt5gdxa1" w:id="18"/>
      <w:bookmarkEnd w:id="18"/>
      <w:r w:rsidDel="00000000" w:rsidR="00000000" w:rsidRPr="00000000">
        <w:rPr>
          <w:rtl w:val="0"/>
        </w:rPr>
        <w:t xml:space="preserve">6. Implementation Roadmap: 12-Month Digital Transformation</w:t>
      </w:r>
    </w:p>
    <w:p w:rsidR="00000000" w:rsidDel="00000000" w:rsidP="00000000" w:rsidRDefault="00000000" w:rsidRPr="00000000" w14:paraId="0000003C">
      <w:pPr>
        <w:pStyle w:val="Heading5"/>
        <w:rPr/>
      </w:pPr>
      <w:bookmarkStart w:colFirst="0" w:colLast="0" w:name="_idmnwvpbpeu0" w:id="19"/>
      <w:bookmarkEnd w:id="19"/>
      <w:r w:rsidDel="00000000" w:rsidR="00000000" w:rsidRPr="00000000">
        <w:rPr>
          <w:rtl w:val="0"/>
        </w:rPr>
        <w:t xml:space="preserve">Modernization Checklist</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Phase 1 (Immediate): Stop the Bleeding.</w:t>
      </w:r>
      <w:r w:rsidDel="00000000" w:rsidR="00000000" w:rsidRPr="00000000">
        <w:rPr>
          <w:rtl w:val="0"/>
        </w:rPr>
        <w:t xml:space="preserve">  Implement 24/7 AI or live answering (Smith.ai) to ensure 100% call capture.</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Phase 2 (30-60 Days): Systematic Follow-Up.</w:t>
      </w:r>
      <w:r w:rsidDel="00000000" w:rsidR="00000000" w:rsidRPr="00000000">
        <w:rPr>
          <w:rtl w:val="0"/>
        </w:rPr>
        <w:t xml:space="preserve">  Deploy automated SMS/Email sequences and sync intake forms directly to the CRM to eliminate the re-typing tax.</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Phase 3 (90 Days+): Intelligent Evaluation.</w:t>
      </w:r>
      <w:r w:rsidDel="00000000" w:rsidR="00000000" w:rsidRPr="00000000">
        <w:rPr>
          <w:rtl w:val="0"/>
        </w:rPr>
        <w:t xml:space="preserve">  Introduce AI scoring and coaching (Practice AI) to prioritize catastrophic matters and audit script compliance.</w:t>
      </w:r>
    </w:p>
    <w:p w:rsidR="00000000" w:rsidDel="00000000" w:rsidP="00000000" w:rsidRDefault="00000000" w:rsidRPr="00000000" w14:paraId="00000040">
      <w:pPr>
        <w:pStyle w:val="Heading5"/>
        <w:rPr/>
      </w:pPr>
      <w:bookmarkStart w:colFirst="0" w:colLast="0" w:name="_2q2thkfnwo9d" w:id="20"/>
      <w:bookmarkEnd w:id="20"/>
      <w:r w:rsidDel="00000000" w:rsidR="00000000" w:rsidRPr="00000000">
        <w:rPr>
          <w:rtl w:val="0"/>
        </w:rPr>
        <w:t xml:space="preserve">The "Break-In" Strategy for Smaller Firms</w:t>
      </w:r>
    </w:p>
    <w:p w:rsidR="00000000" w:rsidDel="00000000" w:rsidP="00000000" w:rsidRDefault="00000000" w:rsidRPr="00000000" w14:paraId="00000041">
      <w:pPr>
        <w:rPr/>
      </w:pPr>
      <w:r w:rsidDel="00000000" w:rsidR="00000000" w:rsidRPr="00000000">
        <w:rPr>
          <w:rtl w:val="0"/>
        </w:rPr>
        <w:t xml:space="preserve">Smaller firms should adopt a "Free-to-Start" strategy using hubs like  </w:t>
      </w:r>
      <w:r w:rsidDel="00000000" w:rsidR="00000000" w:rsidRPr="00000000">
        <w:rPr>
          <w:b w:val="1"/>
          <w:bCs w:val="1"/>
          <w:rtl w:val="0"/>
        </w:rPr>
        <w:t xml:space="preserve">Bitrix24</w:t>
      </w:r>
      <w:r w:rsidDel="00000000" w:rsidR="00000000" w:rsidRPr="00000000">
        <w:rPr>
          <w:rtl w:val="0"/>
        </w:rPr>
        <w:t xml:space="preserve">  or  </w:t>
      </w:r>
      <w:r w:rsidDel="00000000" w:rsidR="00000000" w:rsidRPr="00000000">
        <w:rPr>
          <w:b w:val="1"/>
          <w:bCs w:val="1"/>
          <w:rtl w:val="0"/>
        </w:rPr>
        <w:t xml:space="preserve">HubSpot Free.</w:t>
      </w:r>
      <w:r w:rsidDel="00000000" w:rsidR="00000000" w:rsidRPr="00000000">
        <w:rPr>
          <w:rtl w:val="0"/>
        </w:rPr>
        <w:t xml:space="preserve">  This allows the firm to build the logic of an Intake OS—automation, routing, and data capture—without the enterprise costs of Litify. Once the logic is proven and revenue scales, the firm can migrate to enterprise-grade tools with a mature data model already in place.The "Intake Operating System" is the definitive competitive advantage for the modern Texas PI firm. By replacing manual friction with a structured, AI-assisted conversation, firms transform their intake department from a cost center into a high-yield conversion engine.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