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EC5F" w14:textId="77777777" w:rsidR="000A5105" w:rsidRDefault="00EC0316">
      <w:pPr>
        <w:spacing w:after="3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CHRIST (Deemed to be University)</w:t>
      </w:r>
    </w:p>
    <w:p w14:paraId="09E3AC97" w14:textId="77777777" w:rsidR="000A5105" w:rsidRDefault="00EC0316">
      <w:pPr>
        <w:spacing w:after="30"/>
        <w:jc w:val="center"/>
      </w:pPr>
      <w:r>
        <w:rPr>
          <w:rFonts w:ascii="Calibri" w:eastAsia="Calibri" w:hAnsi="Calibri" w:cs="Calibri"/>
          <w:sz w:val="21"/>
          <w:szCs w:val="21"/>
        </w:rPr>
        <w:t>Department of Computer Science | Master of Computer Applications</w:t>
      </w:r>
    </w:p>
    <w:p w14:paraId="7E60D98B" w14:textId="77777777" w:rsidR="000A5105" w:rsidRDefault="00EC0316">
      <w:pPr>
        <w:spacing w:after="260"/>
        <w:jc w:val="center"/>
      </w:pPr>
      <w:r>
        <w:rPr>
          <w:rFonts w:ascii="Calibri" w:eastAsia="Calibri" w:hAnsi="Calibri" w:cs="Calibri"/>
          <w:i/>
          <w:iCs/>
          <w:sz w:val="21"/>
          <w:szCs w:val="21"/>
        </w:rPr>
        <w:t>Continuous Internal Assessment – III (Machine Learning – MCA 521-4)</w:t>
      </w:r>
    </w:p>
    <w:p w14:paraId="6486AEA4" w14:textId="77777777" w:rsidR="000A5105" w:rsidRDefault="00EC0316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3864"/>
          <w:sz w:val="29"/>
          <w:szCs w:val="29"/>
        </w:rPr>
        <w:t>ML FOR SOCIAL GOOD CHALLENGE</w:t>
      </w:r>
    </w:p>
    <w:p w14:paraId="1DE6C13E" w14:textId="77777777" w:rsidR="000A5105" w:rsidRDefault="00EC0316">
      <w:pPr>
        <w:spacing w:after="260"/>
        <w:jc w:val="center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Mission Health – Early Prediction of Maternal Health Risk Using Ensemble Learning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</w:tblGrid>
      <w:tr w:rsidR="000A5105" w14:paraId="712FB5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901E12" w14:textId="77777777" w:rsidR="000A5105" w:rsidRDefault="00EC0316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4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DE7B5F" w14:textId="77777777" w:rsidR="000A5105" w:rsidRDefault="00EC0316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Joshua Joby</w:t>
            </w:r>
          </w:p>
        </w:tc>
      </w:tr>
      <w:tr w:rsidR="000A5105" w14:paraId="00FC8B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E9AEA" w14:textId="77777777" w:rsidR="000A5105" w:rsidRDefault="00EC0316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Register Number</w:t>
            </w:r>
          </w:p>
        </w:tc>
        <w:tc>
          <w:tcPr>
            <w:tcW w:w="4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99D7E7" w14:textId="77777777" w:rsidR="000A5105" w:rsidRDefault="00EC0316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2547125</w:t>
            </w:r>
          </w:p>
        </w:tc>
      </w:tr>
      <w:tr w:rsidR="000A5105" w14:paraId="67F570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6EDB77" w14:textId="77777777" w:rsidR="000A5105" w:rsidRDefault="00EC0316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Class</w:t>
            </w:r>
          </w:p>
        </w:tc>
        <w:tc>
          <w:tcPr>
            <w:tcW w:w="4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E66674" w14:textId="77777777" w:rsidR="000A5105" w:rsidRDefault="00EC0316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 MCA A</w:t>
            </w:r>
          </w:p>
        </w:tc>
      </w:tr>
      <w:tr w:rsidR="000A5105" w14:paraId="375A566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D8323B" w14:textId="77777777" w:rsidR="000A5105" w:rsidRDefault="00EC0316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Course</w:t>
            </w:r>
          </w:p>
        </w:tc>
        <w:tc>
          <w:tcPr>
            <w:tcW w:w="4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0BF246" w14:textId="77777777" w:rsidR="000A5105" w:rsidRDefault="00EC0316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Machine Learning (MCA 521-4)</w:t>
            </w:r>
          </w:p>
        </w:tc>
      </w:tr>
      <w:tr w:rsidR="000A5105" w14:paraId="06242D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B16158" w14:textId="77777777" w:rsidR="000A5105" w:rsidRDefault="00EC0316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Mission Selected</w:t>
            </w:r>
          </w:p>
        </w:tc>
        <w:tc>
          <w:tcPr>
            <w:tcW w:w="4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F04216" w14:textId="77777777" w:rsidR="000A5105" w:rsidRDefault="00EC0316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Mission Health</w:t>
            </w:r>
          </w:p>
        </w:tc>
      </w:tr>
      <w:tr w:rsidR="000A5105" w14:paraId="190CD0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DFE95E" w14:textId="77777777" w:rsidR="000A5105" w:rsidRDefault="00EC0316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Implementation</w:t>
            </w:r>
          </w:p>
        </w:tc>
        <w:tc>
          <w:tcPr>
            <w:tcW w:w="4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0878BE" w14:textId="77777777" w:rsidR="000A5105" w:rsidRDefault="00EC0316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3 – Jupyter Notebook</w:t>
            </w:r>
          </w:p>
        </w:tc>
      </w:tr>
    </w:tbl>
    <w:p w14:paraId="1BA15FBE" w14:textId="77777777" w:rsidR="000A5105" w:rsidRDefault="00EC0316">
      <w:pPr>
        <w:spacing w:before="200"/>
        <w:jc w:val="center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Notebook file: CIA3_MaternalHealthRisk_JoshuaJoby_2547125.ipynb</w:t>
      </w:r>
    </w:p>
    <w:p w14:paraId="18E2B01A" w14:textId="77777777" w:rsidR="000A5105" w:rsidRDefault="00EC0316">
      <w:r>
        <w:br w:type="page"/>
      </w:r>
    </w:p>
    <w:p w14:paraId="4B8A9223" w14:textId="77777777" w:rsidR="000A5105" w:rsidRDefault="00EC0316">
      <w:pPr>
        <w:pStyle w:val="Heading1"/>
        <w:spacing w:before="300" w:after="14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lastRenderedPageBreak/>
        <w:t>1. Real-World Impact Framing</w:t>
      </w:r>
    </w:p>
    <w:p w14:paraId="1E152780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1.1 Problem Statement</w:t>
      </w:r>
    </w:p>
    <w:p w14:paraId="2C992AB9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Mission: Health. Target: predict maternal health </w:t>
      </w:r>
      <w:proofErr w:type="spellStart"/>
      <w:r>
        <w:rPr>
          <w:rFonts w:ascii="Calibri" w:eastAsia="Calibri" w:hAnsi="Calibri" w:cs="Calibri"/>
          <w:sz w:val="21"/>
          <w:szCs w:val="21"/>
        </w:rPr>
        <w:t>RiskLevel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(low / mid / high) at an antenatal check-up.</w:t>
      </w:r>
    </w:p>
    <w:p w14:paraId="0B08D127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Unit of analysis: one antenatal check-up record for one woman – not the woman herself, since a woman can appear across multiple visits with different vitals.</w:t>
      </w:r>
    </w:p>
    <w:p w14:paraId="6C4C85C1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Beneficiaries: community health workers in low-resource clinics (primary), and indirectly the mothers/unborn children whose complications could be caught earlier.</w:t>
      </w:r>
    </w:p>
    <w:p w14:paraId="4EB42CFB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Input signal: 6 physiological readings a health worker can take with basic equipment – no lab infrastructure required.</w:t>
      </w:r>
    </w:p>
    <w:p w14:paraId="712E7A5D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1.2 Why Machine Learning (and not a fixed clinical rule)</w:t>
      </w:r>
    </w:p>
    <w:p w14:paraId="1F19322E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Clinical BP/BS thresholds already exist as single-variable rules, but real risk in this data is driven by combinations – e.g. mildly elevated BP + raised BS + atypical HR for age – not one variable crossing a line.</w:t>
      </w:r>
    </w:p>
    <w:p w14:paraId="24A6D3DF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A fixed rule either over-flags (alarm fatigue) or under-flags (misses interaction effects); tree-based ensembles learn these interactions directly from data.</w:t>
      </w:r>
    </w:p>
    <w:p w14:paraId="2F1ADE97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All 6 features are cheap to measure → model is deployable in the exact low-resource setting the brief targets.</w:t>
      </w:r>
    </w:p>
    <w:p w14:paraId="34DA12C2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1.3 Dataset Source and Citation</w:t>
      </w:r>
    </w:p>
    <w:p w14:paraId="2D0E7664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Maternal Health Risk Data Set, Ahmed, M. (2020), UCI Machine Learning Repository. DOI: 10.24432/C5DP5D. License: CC BY 4.0.</w:t>
      </w:r>
    </w:p>
    <w:p w14:paraId="1EE0B2F8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1,014 records collected via an IoT-based risk-monitoring system across hospitals/clinics in rural Bangladesh.</w:t>
      </w:r>
    </w:p>
    <w:p w14:paraId="2D3EA95D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Features: Age, </w:t>
      </w:r>
      <w:proofErr w:type="spellStart"/>
      <w:r>
        <w:rPr>
          <w:rFonts w:ascii="Calibri" w:eastAsia="Calibri" w:hAnsi="Calibri" w:cs="Calibri"/>
          <w:sz w:val="21"/>
          <w:szCs w:val="21"/>
        </w:rPr>
        <w:t>SystolicBP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DiastolicBP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BS (blood sugar, mmol/L), </w:t>
      </w:r>
      <w:proofErr w:type="spellStart"/>
      <w:r>
        <w:rPr>
          <w:rFonts w:ascii="Calibri" w:eastAsia="Calibri" w:hAnsi="Calibri" w:cs="Calibri"/>
          <w:sz w:val="21"/>
          <w:szCs w:val="21"/>
        </w:rPr>
        <w:t>BodyTemp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(°F), </w:t>
      </w:r>
      <w:proofErr w:type="spellStart"/>
      <w:r>
        <w:rPr>
          <w:rFonts w:ascii="Calibri" w:eastAsia="Calibri" w:hAnsi="Calibri" w:cs="Calibri"/>
          <w:sz w:val="21"/>
          <w:szCs w:val="21"/>
        </w:rPr>
        <w:t>HeartRate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(bpm). Target: </w:t>
      </w:r>
      <w:proofErr w:type="spellStart"/>
      <w:r>
        <w:rPr>
          <w:rFonts w:ascii="Calibri" w:eastAsia="Calibri" w:hAnsi="Calibri" w:cs="Calibri"/>
          <w:sz w:val="21"/>
          <w:szCs w:val="21"/>
        </w:rPr>
        <w:t>RiskLevel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(low/mid/high).</w:t>
      </w:r>
    </w:p>
    <w:p w14:paraId="57F42362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No PII – all fields are anonymised numeric vitals, satisfying the no-PII requirement in the brief.</w:t>
      </w:r>
    </w:p>
    <w:p w14:paraId="4BFE5532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1.4 Measurable Impact</w:t>
      </w:r>
    </w:p>
    <w:p w14:paraId="77173CE5" w14:textId="77777777" w:rsidR="000A5105" w:rsidRDefault="00EC0316">
      <w:pPr>
        <w:spacing w:after="120" w:line="264" w:lineRule="auto"/>
        <w:jc w:val="both"/>
      </w:pPr>
      <w:r>
        <w:rPr>
          <w:rFonts w:ascii="Calibri" w:eastAsia="Calibri" w:hAnsi="Calibri" w:cs="Calibri"/>
          <w:sz w:val="21"/>
          <w:szCs w:val="21"/>
        </w:rPr>
        <w:t>Impact is measured primarily as recall on the high-risk class, not overall accuracy, since accuracy on a 3-class problem can look strong purely from the majority (low-risk) class. A high-risk recall of ⊅0.85 means most true high-risk check-ups get flagged for referral – the actual outcome that matters clinically. Section 3 reports this explicitly per class.</w:t>
      </w:r>
    </w:p>
    <w:p w14:paraId="5188264F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1.5 Responsible-Use Limitations</w:t>
      </w:r>
    </w:p>
    <w:p w14:paraId="6F328E1F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Single-country data (Bangladesh, rural clinics, ~2019–2020) – not validated for other populations without re-training/re-validation.</w:t>
      </w:r>
    </w:p>
    <w:p w14:paraId="01832AE9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Small sample after cleaning (451 records) for a 3-class clinical problem – performance estimates carry real uncertainty.</w:t>
      </w:r>
    </w:p>
    <w:p w14:paraId="2011D2A3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No gestational age, parity, or lab-confirmed diagnosis fields – model is a screening aid only, not a diagnostic tool.</w:t>
      </w:r>
    </w:p>
    <w:p w14:paraId="66CA6E36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False negatives (missed high-risk cases) are clinically far costlier than false positives – addressed via class weighting (Section 3) and discussed in Section 4.</w:t>
      </w:r>
    </w:p>
    <w:p w14:paraId="7EF2FF64" w14:textId="77777777" w:rsidR="000A5105" w:rsidRDefault="00EC0316">
      <w:r>
        <w:br w:type="page"/>
      </w:r>
    </w:p>
    <w:p w14:paraId="4B3CABE5" w14:textId="77777777" w:rsidR="000A5105" w:rsidRDefault="00EC0316">
      <w:pPr>
        <w:pStyle w:val="Heading1"/>
        <w:spacing w:before="300" w:after="14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lastRenderedPageBreak/>
        <w:t>2. Data Wrangling and Feature Engineering</w:t>
      </w:r>
    </w:p>
    <w:p w14:paraId="719B40BD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2.1 Data Audit (raw data, n = 1,014)</w:t>
      </w:r>
    </w:p>
    <w:p w14:paraId="6C0F769D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Missing values: 0 across all 6 features and target.</w:t>
      </w:r>
    </w:p>
    <w:p w14:paraId="28464ADD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Exact duplicate rows: 562 – dropped as repeated IoT transmissions of the same reading.</w:t>
      </w:r>
    </w:p>
    <w:p w14:paraId="2BB2D46E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Invalid records: 1 row with </w:t>
      </w:r>
      <w:proofErr w:type="spellStart"/>
      <w:r>
        <w:rPr>
          <w:rFonts w:ascii="Calibri" w:eastAsia="Calibri" w:hAnsi="Calibri" w:cs="Calibri"/>
          <w:sz w:val="21"/>
          <w:szCs w:val="21"/>
        </w:rPr>
        <w:t>HeartRate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= 7 bpm (physiologically impossible) – removed as a sensor fault.</w:t>
      </w:r>
    </w:p>
    <w:p w14:paraId="068C5921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Data types: all 6 features numeric (int64/float64); </w:t>
      </w:r>
      <w:proofErr w:type="spellStart"/>
      <w:r>
        <w:rPr>
          <w:rFonts w:ascii="Calibri" w:eastAsia="Calibri" w:hAnsi="Calibri" w:cs="Calibri"/>
          <w:sz w:val="21"/>
          <w:szCs w:val="21"/>
        </w:rPr>
        <w:t>RiskLevel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loaded as string, ordinal-mapped to {low:0, mid:1, high:2}.</w:t>
      </w:r>
    </w:p>
    <w:p w14:paraId="5144004F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Final cleaned shape: 451 rows × 7 columns.</w:t>
      </w:r>
    </w:p>
    <w:p w14:paraId="38CCAED1" w14:textId="77777777" w:rsidR="000A5105" w:rsidRDefault="00EC0316">
      <w:pPr>
        <w:spacing w:before="120" w:after="40"/>
        <w:jc w:val="center"/>
      </w:pPr>
      <w:r>
        <w:rPr>
          <w:noProof/>
        </w:rPr>
        <w:drawing>
          <wp:inline distT="0" distB="0" distL="0" distR="0" wp14:anchorId="4E876FF5" wp14:editId="3CDEF77A">
            <wp:extent cx="4095750" cy="6143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52C8" w14:textId="77777777" w:rsidR="000A5105" w:rsidRDefault="00EC0316">
      <w:pPr>
        <w:spacing w:before="40" w:after="22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Fig. 1 – Notebook output: audit statistics and the data-cleaning cell (In [5]</w:t>
      </w: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–[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8])</w:t>
      </w:r>
    </w:p>
    <w:p w14:paraId="0D8387BE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2.2 Class Distribution (post-cleaning)</w:t>
      </w:r>
    </w:p>
    <w:tbl>
      <w:tblPr>
        <w:tblW w:w="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600"/>
      </w:tblGrid>
      <w:tr w:rsidR="000A5105" w14:paraId="281522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FB49A3" w14:textId="77777777" w:rsidR="000A5105" w:rsidRDefault="00EC0316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Class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449BE1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1CB9EA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%</w:t>
            </w:r>
          </w:p>
        </w:tc>
      </w:tr>
      <w:tr w:rsidR="000A5105" w14:paraId="667DB2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CCB57F" w14:textId="77777777" w:rsidR="000A5105" w:rsidRDefault="00EC0316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low risk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5B95DD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233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91191F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51.7%</w:t>
            </w:r>
          </w:p>
        </w:tc>
      </w:tr>
      <w:tr w:rsidR="000A5105" w14:paraId="498217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2DE725" w14:textId="77777777" w:rsidR="000A5105" w:rsidRDefault="00EC0316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 risk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0978F8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112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7285C1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24.8%</w:t>
            </w:r>
          </w:p>
        </w:tc>
      </w:tr>
      <w:tr w:rsidR="000A5105" w14:paraId="7C2E78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D6FEE4" w14:textId="77777777" w:rsidR="000A5105" w:rsidRDefault="00EC0316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mid risk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FD4340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106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09C098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23.5%</w:t>
            </w:r>
          </w:p>
        </w:tc>
      </w:tr>
    </w:tbl>
    <w:p w14:paraId="1DE344DE" w14:textId="77777777" w:rsidR="000A5105" w:rsidRDefault="000A5105">
      <w:pPr>
        <w:spacing w:after="120" w:line="264" w:lineRule="auto"/>
        <w:jc w:val="both"/>
      </w:pPr>
    </w:p>
    <w:p w14:paraId="32D5C7D9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Moderate imbalance – handled with </w:t>
      </w:r>
      <w:proofErr w:type="spellStart"/>
      <w:r>
        <w:rPr>
          <w:rFonts w:ascii="Calibri" w:eastAsia="Calibri" w:hAnsi="Calibri" w:cs="Calibri"/>
          <w:sz w:val="21"/>
          <w:szCs w:val="21"/>
        </w:rPr>
        <w:t>class_weight</w:t>
      </w:r>
      <w:proofErr w:type="spellEnd"/>
      <w:r>
        <w:rPr>
          <w:rFonts w:ascii="Calibri" w:eastAsia="Calibri" w:hAnsi="Calibri" w:cs="Calibri"/>
          <w:sz w:val="21"/>
          <w:szCs w:val="21"/>
        </w:rPr>
        <w:t>='balanced' inside each model rather than SMOTE oversampling, so no synthetic (non-real) physiological readings are introduced into training.</w:t>
      </w:r>
    </w:p>
    <w:p w14:paraId="4E60A972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2.3 Leakage-Safe Pipeline</w:t>
      </w:r>
    </w:p>
    <w:p w14:paraId="6D515D8B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Split: 70% train / 15% validation / 15% test, stratified on </w:t>
      </w:r>
      <w:proofErr w:type="spellStart"/>
      <w:r>
        <w:rPr>
          <w:rFonts w:ascii="Calibri" w:eastAsia="Calibri" w:hAnsi="Calibri" w:cs="Calibri"/>
          <w:sz w:val="21"/>
          <w:szCs w:val="21"/>
        </w:rPr>
        <w:t>RiskLevel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train_test_split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random_state</w:t>
      </w:r>
      <w:proofErr w:type="spellEnd"/>
      <w:r>
        <w:rPr>
          <w:rFonts w:ascii="Calibri" w:eastAsia="Calibri" w:hAnsi="Calibri" w:cs="Calibri"/>
          <w:sz w:val="21"/>
          <w:szCs w:val="21"/>
        </w:rPr>
        <w:t>=42).</w:t>
      </w:r>
    </w:p>
    <w:p w14:paraId="657E833F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proofErr w:type="spellStart"/>
      <w:r>
        <w:rPr>
          <w:rFonts w:ascii="Calibri" w:eastAsia="Calibri" w:hAnsi="Calibri" w:cs="Calibri"/>
          <w:sz w:val="21"/>
          <w:szCs w:val="21"/>
        </w:rPr>
        <w:t>StandardScaler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fit only on </w:t>
      </w:r>
      <w:proofErr w:type="spellStart"/>
      <w:r>
        <w:rPr>
          <w:rFonts w:ascii="Calibri" w:eastAsia="Calibri" w:hAnsi="Calibri" w:cs="Calibri"/>
          <w:sz w:val="21"/>
          <w:szCs w:val="21"/>
        </w:rPr>
        <w:t>X_train</w:t>
      </w:r>
      <w:proofErr w:type="spellEnd"/>
      <w:r>
        <w:rPr>
          <w:rFonts w:ascii="Calibri" w:eastAsia="Calibri" w:hAnsi="Calibri" w:cs="Calibri"/>
          <w:sz w:val="21"/>
          <w:szCs w:val="21"/>
        </w:rPr>
        <w:t>, then applied (transform-only) to validation and test sets.</w:t>
      </w:r>
    </w:p>
    <w:p w14:paraId="417DFB80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Stacking meta-learner trained on out-of-fold predictions (5-fold CV via </w:t>
      </w:r>
      <w:proofErr w:type="spellStart"/>
      <w:r>
        <w:rPr>
          <w:rFonts w:ascii="Calibri" w:eastAsia="Calibri" w:hAnsi="Calibri" w:cs="Calibri"/>
          <w:sz w:val="21"/>
          <w:szCs w:val="21"/>
        </w:rPr>
        <w:t>StackingClassifier's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internal cv) – never on predictions the base models saw during their own fitting.</w:t>
      </w:r>
    </w:p>
    <w:p w14:paraId="192641C2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2.4 Feature Engineering</w:t>
      </w:r>
    </w:p>
    <w:p w14:paraId="6BB5644C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proofErr w:type="spellStart"/>
      <w:r>
        <w:rPr>
          <w:rFonts w:ascii="Calibri" w:eastAsia="Calibri" w:hAnsi="Calibri" w:cs="Calibri"/>
          <w:sz w:val="21"/>
          <w:szCs w:val="21"/>
        </w:rPr>
        <w:t>PulsePressure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sz w:val="21"/>
          <w:szCs w:val="21"/>
        </w:rPr>
        <w:t>SystolicBP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− </w:t>
      </w:r>
      <w:proofErr w:type="spellStart"/>
      <w:r>
        <w:rPr>
          <w:rFonts w:ascii="Calibri" w:eastAsia="Calibri" w:hAnsi="Calibri" w:cs="Calibri"/>
          <w:sz w:val="21"/>
          <w:szCs w:val="21"/>
        </w:rPr>
        <w:t>DiastolicBP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– cardiovascular indicator not captured by either BP reading alone.</w:t>
      </w:r>
    </w:p>
    <w:p w14:paraId="28D5B9FD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MAP (Mean Arterial Pressure) ≈ </w:t>
      </w:r>
      <w:proofErr w:type="spellStart"/>
      <w:r>
        <w:rPr>
          <w:rFonts w:ascii="Calibri" w:eastAsia="Calibri" w:hAnsi="Calibri" w:cs="Calibri"/>
          <w:sz w:val="21"/>
          <w:szCs w:val="21"/>
        </w:rPr>
        <w:t>DiastolicBP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+ </w:t>
      </w:r>
      <w:proofErr w:type="spellStart"/>
      <w:r>
        <w:rPr>
          <w:rFonts w:ascii="Calibri" w:eastAsia="Calibri" w:hAnsi="Calibri" w:cs="Calibri"/>
          <w:sz w:val="21"/>
          <w:szCs w:val="21"/>
        </w:rPr>
        <w:t>PulsePressure</w:t>
      </w:r>
      <w:proofErr w:type="spellEnd"/>
      <w:r>
        <w:rPr>
          <w:rFonts w:ascii="Calibri" w:eastAsia="Calibri" w:hAnsi="Calibri" w:cs="Calibri"/>
          <w:sz w:val="21"/>
          <w:szCs w:val="21"/>
        </w:rPr>
        <w:t>/3 – standard clinical composite BP measure.</w:t>
      </w:r>
    </w:p>
    <w:p w14:paraId="2A4CD47C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proofErr w:type="spellStart"/>
      <w:r>
        <w:rPr>
          <w:rFonts w:ascii="Calibri" w:eastAsia="Calibri" w:hAnsi="Calibri" w:cs="Calibri"/>
          <w:sz w:val="21"/>
          <w:szCs w:val="21"/>
        </w:rPr>
        <w:t>AgeBand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– categorical bucket (&lt;20 / 20–35 / &gt;35) to let tree splits use the non-linear age–risk relationship directly.</w:t>
      </w:r>
    </w:p>
    <w:p w14:paraId="60806E04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proofErr w:type="spellStart"/>
      <w:r>
        <w:rPr>
          <w:rFonts w:ascii="Calibri" w:eastAsia="Calibri" w:hAnsi="Calibri" w:cs="Calibri"/>
          <w:sz w:val="21"/>
          <w:szCs w:val="21"/>
        </w:rPr>
        <w:t>BS_Age_Ratio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= BS / Age – added after EDA suggested an interaction between blood sugar and maternal age.</w:t>
      </w:r>
    </w:p>
    <w:p w14:paraId="3A09688B" w14:textId="77777777" w:rsidR="000A5105" w:rsidRDefault="00EC0316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0C8C542" wp14:editId="414448D2">
            <wp:extent cx="4095750" cy="6143625"/>
            <wp:effectExtent l="0" t="0" r="0" b="0"/>
            <wp:docPr id="167626804" name="Picture 167626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7537" w14:textId="77777777" w:rsidR="000A5105" w:rsidRDefault="00EC0316">
      <w:pPr>
        <w:spacing w:before="40" w:after="22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Fig. 2 – Feature engineering code, encoded feature set, and Decision Tree baseline result (In [12]</w:t>
      </w: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–[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16])</w:t>
      </w:r>
    </w:p>
    <w:p w14:paraId="112974DB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2.5 EDA – Key Findings</w:t>
      </w:r>
    </w:p>
    <w:p w14:paraId="7E74C009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BS shows the clearest visual separation across the three risk classes of any single feature.</w:t>
      </w:r>
    </w:p>
    <w:p w14:paraId="5FF8083D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Age shows a bimodal pattern – both very young and &gt;35 mothers skew toward higher risk.</w:t>
      </w:r>
    </w:p>
    <w:p w14:paraId="4960E673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proofErr w:type="spellStart"/>
      <w:r>
        <w:rPr>
          <w:rFonts w:ascii="Calibri" w:eastAsia="Calibri" w:hAnsi="Calibri" w:cs="Calibri"/>
          <w:sz w:val="21"/>
          <w:szCs w:val="21"/>
        </w:rPr>
        <w:t>SystolicBP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</w:t>
      </w:r>
      <w:proofErr w:type="spellStart"/>
      <w:r>
        <w:rPr>
          <w:rFonts w:ascii="Calibri" w:eastAsia="Calibri" w:hAnsi="Calibri" w:cs="Calibri"/>
          <w:sz w:val="21"/>
          <w:szCs w:val="21"/>
        </w:rPr>
        <w:t>DiastolicBP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correlate strongly (r = 0.79) – motivates the </w:t>
      </w:r>
      <w:proofErr w:type="spellStart"/>
      <w:r>
        <w:rPr>
          <w:rFonts w:ascii="Calibri" w:eastAsia="Calibri" w:hAnsi="Calibri" w:cs="Calibri"/>
          <w:sz w:val="21"/>
          <w:szCs w:val="21"/>
        </w:rPr>
        <w:t>PulsePressure</w:t>
      </w:r>
      <w:proofErr w:type="spellEnd"/>
      <w:r>
        <w:rPr>
          <w:rFonts w:ascii="Calibri" w:eastAsia="Calibri" w:hAnsi="Calibri" w:cs="Calibri"/>
          <w:sz w:val="21"/>
          <w:szCs w:val="21"/>
        </w:rPr>
        <w:t>/MAP features instead of using both raw columns redundantly.</w:t>
      </w:r>
    </w:p>
    <w:p w14:paraId="25759EE6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proofErr w:type="spellStart"/>
      <w:r>
        <w:rPr>
          <w:rFonts w:ascii="Calibri" w:eastAsia="Calibri" w:hAnsi="Calibri" w:cs="Calibri"/>
          <w:sz w:val="21"/>
          <w:szCs w:val="21"/>
        </w:rPr>
        <w:t>BodyTemp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shows almost no separation across classes in the raw boxplots (Fig. 3) – interesting contrast with the SHAP result in Section 4, discussed there.</w:t>
      </w:r>
    </w:p>
    <w:p w14:paraId="2C5D9E38" w14:textId="77777777" w:rsidR="000A5105" w:rsidRDefault="00EC0316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3AA83F1" wp14:editId="6F94A4B7">
            <wp:extent cx="5905500" cy="3143250"/>
            <wp:effectExtent l="0" t="0" r="0" b="0"/>
            <wp:docPr id="1160434130" name="Picture 1160434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9AD2" w14:textId="77777777" w:rsidR="000A5105" w:rsidRDefault="00EC0316">
      <w:pPr>
        <w:spacing w:before="40" w:after="22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Fig. 3 – Feature distributions by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RiskLevel</w:t>
      </w:r>
      <w:proofErr w:type="spellEnd"/>
    </w:p>
    <w:p w14:paraId="6CBF20E9" w14:textId="77777777" w:rsidR="000A5105" w:rsidRDefault="00EC0316">
      <w:pPr>
        <w:spacing w:before="120" w:after="40"/>
        <w:jc w:val="center"/>
      </w:pPr>
      <w:r>
        <w:rPr>
          <w:noProof/>
        </w:rPr>
        <w:drawing>
          <wp:inline distT="0" distB="0" distL="0" distR="0" wp14:anchorId="347FFD89" wp14:editId="2D2E50C1">
            <wp:extent cx="3810000" cy="3324225"/>
            <wp:effectExtent l="0" t="0" r="0" b="0"/>
            <wp:docPr id="320844345" name="Picture 320844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7471" w14:textId="77777777" w:rsidR="000A5105" w:rsidRDefault="00EC0316">
      <w:pPr>
        <w:spacing w:before="40" w:after="22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Fig. 4 – Correlation heatmap of the six raw features</w:t>
      </w:r>
    </w:p>
    <w:p w14:paraId="71A5FF2B" w14:textId="77777777" w:rsidR="000A5105" w:rsidRDefault="00EC0316">
      <w:r>
        <w:br w:type="page"/>
      </w:r>
    </w:p>
    <w:p w14:paraId="083B1906" w14:textId="77777777" w:rsidR="000A5105" w:rsidRDefault="00EC0316">
      <w:pPr>
        <w:pStyle w:val="Heading1"/>
        <w:spacing w:before="300" w:after="14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lastRenderedPageBreak/>
        <w:t>3. Ensemble Architecture, Tuning, and Comparison</w:t>
      </w:r>
    </w:p>
    <w:p w14:paraId="5E3BAD28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3.1 Models Implemented</w:t>
      </w:r>
    </w:p>
    <w:p w14:paraId="326EB74A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Baseline: Decision Tree (</w:t>
      </w:r>
      <w:proofErr w:type="spellStart"/>
      <w:r>
        <w:rPr>
          <w:rFonts w:ascii="Calibri" w:eastAsia="Calibri" w:hAnsi="Calibri" w:cs="Calibri"/>
          <w:sz w:val="21"/>
          <w:szCs w:val="21"/>
        </w:rPr>
        <w:t>class_weight</w:t>
      </w:r>
      <w:proofErr w:type="spellEnd"/>
      <w:r>
        <w:rPr>
          <w:rFonts w:ascii="Calibri" w:eastAsia="Calibri" w:hAnsi="Calibri" w:cs="Calibri"/>
          <w:sz w:val="21"/>
          <w:szCs w:val="21"/>
        </w:rPr>
        <w:t>='balanced').</w:t>
      </w:r>
    </w:p>
    <w:p w14:paraId="5C7A70F7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Bagging: Random Forest – grid search over </w:t>
      </w:r>
      <w:proofErr w:type="spellStart"/>
      <w:r>
        <w:rPr>
          <w:rFonts w:ascii="Calibri" w:eastAsia="Calibri" w:hAnsi="Calibri" w:cs="Calibri"/>
          <w:sz w:val="21"/>
          <w:szCs w:val="21"/>
        </w:rPr>
        <w:t>n_estimators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{200,300,400}, </w:t>
      </w:r>
      <w:proofErr w:type="spellStart"/>
      <w:r>
        <w:rPr>
          <w:rFonts w:ascii="Calibri" w:eastAsia="Calibri" w:hAnsi="Calibri" w:cs="Calibri"/>
          <w:sz w:val="21"/>
          <w:szCs w:val="21"/>
        </w:rPr>
        <w:t>max_depth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{8,12,16}, </w:t>
      </w:r>
      <w:proofErr w:type="spellStart"/>
      <w:r>
        <w:rPr>
          <w:rFonts w:ascii="Calibri" w:eastAsia="Calibri" w:hAnsi="Calibri" w:cs="Calibri"/>
          <w:sz w:val="21"/>
          <w:szCs w:val="21"/>
        </w:rPr>
        <w:t>min_samples_leaf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{1,2,4}.</w:t>
      </w:r>
    </w:p>
    <w:p w14:paraId="604CA0D3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Boosting: </w:t>
      </w:r>
      <w:proofErr w:type="spellStart"/>
      <w:r>
        <w:rPr>
          <w:rFonts w:ascii="Calibri" w:eastAsia="Calibri" w:hAnsi="Calibri" w:cs="Calibri"/>
          <w:sz w:val="21"/>
          <w:szCs w:val="21"/>
        </w:rPr>
        <w:t>XGBoost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– grid search over </w:t>
      </w:r>
      <w:proofErr w:type="spellStart"/>
      <w:r>
        <w:rPr>
          <w:rFonts w:ascii="Calibri" w:eastAsia="Calibri" w:hAnsi="Calibri" w:cs="Calibri"/>
          <w:sz w:val="21"/>
          <w:szCs w:val="21"/>
        </w:rPr>
        <w:t>n_estimators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{150,250}, </w:t>
      </w:r>
      <w:proofErr w:type="spellStart"/>
      <w:r>
        <w:rPr>
          <w:rFonts w:ascii="Calibri" w:eastAsia="Calibri" w:hAnsi="Calibri" w:cs="Calibri"/>
          <w:sz w:val="21"/>
          <w:szCs w:val="21"/>
        </w:rPr>
        <w:t>max_depth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{3,5,7}, </w:t>
      </w:r>
      <w:proofErr w:type="spellStart"/>
      <w:r>
        <w:rPr>
          <w:rFonts w:ascii="Calibri" w:eastAsia="Calibri" w:hAnsi="Calibri" w:cs="Calibri"/>
          <w:sz w:val="21"/>
          <w:szCs w:val="21"/>
        </w:rPr>
        <w:t>learning_rate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{0.05,0.1,0.2}, subsample {0.8,1.0}.</w:t>
      </w:r>
    </w:p>
    <w:p w14:paraId="76C2AA79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Heterogeneous ensembles: Soft Voting and Stacking, both combining {Random Forest, </w:t>
      </w:r>
      <w:proofErr w:type="spellStart"/>
      <w:r>
        <w:rPr>
          <w:rFonts w:ascii="Calibri" w:eastAsia="Calibri" w:hAnsi="Calibri" w:cs="Calibri"/>
          <w:sz w:val="21"/>
          <w:szCs w:val="21"/>
        </w:rPr>
        <w:t>XGBoost</w:t>
      </w:r>
      <w:proofErr w:type="spellEnd"/>
      <w:r>
        <w:rPr>
          <w:rFonts w:ascii="Calibri" w:eastAsia="Calibri" w:hAnsi="Calibri" w:cs="Calibri"/>
          <w:sz w:val="21"/>
          <w:szCs w:val="21"/>
        </w:rPr>
        <w:t>, SVM-RBF}; Stacking uses a Logistic Regression meta-learner on out-of-fold base predictions.</w:t>
      </w:r>
    </w:p>
    <w:p w14:paraId="2512CC69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Tuning method: </w:t>
      </w:r>
      <w:proofErr w:type="spellStart"/>
      <w:r>
        <w:rPr>
          <w:rFonts w:ascii="Calibri" w:eastAsia="Calibri" w:hAnsi="Calibri" w:cs="Calibri"/>
          <w:sz w:val="21"/>
          <w:szCs w:val="21"/>
        </w:rPr>
        <w:t>GridSearchCV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5-fold </w:t>
      </w:r>
      <w:proofErr w:type="spellStart"/>
      <w:r>
        <w:rPr>
          <w:rFonts w:ascii="Calibri" w:eastAsia="Calibri" w:hAnsi="Calibri" w:cs="Calibri"/>
          <w:sz w:val="21"/>
          <w:szCs w:val="21"/>
        </w:rPr>
        <w:t>StratifiedKFold</w:t>
      </w:r>
      <w:proofErr w:type="spellEnd"/>
      <w:r>
        <w:rPr>
          <w:rFonts w:ascii="Calibri" w:eastAsia="Calibri" w:hAnsi="Calibri" w:cs="Calibri"/>
          <w:sz w:val="21"/>
          <w:szCs w:val="21"/>
        </w:rPr>
        <w:t>, scoring = f1_macro (protects the minority high-risk class from being ignored).</w:t>
      </w:r>
    </w:p>
    <w:p w14:paraId="5D3893B6" w14:textId="77777777" w:rsidR="000A5105" w:rsidRDefault="00EC0316">
      <w:pPr>
        <w:spacing w:before="120" w:after="40"/>
        <w:jc w:val="center"/>
      </w:pPr>
      <w:r>
        <w:rPr>
          <w:noProof/>
        </w:rPr>
        <w:drawing>
          <wp:inline distT="0" distB="0" distL="0" distR="0" wp14:anchorId="64DCC9BD" wp14:editId="05343866">
            <wp:extent cx="4095750" cy="6143625"/>
            <wp:effectExtent l="0" t="0" r="0" b="0"/>
            <wp:docPr id="1148277873" name="Picture 1148277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9677" w14:textId="77777777" w:rsidR="000A5105" w:rsidRDefault="00EC0316">
      <w:pPr>
        <w:spacing w:before="40" w:after="22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Fig. 5 –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GridSearchCV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tuning cells and per-model test-set metrics (In [17]</w:t>
      </w: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–[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21])</w:t>
      </w:r>
    </w:p>
    <w:p w14:paraId="12A43BE9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lastRenderedPageBreak/>
        <w:t>3.2 Best Hyperparameters Found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0A5105" w14:paraId="017435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9B039B" w14:textId="77777777" w:rsidR="000A5105" w:rsidRDefault="00EC0316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6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E6205B" w14:textId="77777777" w:rsidR="000A5105" w:rsidRDefault="00EC0316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Best parameters (5-fold CV, f1_macro)</w:t>
            </w:r>
          </w:p>
        </w:tc>
      </w:tr>
      <w:tr w:rsidR="000A5105" w14:paraId="336D8C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25EB9A" w14:textId="77777777" w:rsidR="000A5105" w:rsidRDefault="00EC0316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6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C65E2" w14:textId="77777777" w:rsidR="000A5105" w:rsidRDefault="00EC0316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max_depth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min_samples_leaf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=4,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n_estimators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=200</w:t>
            </w:r>
          </w:p>
        </w:tc>
      </w:tr>
      <w:tr w:rsidR="000A5105" w14:paraId="47B9A1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C09947" w14:textId="77777777" w:rsidR="000A5105" w:rsidRDefault="00EC0316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6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C500B9" w14:textId="77777777" w:rsidR="000A5105" w:rsidRDefault="00EC0316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learning_rate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=0.05,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max_depth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=3,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n_estimators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=250, subsample=1.0</w:t>
            </w:r>
          </w:p>
        </w:tc>
      </w:tr>
    </w:tbl>
    <w:p w14:paraId="3772EC34" w14:textId="77777777" w:rsidR="000A5105" w:rsidRDefault="000A5105">
      <w:pPr>
        <w:spacing w:after="120" w:line="264" w:lineRule="auto"/>
        <w:jc w:val="both"/>
      </w:pPr>
    </w:p>
    <w:p w14:paraId="4EDC484D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3.3 Results on the Held-Out Test Set (n = 68, untouched)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380"/>
        <w:gridCol w:w="1380"/>
        <w:gridCol w:w="1380"/>
        <w:gridCol w:w="1380"/>
        <w:gridCol w:w="1380"/>
      </w:tblGrid>
      <w:tr w:rsidR="000A5105" w14:paraId="150874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CEA1C3" w14:textId="77777777" w:rsidR="000A5105" w:rsidRDefault="00EC0316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38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20B657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Accuracy</w:t>
            </w:r>
          </w:p>
        </w:tc>
        <w:tc>
          <w:tcPr>
            <w:tcW w:w="138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001539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138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3B21F2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38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920C85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F1 (macro)</w:t>
            </w:r>
          </w:p>
        </w:tc>
        <w:tc>
          <w:tcPr>
            <w:tcW w:w="138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F7085B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ROC-AUC</w:t>
            </w:r>
          </w:p>
        </w:tc>
      </w:tr>
      <w:tr w:rsidR="000A5105" w14:paraId="389221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5E02EC" w14:textId="77777777" w:rsidR="000A5105" w:rsidRDefault="00EC0316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Decision Tree (baseline)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A2D507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0.603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D33759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0.597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FF3657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0.592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D45563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0.583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DC9021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0.719</w:t>
            </w:r>
          </w:p>
        </w:tc>
      </w:tr>
      <w:tr w:rsidR="000A5105" w14:paraId="3F8FFB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229B99" w14:textId="77777777" w:rsidR="000A5105" w:rsidRDefault="00EC0316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Random Forest (bagging)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B82DCD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0.662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C1D68E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0.617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50F18E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0.628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4FCB0C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0.621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2D6BDE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0.803</w:t>
            </w:r>
          </w:p>
        </w:tc>
      </w:tr>
      <w:tr w:rsidR="000A5105" w14:paraId="3A0715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B77930" w14:textId="77777777" w:rsidR="000A5105" w:rsidRDefault="00EC0316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XGBoost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(boosting)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B0EFA4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0.676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E6522E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0.606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EB5BE4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0.595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3127F9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0.599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D755E6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0.787</w:t>
            </w:r>
          </w:p>
        </w:tc>
      </w:tr>
      <w:tr w:rsidR="000A5105" w14:paraId="25C2B7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C6F0AC" w14:textId="77777777" w:rsidR="000A5105" w:rsidRDefault="00EC0316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Soft Voting (RF+XGB+SVM)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0BC7B5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0.706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F940B2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0.639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33D39E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0.635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4A1DE7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0.634</w:t>
            </w:r>
          </w:p>
        </w:tc>
        <w:tc>
          <w:tcPr>
            <w:tcW w:w="13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6A0806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0.794</w:t>
            </w:r>
          </w:p>
        </w:tc>
      </w:tr>
      <w:tr w:rsidR="000A5105" w14:paraId="50FE00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0A7E97" w14:textId="77777777" w:rsidR="000A5105" w:rsidRDefault="00EC0316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Stacking (meta: Log. Reg.)</w:t>
            </w:r>
          </w:p>
        </w:tc>
        <w:tc>
          <w:tcPr>
            <w:tcW w:w="138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A7330F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0.721</w:t>
            </w:r>
          </w:p>
        </w:tc>
        <w:tc>
          <w:tcPr>
            <w:tcW w:w="138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5E95E0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0.645</w:t>
            </w:r>
          </w:p>
        </w:tc>
        <w:tc>
          <w:tcPr>
            <w:tcW w:w="138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A87A88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0.652</w:t>
            </w:r>
          </w:p>
        </w:tc>
        <w:tc>
          <w:tcPr>
            <w:tcW w:w="138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718A2D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0.629</w:t>
            </w:r>
          </w:p>
        </w:tc>
        <w:tc>
          <w:tcPr>
            <w:tcW w:w="138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CEA0DC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0.817</w:t>
            </w:r>
          </w:p>
        </w:tc>
      </w:tr>
    </w:tbl>
    <w:p w14:paraId="3B725D85" w14:textId="77777777" w:rsidR="000A5105" w:rsidRDefault="000A5105">
      <w:pPr>
        <w:spacing w:after="120" w:line="264" w:lineRule="auto"/>
        <w:jc w:val="both"/>
      </w:pPr>
    </w:p>
    <w:p w14:paraId="2D7A7A01" w14:textId="77777777" w:rsidR="000A5105" w:rsidRDefault="00EC0316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F644146" wp14:editId="0428F852">
            <wp:extent cx="4095750" cy="6143625"/>
            <wp:effectExtent l="0" t="0" r="0" b="0"/>
            <wp:docPr id="713756412" name="Picture 713756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452A" w14:textId="77777777" w:rsidR="000A5105" w:rsidRDefault="00EC0316">
      <w:pPr>
        <w:spacing w:before="40" w:after="22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Fig. 6 – Model comparison bar chart and confusion matrix (stacking, test set)</w:t>
      </w:r>
    </w:p>
    <w:p w14:paraId="02153D12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3.4 Per-Class Result – Stacking Ensemble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400"/>
        <w:gridCol w:w="1400"/>
        <w:gridCol w:w="800"/>
      </w:tblGrid>
      <w:tr w:rsidR="000A5105" w14:paraId="7D7B6F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D482BB" w14:textId="77777777" w:rsidR="000A5105" w:rsidRDefault="00EC0316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Class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A7F357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2F0BF0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E9E1BC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F1</w:t>
            </w:r>
          </w:p>
        </w:tc>
        <w:tc>
          <w:tcPr>
            <w:tcW w:w="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85E3A7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</w:t>
            </w:r>
          </w:p>
        </w:tc>
      </w:tr>
      <w:tr w:rsidR="000A5105" w14:paraId="654FFF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6AFEDA" w14:textId="77777777" w:rsidR="000A5105" w:rsidRDefault="00EC0316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low risk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BFA51F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0.76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2E6B61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0.89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DA4F44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0.82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1FB42E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</w:t>
            </w:r>
          </w:p>
        </w:tc>
      </w:tr>
      <w:tr w:rsidR="000A5105" w14:paraId="03E40F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0349AD" w14:textId="77777777" w:rsidR="000A5105" w:rsidRDefault="00EC0316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mid risk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2E5DF9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0.43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D7D10D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0.19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7BD762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0.26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02A796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16</w:t>
            </w:r>
          </w:p>
        </w:tc>
      </w:tr>
      <w:tr w:rsidR="000A5105" w14:paraId="17F8E8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2B7601" w14:textId="77777777" w:rsidR="000A5105" w:rsidRDefault="00EC0316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high risk</w:t>
            </w:r>
          </w:p>
        </w:tc>
        <w:tc>
          <w:tcPr>
            <w:tcW w:w="140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5AE253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0.75</w:t>
            </w:r>
          </w:p>
        </w:tc>
        <w:tc>
          <w:tcPr>
            <w:tcW w:w="140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A95B73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0.88</w:t>
            </w:r>
          </w:p>
        </w:tc>
        <w:tc>
          <w:tcPr>
            <w:tcW w:w="140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2627B1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0.81</w:t>
            </w:r>
          </w:p>
        </w:tc>
        <w:tc>
          <w:tcPr>
            <w:tcW w:w="80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CD6DC5" w14:textId="77777777" w:rsidR="000A5105" w:rsidRDefault="00EC03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17</w:t>
            </w:r>
          </w:p>
        </w:tc>
      </w:tr>
    </w:tbl>
    <w:p w14:paraId="42FA3B00" w14:textId="77777777" w:rsidR="000A5105" w:rsidRDefault="000A5105">
      <w:pPr>
        <w:spacing w:after="120" w:line="264" w:lineRule="auto"/>
        <w:jc w:val="both"/>
      </w:pPr>
    </w:p>
    <w:p w14:paraId="14B643D2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3.5 Interpretation</w:t>
      </w:r>
    </w:p>
    <w:p w14:paraId="2F549A72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Stacking beats the Decision Tree baseline by +0.138 accuracy and +0.098 ROC-AUC – the ensemble complexity is justified.</w:t>
      </w:r>
    </w:p>
    <w:p w14:paraId="5BB5C202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lastRenderedPageBreak/>
        <w:t>High-risk recall = 0.88 – the clinically important number from Section 1.4 – comparable to low-risk recall (0.89), so the model does not simply default to the majority class.</w:t>
      </w:r>
    </w:p>
    <w:p w14:paraId="66E0A236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Mid-risk recall is weak (0.19). Mid-risk check-ups sit physiologically between low and high risk on most features, so the model confuses them with both neighbouring classes – visible directly in the confusion matrix (Fig. 6), where 9 of 16 true mid-risk cases were predicted as low risk. This is flagged as a limitation, not hidden.</w:t>
      </w:r>
    </w:p>
    <w:p w14:paraId="52BBE980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Test set is only 68 records (15% of 451) – metrics, especially the mid-risk numbers built on n=16, should be read with that sample size in mind rather than as precise population estimates.</w:t>
      </w:r>
    </w:p>
    <w:p w14:paraId="0DF9C552" w14:textId="77777777" w:rsidR="000A5105" w:rsidRDefault="00EC0316">
      <w:r>
        <w:br w:type="page"/>
      </w:r>
    </w:p>
    <w:p w14:paraId="42138AE5" w14:textId="77777777" w:rsidR="000A5105" w:rsidRDefault="00EC0316">
      <w:pPr>
        <w:pStyle w:val="Heading1"/>
        <w:spacing w:before="300" w:after="14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lastRenderedPageBreak/>
        <w:t>4. Model Explainability and Ethics</w:t>
      </w:r>
    </w:p>
    <w:p w14:paraId="02C43E33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 xml:space="preserve">4.1 Global Explainability (SHAP – </w:t>
      </w:r>
      <w:proofErr w:type="spellStart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TreeExplainer</w:t>
      </w:r>
      <w:proofErr w:type="spellEnd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 xml:space="preserve"> on </w:t>
      </w:r>
      <w:proofErr w:type="spellStart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XGBoost</w:t>
      </w:r>
      <w:proofErr w:type="spellEnd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)</w:t>
      </w:r>
    </w:p>
    <w:p w14:paraId="3D92D72F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Feature ranking by mean |SHAP value| for the high-risk class: BS (0.757) &gt; </w:t>
      </w:r>
      <w:proofErr w:type="spellStart"/>
      <w:r>
        <w:rPr>
          <w:rFonts w:ascii="Calibri" w:eastAsia="Calibri" w:hAnsi="Calibri" w:cs="Calibri"/>
          <w:sz w:val="21"/>
          <w:szCs w:val="21"/>
        </w:rPr>
        <w:t>SystolicBP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(0.714) &gt; </w:t>
      </w:r>
      <w:proofErr w:type="spellStart"/>
      <w:r>
        <w:rPr>
          <w:rFonts w:ascii="Calibri" w:eastAsia="Calibri" w:hAnsi="Calibri" w:cs="Calibri"/>
          <w:sz w:val="21"/>
          <w:szCs w:val="21"/>
        </w:rPr>
        <w:t>BodyTemp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(0.350) &gt; Age (0.284) &gt; </w:t>
      </w:r>
      <w:proofErr w:type="spellStart"/>
      <w:r>
        <w:rPr>
          <w:rFonts w:ascii="Calibri" w:eastAsia="Calibri" w:hAnsi="Calibri" w:cs="Calibri"/>
          <w:sz w:val="21"/>
          <w:szCs w:val="21"/>
        </w:rPr>
        <w:t>BS_Age_Ratio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(0.187) &gt; </w:t>
      </w:r>
      <w:proofErr w:type="spellStart"/>
      <w:r>
        <w:rPr>
          <w:rFonts w:ascii="Calibri" w:eastAsia="Calibri" w:hAnsi="Calibri" w:cs="Calibri"/>
          <w:sz w:val="21"/>
          <w:szCs w:val="21"/>
        </w:rPr>
        <w:t>PulsePressure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(0.182) &gt; </w:t>
      </w:r>
      <w:proofErr w:type="spellStart"/>
      <w:r>
        <w:rPr>
          <w:rFonts w:ascii="Calibri" w:eastAsia="Calibri" w:hAnsi="Calibri" w:cs="Calibri"/>
          <w:sz w:val="21"/>
          <w:szCs w:val="21"/>
        </w:rPr>
        <w:t>HeartRate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(0.153) &gt; MAP (0.152) &gt; </w:t>
      </w:r>
      <w:proofErr w:type="spellStart"/>
      <w:r>
        <w:rPr>
          <w:rFonts w:ascii="Calibri" w:eastAsia="Calibri" w:hAnsi="Calibri" w:cs="Calibri"/>
          <w:sz w:val="21"/>
          <w:szCs w:val="21"/>
        </w:rPr>
        <w:t>DiastolicBP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(0.066) &gt; </w:t>
      </w:r>
      <w:proofErr w:type="spellStart"/>
      <w:r>
        <w:rPr>
          <w:rFonts w:ascii="Calibri" w:eastAsia="Calibri" w:hAnsi="Calibri" w:cs="Calibri"/>
          <w:sz w:val="21"/>
          <w:szCs w:val="21"/>
        </w:rPr>
        <w:t>AgeBand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(0.000).</w:t>
      </w:r>
    </w:p>
    <w:p w14:paraId="455609CE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BS and </w:t>
      </w:r>
      <w:proofErr w:type="spellStart"/>
      <w:r>
        <w:rPr>
          <w:rFonts w:ascii="Calibri" w:eastAsia="Calibri" w:hAnsi="Calibri" w:cs="Calibri"/>
          <w:sz w:val="21"/>
          <w:szCs w:val="21"/>
        </w:rPr>
        <w:t>SystolicBP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dominate – consistent with clinical expectation (gestational diabetes and hypertension are established maternal risk drivers).</w:t>
      </w:r>
    </w:p>
    <w:p w14:paraId="10C30B9D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Interesting model-vs-EDA contrast: </w:t>
      </w:r>
      <w:proofErr w:type="spellStart"/>
      <w:r>
        <w:rPr>
          <w:rFonts w:ascii="Calibri" w:eastAsia="Calibri" w:hAnsi="Calibri" w:cs="Calibri"/>
          <w:sz w:val="21"/>
          <w:szCs w:val="21"/>
        </w:rPr>
        <w:t>BodyTemp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looked uninformative in the raw boxplots (Section 2.5) but ranks 3rd by SHAP for this class – the model appears to be using </w:t>
      </w:r>
      <w:proofErr w:type="spellStart"/>
      <w:r>
        <w:rPr>
          <w:rFonts w:ascii="Calibri" w:eastAsia="Calibri" w:hAnsi="Calibri" w:cs="Calibri"/>
          <w:sz w:val="21"/>
          <w:szCs w:val="21"/>
        </w:rPr>
        <w:t>BodyTemp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mainly in combination with other features (an interaction effect), not as an independent signal, which a single-variable boxplot cannot show.</w:t>
      </w:r>
    </w:p>
    <w:p w14:paraId="25A14F78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proofErr w:type="spellStart"/>
      <w:r>
        <w:rPr>
          <w:rFonts w:ascii="Calibri" w:eastAsia="Calibri" w:hAnsi="Calibri" w:cs="Calibri"/>
          <w:sz w:val="21"/>
          <w:szCs w:val="21"/>
        </w:rPr>
        <w:t>AgeBand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contributes ~0 once raw Age and </w:t>
      </w:r>
      <w:proofErr w:type="spellStart"/>
      <w:r>
        <w:rPr>
          <w:rFonts w:ascii="Calibri" w:eastAsia="Calibri" w:hAnsi="Calibri" w:cs="Calibri"/>
          <w:sz w:val="21"/>
          <w:szCs w:val="21"/>
        </w:rPr>
        <w:t>BS_Age_Ratio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are already in the model – the information it carried is redundant given the other two age-related features.</w:t>
      </w:r>
    </w:p>
    <w:p w14:paraId="3872625F" w14:textId="77777777" w:rsidR="000A5105" w:rsidRDefault="00EC0316">
      <w:pPr>
        <w:spacing w:before="120" w:after="40"/>
        <w:jc w:val="center"/>
      </w:pPr>
      <w:r>
        <w:rPr>
          <w:noProof/>
        </w:rPr>
        <w:drawing>
          <wp:inline distT="0" distB="0" distL="0" distR="0" wp14:anchorId="32CB05C1" wp14:editId="31A89E26">
            <wp:extent cx="4095750" cy="6143625"/>
            <wp:effectExtent l="0" t="0" r="0" b="0"/>
            <wp:docPr id="1318450578" name="Picture 1318450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9DB2" w14:textId="77777777" w:rsidR="000A5105" w:rsidRDefault="00EC0316">
      <w:pPr>
        <w:spacing w:before="40" w:after="22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lastRenderedPageBreak/>
        <w:t>Fig. 7 – Per-class test report and global SHAP summary plot (high-risk class)</w:t>
      </w:r>
    </w:p>
    <w:p w14:paraId="58927E91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4.2 Local Explainability – Synthetic Record</w:t>
      </w:r>
    </w:p>
    <w:p w14:paraId="070E76C4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Input: Age=39, </w:t>
      </w:r>
      <w:proofErr w:type="spellStart"/>
      <w:r>
        <w:rPr>
          <w:rFonts w:ascii="Calibri" w:eastAsia="Calibri" w:hAnsi="Calibri" w:cs="Calibri"/>
          <w:sz w:val="21"/>
          <w:szCs w:val="21"/>
        </w:rPr>
        <w:t>SystolicBP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=145, </w:t>
      </w:r>
      <w:proofErr w:type="spellStart"/>
      <w:r>
        <w:rPr>
          <w:rFonts w:ascii="Calibri" w:eastAsia="Calibri" w:hAnsi="Calibri" w:cs="Calibri"/>
          <w:sz w:val="21"/>
          <w:szCs w:val="21"/>
        </w:rPr>
        <w:t>DiastolicBP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=95, BS=12.8, </w:t>
      </w:r>
      <w:proofErr w:type="spellStart"/>
      <w:r>
        <w:rPr>
          <w:rFonts w:ascii="Calibri" w:eastAsia="Calibri" w:hAnsi="Calibri" w:cs="Calibri"/>
          <w:sz w:val="21"/>
          <w:szCs w:val="21"/>
        </w:rPr>
        <w:t>BodyTemp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=98.6, </w:t>
      </w:r>
      <w:proofErr w:type="spellStart"/>
      <w:r>
        <w:rPr>
          <w:rFonts w:ascii="Calibri" w:eastAsia="Calibri" w:hAnsi="Calibri" w:cs="Calibri"/>
          <w:sz w:val="21"/>
          <w:szCs w:val="21"/>
        </w:rPr>
        <w:t>HeartRate</w:t>
      </w:r>
      <w:proofErr w:type="spellEnd"/>
      <w:r>
        <w:rPr>
          <w:rFonts w:ascii="Calibri" w:eastAsia="Calibri" w:hAnsi="Calibri" w:cs="Calibri"/>
          <w:sz w:val="21"/>
          <w:szCs w:val="21"/>
        </w:rPr>
        <w:t>=78.</w:t>
      </w:r>
    </w:p>
    <w:p w14:paraId="50EEFADE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Model output: P(low)=0.001, P(mid)=0.013, P(high)=0.986 → predicted class = high risk.</w:t>
      </w:r>
    </w:p>
    <w:p w14:paraId="7B1B034B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Local SHAP: </w:t>
      </w:r>
      <w:proofErr w:type="spellStart"/>
      <w:r>
        <w:rPr>
          <w:rFonts w:ascii="Calibri" w:eastAsia="Calibri" w:hAnsi="Calibri" w:cs="Calibri"/>
          <w:sz w:val="21"/>
          <w:szCs w:val="21"/>
        </w:rPr>
        <w:t>SystolicBP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is the single largest positive contributor for this record, followed by BS and Age; </w:t>
      </w:r>
      <w:proofErr w:type="spellStart"/>
      <w:r>
        <w:rPr>
          <w:rFonts w:ascii="Calibri" w:eastAsia="Calibri" w:hAnsi="Calibri" w:cs="Calibri"/>
          <w:sz w:val="21"/>
          <w:szCs w:val="21"/>
        </w:rPr>
        <w:t>PulsePressure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HeartRate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</w:t>
      </w:r>
      <w:proofErr w:type="spellStart"/>
      <w:r>
        <w:rPr>
          <w:rFonts w:ascii="Calibri" w:eastAsia="Calibri" w:hAnsi="Calibri" w:cs="Calibri"/>
          <w:sz w:val="21"/>
          <w:szCs w:val="21"/>
        </w:rPr>
        <w:t>BS_Age_Ratio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push slightly the other way but are outweighed.</w:t>
      </w:r>
    </w:p>
    <w:p w14:paraId="565A3C9F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This is the format meant for a health worker – the 2–3 readings driving the flag, not just a bare label.</w:t>
      </w:r>
    </w:p>
    <w:p w14:paraId="5ED47AA6" w14:textId="77777777" w:rsidR="000A5105" w:rsidRDefault="00EC0316">
      <w:pPr>
        <w:spacing w:before="120" w:after="40"/>
        <w:jc w:val="center"/>
      </w:pPr>
      <w:r>
        <w:rPr>
          <w:noProof/>
        </w:rPr>
        <w:drawing>
          <wp:inline distT="0" distB="0" distL="0" distR="0" wp14:anchorId="2CC7D3E6" wp14:editId="0918EBF6">
            <wp:extent cx="4095750" cy="6143625"/>
            <wp:effectExtent l="0" t="0" r="0" b="0"/>
            <wp:docPr id="1312856759" name="Picture 1312856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18CF" w14:textId="77777777" w:rsidR="000A5105" w:rsidRDefault="00EC0316">
      <w:pPr>
        <w:spacing w:before="40" w:after="22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Fig. 8 – SHAP feature-importance table, local explanation on the synthetic record, and ethics notes</w:t>
      </w:r>
    </w:p>
    <w:p w14:paraId="6C2E8341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4.3 Bias and Fairness</w:t>
      </w:r>
    </w:p>
    <w:p w14:paraId="4F6E4E72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No protected attributes (ethnicity, income, etc.) exist in the data – the only demographic field is Age.</w:t>
      </w:r>
    </w:p>
    <w:p w14:paraId="55C452BD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lastRenderedPageBreak/>
        <w:t>Checked whether Age acts as a shortcut: Age is always used in combination with BS/BP in the SHAP interaction pattern, not as a stand-alone deciding factor – consistent with real clinical reasoning rather than a spurious proxy.</w:t>
      </w:r>
    </w:p>
    <w:p w14:paraId="67A70901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Main fairness risk is representativeness, not within-data bias: single country, rural clinics, one collection window.</w:t>
      </w:r>
    </w:p>
    <w:p w14:paraId="0E115E3B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4.4 Privacy</w:t>
      </w:r>
    </w:p>
    <w:p w14:paraId="4B58C25E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Source dataset has no directly identifying fields; 6 anonymised vitals are not realistically re-identifiable in isolation.</w:t>
      </w:r>
    </w:p>
    <w:p w14:paraId="27256E2F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Any real deployment must still treat records as sensitive health data under local regulation (secure storage, no linkage to identity without consent).</w:t>
      </w:r>
    </w:p>
    <w:p w14:paraId="6200D957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4.5 Uncertainty and Error Costs</w:t>
      </w:r>
    </w:p>
    <w:p w14:paraId="559EB765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False negative (true high-risk → predicted low/mid) is far costlier than a false positive – addressed via </w:t>
      </w:r>
      <w:proofErr w:type="spellStart"/>
      <w:r>
        <w:rPr>
          <w:rFonts w:ascii="Calibri" w:eastAsia="Calibri" w:hAnsi="Calibri" w:cs="Calibri"/>
          <w:sz w:val="21"/>
          <w:szCs w:val="21"/>
        </w:rPr>
        <w:t>class_weight</w:t>
      </w:r>
      <w:proofErr w:type="spellEnd"/>
      <w:r>
        <w:rPr>
          <w:rFonts w:ascii="Calibri" w:eastAsia="Calibri" w:hAnsi="Calibri" w:cs="Calibri"/>
          <w:sz w:val="21"/>
          <w:szCs w:val="21"/>
        </w:rPr>
        <w:t>='balanced' and f1_macro-based tuning rather than plain accuracy.</w:t>
      </w:r>
    </w:p>
    <w:p w14:paraId="44EE80E6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Predicted probabilities (Section 4.2) are intended to be shown alongside the label, so a 55%-confidence flag is visibly different from a 98.6%-confidence one.</w:t>
      </w:r>
    </w:p>
    <w:p w14:paraId="0CD3BDEA" w14:textId="77777777" w:rsidR="000A5105" w:rsidRDefault="00EC0316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4.6 Human Oversight and Deployment Limits</w:t>
      </w:r>
    </w:p>
    <w:p w14:paraId="322982FD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Triage/decision-support signal only – never an automated diagnosis or automated referral without a human in the loop.</w:t>
      </w:r>
    </w:p>
    <w:p w14:paraId="7D92FA99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 xml:space="preserve">451 cleaned records </w:t>
      </w:r>
      <w:proofErr w:type="gramStart"/>
      <w:r>
        <w:rPr>
          <w:rFonts w:ascii="Calibri" w:eastAsia="Calibri" w:hAnsi="Calibri" w:cs="Calibri"/>
          <w:sz w:val="21"/>
          <w:szCs w:val="21"/>
        </w:rPr>
        <w:t>is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small for a 3-class clinical model – re-validation required before use outside a similar rural-clinic population.</w:t>
      </w:r>
    </w:p>
    <w:p w14:paraId="0AA4C5DB" w14:textId="77777777" w:rsidR="000A5105" w:rsidRDefault="00EC0316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Weak mid-risk performance (Section 3.5) means mid-risk predictions specifically should be treated with lower confidence by the health worker than low/high predictions.</w:t>
      </w:r>
    </w:p>
    <w:p w14:paraId="380FBB0B" w14:textId="55BA0EE1" w:rsidR="000A5105" w:rsidRDefault="00EC0316" w:rsidP="00F52751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alibri" w:eastAsia="Calibri" w:hAnsi="Calibri" w:cs="Calibri"/>
          <w:sz w:val="21"/>
          <w:szCs w:val="21"/>
        </w:rPr>
        <w:t>Recommend logging real-world prediction–outcome pairs post-deployment to audit high-risk recall periodically rather than trusting the offline test numbers indefinitely.</w:t>
      </w:r>
    </w:p>
    <w:sectPr w:rsidR="000A5105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667"/>
    <w:multiLevelType w:val="hybridMultilevel"/>
    <w:tmpl w:val="AC827E6C"/>
    <w:lvl w:ilvl="0" w:tplc="67627B54">
      <w:start w:val="1"/>
      <w:numFmt w:val="bullet"/>
      <w:lvlText w:val="●"/>
      <w:lvlJc w:val="left"/>
      <w:pPr>
        <w:ind w:left="720" w:hanging="360"/>
      </w:pPr>
    </w:lvl>
    <w:lvl w:ilvl="1" w:tplc="C0F61852">
      <w:start w:val="1"/>
      <w:numFmt w:val="bullet"/>
      <w:lvlText w:val="○"/>
      <w:lvlJc w:val="left"/>
      <w:pPr>
        <w:ind w:left="1440" w:hanging="360"/>
      </w:pPr>
    </w:lvl>
    <w:lvl w:ilvl="2" w:tplc="41D4D6D4">
      <w:start w:val="1"/>
      <w:numFmt w:val="bullet"/>
      <w:lvlText w:val="■"/>
      <w:lvlJc w:val="left"/>
      <w:pPr>
        <w:ind w:left="2160" w:hanging="360"/>
      </w:pPr>
    </w:lvl>
    <w:lvl w:ilvl="3" w:tplc="2B1E95E4">
      <w:start w:val="1"/>
      <w:numFmt w:val="bullet"/>
      <w:lvlText w:val="●"/>
      <w:lvlJc w:val="left"/>
      <w:pPr>
        <w:ind w:left="2880" w:hanging="360"/>
      </w:pPr>
    </w:lvl>
    <w:lvl w:ilvl="4" w:tplc="C786E2B4">
      <w:start w:val="1"/>
      <w:numFmt w:val="bullet"/>
      <w:lvlText w:val="○"/>
      <w:lvlJc w:val="left"/>
      <w:pPr>
        <w:ind w:left="3600" w:hanging="360"/>
      </w:pPr>
    </w:lvl>
    <w:lvl w:ilvl="5" w:tplc="B060CDE8">
      <w:start w:val="1"/>
      <w:numFmt w:val="bullet"/>
      <w:lvlText w:val="■"/>
      <w:lvlJc w:val="left"/>
      <w:pPr>
        <w:ind w:left="4320" w:hanging="360"/>
      </w:pPr>
    </w:lvl>
    <w:lvl w:ilvl="6" w:tplc="B120AFF0">
      <w:start w:val="1"/>
      <w:numFmt w:val="bullet"/>
      <w:lvlText w:val="●"/>
      <w:lvlJc w:val="left"/>
      <w:pPr>
        <w:ind w:left="5040" w:hanging="360"/>
      </w:pPr>
    </w:lvl>
    <w:lvl w:ilvl="7" w:tplc="0DC6C5FE">
      <w:start w:val="1"/>
      <w:numFmt w:val="bullet"/>
      <w:lvlText w:val="●"/>
      <w:lvlJc w:val="left"/>
      <w:pPr>
        <w:ind w:left="5760" w:hanging="360"/>
      </w:pPr>
    </w:lvl>
    <w:lvl w:ilvl="8" w:tplc="2BC0BE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B64BB0"/>
    <w:multiLevelType w:val="hybridMultilevel"/>
    <w:tmpl w:val="D6FE5822"/>
    <w:lvl w:ilvl="0" w:tplc="6A0CD462">
      <w:start w:val="1"/>
      <w:numFmt w:val="bullet"/>
      <w:lvlText w:val="•"/>
      <w:lvlJc w:val="left"/>
      <w:pPr>
        <w:ind w:left="440" w:hanging="240"/>
      </w:pPr>
    </w:lvl>
    <w:lvl w:ilvl="1" w:tplc="6A9A1190">
      <w:start w:val="1"/>
      <w:numFmt w:val="bullet"/>
      <w:lvlText w:val="◦"/>
      <w:lvlJc w:val="left"/>
      <w:pPr>
        <w:ind w:left="800" w:hanging="240"/>
      </w:pPr>
    </w:lvl>
    <w:lvl w:ilvl="2" w:tplc="FF4228DE">
      <w:numFmt w:val="decimal"/>
      <w:lvlText w:val=""/>
      <w:lvlJc w:val="left"/>
    </w:lvl>
    <w:lvl w:ilvl="3" w:tplc="18E8C064">
      <w:numFmt w:val="decimal"/>
      <w:lvlText w:val=""/>
      <w:lvlJc w:val="left"/>
    </w:lvl>
    <w:lvl w:ilvl="4" w:tplc="358EE670">
      <w:numFmt w:val="decimal"/>
      <w:lvlText w:val=""/>
      <w:lvlJc w:val="left"/>
    </w:lvl>
    <w:lvl w:ilvl="5" w:tplc="EA22C55A">
      <w:numFmt w:val="decimal"/>
      <w:lvlText w:val=""/>
      <w:lvlJc w:val="left"/>
    </w:lvl>
    <w:lvl w:ilvl="6" w:tplc="80826574">
      <w:numFmt w:val="decimal"/>
      <w:lvlText w:val=""/>
      <w:lvlJc w:val="left"/>
    </w:lvl>
    <w:lvl w:ilvl="7" w:tplc="814A8126">
      <w:numFmt w:val="decimal"/>
      <w:lvlText w:val=""/>
      <w:lvlJc w:val="left"/>
    </w:lvl>
    <w:lvl w:ilvl="8" w:tplc="1A30E440">
      <w:numFmt w:val="decimal"/>
      <w:lvlText w:val=""/>
      <w:lvlJc w:val="left"/>
    </w:lvl>
  </w:abstractNum>
  <w:num w:numId="1" w16cid:durableId="1327518461">
    <w:abstractNumId w:val="0"/>
    <w:lvlOverride w:ilvl="0">
      <w:startOverride w:val="1"/>
    </w:lvlOverride>
  </w:num>
  <w:num w:numId="2" w16cid:durableId="7853868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105"/>
    <w:rsid w:val="00066B60"/>
    <w:rsid w:val="000A5105"/>
    <w:rsid w:val="00EC0316"/>
    <w:rsid w:val="00F5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C14E8"/>
  <w15:docId w15:val="{3B5CB2CA-F028-4591-9173-C0B591EDE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1706</Words>
  <Characters>9728</Characters>
  <Application>Microsoft Office Word</Application>
  <DocSecurity>0</DocSecurity>
  <Lines>81</Lines>
  <Paragraphs>22</Paragraphs>
  <ScaleCrop>false</ScaleCrop>
  <Company/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 3 - Machine Learning - ML for Social Good Challenge</dc:title>
  <dc:subject>Mission Health - Maternal Health Risk Prediction</dc:subject>
  <dc:creator>Joshua Joby</dc:creator>
  <dc:description>CIA III submission - Machine Learning MCA 521-4</dc:description>
  <cp:lastModifiedBy>Joshua Joby</cp:lastModifiedBy>
  <cp:revision>2</cp:revision>
  <dcterms:created xsi:type="dcterms:W3CDTF">2026-08-15T07:48:00Z</dcterms:created>
  <dcterms:modified xsi:type="dcterms:W3CDTF">2026-08-15T07:48:00Z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363ddab3-736c-4a1e-8d5d-1cc5939ae0d7</vt:lpwstr>
  </property>
</Properties>
</file>