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in 2021 to $183.0M in 2024, a healthy 8.8% compound annual growth rate.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margin of 18.7% is within a typical range, with room for operational improvement after close.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Procurement scale and vendor consolidation scores highest for this situation on impact and achievability; see the accompanying presentation for the ranked view.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Integration readiness: Operational dependencies and management retention determine speed to value; both are unconfirmed at this stage.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2026-07-23T04:25:51.475Z</dcterms:created>
  <dcterms:modified xsi:type="dcterms:W3CDTF">2026-07-23T04:25:51.475Z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