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160" w:before="0"/>
      </w:pPr>
      <w:r>
        <w:rPr>
          <w:b/>
          <w:bCs/>
          <w:i w:val="false"/>
          <w:iCs w:val="false"/>
          <w:color w:val="63666A"/>
          <w:sz w:val="18"/>
          <w:szCs w:val="18"/>
          <w:rFonts w:ascii="Arial" w:cs="Arial" w:eastAsia="Arial" w:hAnsi="Arial"/>
        </w:rPr>
        <w:t xml:space="preserve">DealDesk | Deal team memorandum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To: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Engagement leadership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From: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Deal team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July 2026</w:t>
      </w:r>
    </w:p>
    <w:p>
      <w:pPr>
        <w:pBdr>
          <w:bottom w:val="single" w:color="D9D9D9" w:sz="4" w:space="4"/>
        </w:pBdr>
        <w:spacing w:line="276" w:after="24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Inc.: recommend advancing to management interviews; $183.0M revenue, 18.7% EBITDA margin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Recommendation: advance Meridian Components Inc. to the management interview phase, leading with procurement scale and vendor consolidation. The financial profile supports the acquisition thesis, subject to the diligence items below.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This matters now because the historical financials show healthy growth (8.8% CAGR) with 18.7% EBITDA margin, and the open questions are answerable within a two week interview window.</w:t>
      </w:r>
    </w:p>
    <w:p>
      <w:pPr>
        <w:spacing w:line="276" w:after="24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Decision needed: approve interview scheduling and data room access within two weeks to hold the timeline.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1. Directional value: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model shows annual synergy value of $10.8M conservative to $21.1M aggressive ($16.0M midpoint), on $183.0M of 2024 revenue. Every percentage sits in a labeled input cell, so the assumptions can be flexed directly.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2. Key sensitivity: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One percentage point of synergy on cost of goods sold is worth about $1.1M a year; validating the per line ranges is the most valuable interview outcome.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3. Integration readiness: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Operational dependencies and management retention determine speed to value; both are unconfirmed at this stage.</w:t>
      </w:r>
    </w:p>
    <w:p>
      <w:pPr>
        <w:spacing w:line="276" w:after="100" w:before="200"/>
      </w:pPr>
      <w:r>
        <w:rPr>
          <w:b/>
          <w:bCs/>
          <w:i w:val="false"/>
          <w:iCs w:val="false"/>
          <w:color w:val="0A1F2E"/>
          <w:sz w:val="24"/>
          <w:szCs w:val="24"/>
          <w:rFonts w:ascii="Georgia" w:cs="Georgia" w:eastAsia="Georgia" w:hAnsi="Georgia"/>
        </w:rPr>
        <w:t xml:space="preserve">Next steps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Conduct management interviews using the attached guide (weeks 1 to 2).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Size the top three synergy opportunities bottom up (weeks 2 to 3).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Fold validated findings into the model and reconvene (week 4).</w:t>
      </w:r>
    </w:p>
    <w:p>
      <w:pPr>
        <w:spacing w:line="276" w:after="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Full analysis in the attached model, summary, and interview guide. Happy to walk through the assumptions.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Privileged and confidential | Draft for discussion purposes only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2026-07-23T04:25:51.487Z</dcterms:created>
  <dcterms:modified xsi:type="dcterms:W3CDTF">2026-07-23T04:25:51.487Z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