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276" w:after="80" w:before="0"/>
      </w:pPr>
      <w:r>
        <w:rPr>
          <w:b/>
          <w:bCs/>
          <w:i w:val="false"/>
          <w:iCs w:val="false"/>
          <w:color w:val="1F4CFF"/>
          <w:sz w:val="22"/>
          <w:szCs w:val="22"/>
          <w:rFonts w:ascii="Arial" w:cs="Arial" w:eastAsia="Arial" w:hAnsi="Arial"/>
        </w:rPr>
        <w:t xml:space="preserve">PROJECT UPS</w:t>
      </w:r>
    </w:p>
    <w:p>
      <w:pPr>
        <w:spacing w:line="276" w:after="100" w:before="0"/>
      </w:pPr>
      <w:r>
        <w:rPr>
          <w:b w:val="false"/>
          <w:bCs w:val="false"/>
          <w:i w:val="false"/>
          <w:iCs w:val="false"/>
          <w:color w:val="0A1F2E"/>
          <w:sz w:val="56"/>
          <w:szCs w:val="56"/>
          <w:rFonts w:ascii="Georgia" w:cs="Georgia" w:eastAsia="Georgia" w:hAnsi="Georgia"/>
        </w:rPr>
        <w:t xml:space="preserve">UPS: Business summary</w:t>
      </w:r>
    </w:p>
    <w:p>
      <w:pPr>
        <w:pBdr>
          <w:bottom w:val="single" w:color="D9D9D9" w:sz="4" w:space="4"/>
        </w:pBdr>
        <w:spacing w:line="276" w:after="60" w:before="0"/>
      </w:pPr>
      <w:r>
        <w:rPr>
          <w:b w:val="false"/>
          <w:bCs w:val="false"/>
          <w:i w:val="false"/>
          <w:iCs w:val="false"/>
          <w:color w:val="63666A"/>
          <w:sz w:val="21"/>
          <w:szCs w:val="21"/>
          <w:rFonts w:ascii="Arial" w:cs="Arial" w:eastAsia="Arial" w:hAnsi="Arial"/>
        </w:rPr>
        <w:t xml:space="preserve">Acquisition | Industrial manufacturing | July 2026 | Illustrative sample financials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1. Company overview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UPS is deliberately walking away from its largest but lowest margin customer to raise revenue per package. This operational review targets efficiency, cost, and throughput improvements. Stated priority: margin turnaround.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UPS operates in the industrial manufacturing sector with reported revenue of $183.0M in FY24A. The operating model, cost structure, and supply chain of UPS are the units of analysis; financial results are treated as symptoms of operational drivers.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Situation assessment: stated goal is margin turnaround; margin declining; growth driven by price and mix; significant customer concentration; excess capacity in the network; cost program underway.</w:t>
      </w:r>
    </w:p>
    <w:tbl>
      <w:tblPr>
        <w:tblW w:type="pct" w:w="100%"/>
        <w:tblBorders>
          <w:top w:val="single" w:color="D9D9D9" w:sz="2"/>
          <w:left w:val="single" w:color="1F4CFF" w:sz="24"/>
          <w:bottom w:val="single" w:color="D9D9D9" w:sz="2"/>
          <w:right w:val="single" w:color="D9D9D9" w:sz="2"/>
          <w:insideH w:val="none"/>
          <w:insideV w:val="none"/>
        </w:tblBorders>
      </w:tblPr>
      <w:tblGrid>
        <w:gridCol w:w="100"/>
      </w:tblGrid>
      <w:tr>
        <w:tc>
          <w:tcPr>
            <w:shd w:fill="F2F5F7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line="276" w:after="120" w:before="0"/>
            </w:pPr>
            <w:r>
              <w:rPr>
                <w:b/>
                <w:bCs/>
                <w:i w:val="false"/>
                <w:iCs w:val="false"/>
                <w:color w:val="0A1F2E"/>
                <w:sz w:val="24"/>
                <w:szCs w:val="24"/>
                <w:rFonts w:ascii="Georgia" w:cs="Georgia" w:eastAsia="Georgia" w:hAnsi="Georgia"/>
              </w:rPr>
              <w:t xml:space="preserve">What matters most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1. Top line: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Revenue grew from $142.0M in 2021 to $183.0M in 2024, a healthy 8.8% compound annual growth rate. Management attributes the growth to price and mix rather than volume; validate its durability. See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2. Profitability: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EBITDA margin of 18.7% is within a typical range, with room for operational improvement after close. Note: management describes margin as declining while the provided statements show it rising; reconcile the two views early. See Section 2.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3. Customer concentration: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A significant share of revenue depends on a small number of customers; quantify the exposure and the retention plan before anything else.</w:t>
            </w:r>
          </w:p>
          <w:p>
            <w:pPr>
              <w:spacing w:line="276" w:after="140" w:before="0"/>
            </w:pPr>
            <w:r>
              <w:rPr>
                <w:b/>
                <w:bCs/>
                <w:i w:val="false"/>
                <w:iCs w:val="false"/>
                <w:color w:val="0A1F2E"/>
                <w:sz w:val="21"/>
                <w:szCs w:val="21"/>
                <w:rFonts w:ascii="Arial" w:cs="Arial" w:eastAsia="Arial" w:hAnsi="Arial"/>
              </w:rPr>
              <w:t xml:space="preserve">4. Improvement anchor: </w:t>
            </w:r>
            <w:r>
              <w:rPr>
                <w:b w:val="false"/>
                <w:bCs w:val="false"/>
                <w:i w:val="false"/>
                <w:iCs w:val="false"/>
                <w:color w:val="1A1A1A"/>
                <w:sz w:val="21"/>
                <w:szCs w:val="21"/>
                <w:rFonts w:ascii="Arial" w:cs="Arial" w:eastAsia="Arial" w:hAnsi="Arial"/>
              </w:rPr>
              <w:t xml:space="preserve">Revenue per unit and mix discipline scores highest for this situation on impact and achievability; see the accompanying presentation for the ranked view.</w:t>
            </w:r>
          </w:p>
        </w:tc>
      </w:tr>
    </w:tbl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2. Financial summary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Revenue grew from $142.0M in 2021 to $183.0M in 2024, a healthy 8.8% compound annual growth rate. Management attributes the growth to price and mix rather than volume; validate its durability.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EBITDA margin of 18.7% is within a typical range, with room for operational improvement after close. Note: management describes margin as declining while the provided statements show it rising; reconcile the two views early.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$M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FY21A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FY22A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FY23A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FY24A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FY25F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142.0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154.0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168.0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183.0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199.1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COGS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(92.3)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(99.1)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(107.0)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(114.9)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(125.0)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SG&amp;A / Opex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(28.4)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(30.1)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(32.0)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(33.8)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(36.8)</w:t>
            </w:r>
          </w:p>
        </w:tc>
      </w:tr>
      <w:tr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21.3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24.8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29.0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34.3</w:t>
            </w:r>
          </w:p>
        </w:tc>
        <w:tc>
          <w:tcPr>
            <w:shd w:fill="F2F5F7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/>
                <w:bCs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37.3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EBITDA margin (%)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15.0%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16.1%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17.3%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right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18.7%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Illustrative sample financials; DealDesk analysis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3. Recent news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Recent company news relevant to the engagement objective, with links to sources: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1: from the company newsroom or investor relations page]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[Headline 2: from sector press or analyst coverage]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4. Key people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Role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Executive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Financial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Chief Operating Officer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[Other key role]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[Name]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website; investor relations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5. Key products</w:t>
      </w:r>
    </w:p>
    <w:tbl>
      <w:tblPr>
        <w:tblW w:type="pct" w:w="100%"/>
        <w:tblBorders>
          <w:top w:val="single" w:color="0A1F2E" w:sz="8"/>
          <w:left w:val="none"/>
          <w:bottom w:val="single" w:color="0A1F2E" w:sz="8"/>
          <w:right w:val="none"/>
          <w:insideH w:val="single" w:color="D9D9D9" w:sz="4"/>
          <w:insideV w:val="none"/>
        </w:tblBorders>
      </w:tblPr>
      <w:tblGrid>
        <w:gridCol w:w="100"/>
        <w:gridCol w:w="100"/>
        <w:gridCol w:w="100"/>
      </w:tblGrid>
      <w:tr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Name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Revenue</w:t>
            </w:r>
          </w:p>
        </w:tc>
        <w:tc>
          <w:tcPr>
            <w:shd w:fill="0A1F2E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i w:val="false"/>
                <w:iCs w:val="false"/>
                <w:color w:val="FFFFFF"/>
                <w:sz w:val="19"/>
                <w:szCs w:val="19"/>
                <w:rFonts w:ascii="Arial" w:cs="Arial" w:eastAsia="Arial" w:hAnsi="Arial"/>
              </w:rPr>
              <w:t xml:space="preserve">Description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[Product or segment]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[$M]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 w:val="false"/>
                <w:bCs w:val="false"/>
                <w:i w:val="false"/>
                <w:iCs w:val="false"/>
                <w:color w:val="1A1A1A"/>
                <w:sz w:val="19"/>
                <w:szCs w:val="19"/>
                <w:rFonts w:ascii="Arial" w:cs="Arial" w:eastAsia="Arial" w:hAnsi="Arial"/>
              </w:rPr>
              <w:t xml:space="preserve">[Brief description]</w:t>
            </w:r>
          </w:p>
        </w:tc>
      </w:tr>
    </w:tbl>
    <w:p>
      <w:pPr>
        <w:spacing w:line="276" w:after="240" w:before="6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Source: Company financial statements; segment reporting where available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6. Analyst notes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Notes provided with the engagement request, reproduced for the team: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UPS is deliberately walking away from its largest but lowest margin customer to raise revenue per package. Margin is not improving yet because cost is leaving slower than volume.</w:t>
      </w:r>
    </w:p>
    <w:p>
      <w:pPr>
        <w:pBdr>
          <w:bottom w:val="single" w:color="D9D9D9" w:sz="4" w:space="4"/>
        </w:pBdr>
        <w:spacing w:line="276" w:after="160" w:before="360"/>
      </w:pPr>
      <w:r>
        <w:rPr>
          <w:b/>
          <w:bCs/>
          <w:i w:val="false"/>
          <w:iCs w:val="false"/>
          <w:color w:val="0A1F2E"/>
          <w:sz w:val="32"/>
          <w:szCs w:val="32"/>
          <w:rFonts w:ascii="Georgia" w:cs="Georgia" w:eastAsia="Georgia" w:hAnsi="Georgia"/>
        </w:rPr>
        <w:t xml:space="preserve">7. Other</w:t>
      </w:r>
    </w:p>
    <w:p>
      <w:p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The most important remaining topics to orient the team, prioritized for this engagement: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Customer concentration: A significant share of revenue depends on a small number of customers; quantify the exposure and the retention plan before anything else.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Customer and supplier concentration: confirm the share of revenue tied to the top five relationships.</w:t>
      </w:r>
    </w:p>
    <w:p>
      <w:pPr>
        <w:pStyle w:val="ListParagraph"/>
        <w:numPr>
          <w:ilvl w:val="0"/>
          <w:numId w:val="1"/>
        </w:numPr>
        <w:spacing w:line="276" w:after="120" w:before="0"/>
      </w:pPr>
      <w:r>
        <w:rPr>
          <w:b w:val="false"/>
          <w:bCs w:val="false"/>
          <w:i w:val="false"/>
          <w:iCs w:val="false"/>
          <w:color w:val="1A1A1A"/>
          <w:sz w:val="21"/>
          <w:szCs w:val="21"/>
          <w:rFonts w:ascii="Arial" w:cs="Arial" w:eastAsia="Arial" w:hAnsi="Arial"/>
        </w:rPr>
        <w:t xml:space="preserve">Next step: management interviews using the accompanying interview guide.</w:t>
      </w:r>
    </w:p>
    <w:p>
      <w:pPr>
        <w:spacing w:line="276" w:after="120" w:before="300"/>
      </w:pPr>
      <w:r>
        <w:rPr>
          <w:b w:val="false"/>
          <w:bCs w:val="false"/>
          <w:i w:val="false"/>
          <w:iCs w:val="false"/>
          <w:color w:val="63666A"/>
          <w:sz w:val="16"/>
          <w:szCs w:val="16"/>
          <w:rFonts w:ascii="Arial" w:cs="Arial" w:eastAsia="Arial" w:hAnsi="Arial"/>
        </w:rPr>
        <w:t xml:space="preserve">Prepared with DealDesk. High level by design; figures may not sum due to rounding.</w:t>
      </w: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  <w:spacing w:before="60" w:after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Draft for discussion purposes only</w:t>
    </w:r>
    <w:r>
      <w:t xml:space="preserve">	</w:t>
    </w:r>
    <w:r>
      <w:rPr>
        <w:color w:val="63666A"/>
        <w:sz w:val="16"/>
        <w:szCs w:val="16"/>
        <w:rFonts w:ascii="Arial" w:cs="Arial" w:eastAsia="Arial" w:hAnsi="Arial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4"/>
      </w:pBdr>
      <w:tabs>
        <w:tab w:val="right" w:pos="9360"/>
      </w:tabs>
      <w:spacing w:line="276" w:after="0" w:before="0"/>
    </w:pP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PROJECT UPS</w:t>
    </w:r>
    <w:r>
      <w:t xml:space="preserve">	</w:t>
    </w:r>
    <w:r>
      <w:rPr>
        <w:b w:val="false"/>
        <w:bCs w:val="false"/>
        <w:i w:val="false"/>
        <w:iCs w:val="false"/>
        <w:color w:val="63666A"/>
        <w:sz w:val="16"/>
        <w:szCs w:val="16"/>
        <w:rFonts w:ascii="Arial" w:cs="Arial" w:eastAsia="Arial" w:hAnsi="Arial"/>
      </w:rPr>
      <w:t xml:space="preserve">Private and 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1"/>
        <w:szCs w:val="21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2026-07-23T04:25:51.608Z</dcterms:created>
  <dcterms:modified xsi:type="dcterms:W3CDTF">2026-07-23T04:25:51.608Z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