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after="160" w:before="0"/>
      </w:pPr>
      <w:r>
        <w:rPr>
          <w:b/>
          <w:bCs/>
          <w:i w:val="false"/>
          <w:iCs w:val="false"/>
          <w:color w:val="63666A"/>
          <w:sz w:val="18"/>
          <w:szCs w:val="18"/>
          <w:rFonts w:ascii="Arial" w:cs="Arial" w:eastAsia="Arial" w:hAnsi="Arial"/>
        </w:rPr>
        <w:t xml:space="preserve">DealDesk | Deal team memorandum</w:t>
      </w:r>
    </w:p>
    <w:p>
      <w:pPr>
        <w:pBdr>
          <w:bottom w:val="single" w:color="D9D9D9" w:sz="4" w:space="4"/>
        </w:pBdr>
        <w:spacing w:line="276" w:after="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To: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Engagement leadership</w:t>
      </w:r>
    </w:p>
    <w:p>
      <w:pPr>
        <w:pBdr>
          <w:bottom w:val="single" w:color="D9D9D9" w:sz="4" w:space="4"/>
        </w:pBdr>
        <w:spacing w:line="276" w:after="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From: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Deal team</w:t>
      </w:r>
    </w:p>
    <w:p>
      <w:pPr>
        <w:pBdr>
          <w:bottom w:val="single" w:color="D9D9D9" w:sz="4" w:space="4"/>
        </w:pBdr>
        <w:spacing w:line="276" w:after="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Date: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July 2026</w:t>
      </w:r>
    </w:p>
    <w:p>
      <w:pPr>
        <w:pBdr>
          <w:bottom w:val="single" w:color="D9D9D9" w:sz="4" w:space="4"/>
        </w:pBdr>
        <w:spacing w:line="276" w:after="24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Re: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Meridian Components Inc.: recommend advancing to management interviews; $183.0M revenue, 18.7% EBITDA margin</w:t>
      </w:r>
    </w:p>
    <w:p>
      <w:pPr>
        <w:spacing w:line="276" w:after="140" w:before="0"/>
      </w:pPr>
      <w:r>
        <w:rPr>
          <w:b/>
          <w:bCs/>
          <w:i w:val="false"/>
          <w:iCs w:val="false"/>
          <w:color w:val="0A1F2E"/>
          <w:sz w:val="21"/>
          <w:szCs w:val="21"/>
          <w:rFonts w:ascii="Arial" w:cs="Arial" w:eastAsia="Arial" w:hAnsi="Arial"/>
        </w:rPr>
        <w:t xml:space="preserve">Recommendation: advance Meridian Components Inc. to the management interview phase; the lead hypothesis is "Procurement scale and vendor consolidation". The financial profile supports the acquisition thesis, subject to the diligence items below.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This matters now because the historical financials show healthy growth (8.8% CAGR) with 18.7% EBITDA margin, and the open questions are answerable within a two week interview window.</w:t>
      </w:r>
    </w:p>
    <w:p>
      <w:pPr>
        <w:spacing w:line="276" w:after="24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Decision needed: approve interview scheduling and data room access within two weeks to hold the timeline.</w:t>
      </w:r>
    </w:p>
    <w:p>
      <w:pPr>
        <w:spacing w:line="276" w:after="140" w:before="0"/>
      </w:pPr>
      <w:r>
        <w:rPr>
          <w:b/>
          <w:bCs/>
          <w:i w:val="false"/>
          <w:iCs w:val="false"/>
          <w:color w:val="0A1F2E"/>
          <w:sz w:val="21"/>
          <w:szCs w:val="21"/>
          <w:rFonts w:ascii="Arial" w:cs="Arial" w:eastAsia="Arial" w:hAnsi="Arial"/>
        </w:rPr>
        <w:t xml:space="preserve">1. Directional value: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The model shows annual synergy value of $10.8M conservative to $21.1M aggressive ($16.0M midpoint), on $183.0M of 2024 revenue. Every percentage sits in a labeled input cell, so the assumptions can be flexed directly.</w:t>
      </w:r>
    </w:p>
    <w:p>
      <w:pPr>
        <w:spacing w:line="276" w:after="140" w:before="0"/>
      </w:pPr>
      <w:r>
        <w:rPr>
          <w:b/>
          <w:bCs/>
          <w:i w:val="false"/>
          <w:iCs w:val="false"/>
          <w:color w:val="0A1F2E"/>
          <w:sz w:val="21"/>
          <w:szCs w:val="21"/>
          <w:rFonts w:ascii="Arial" w:cs="Arial" w:eastAsia="Arial" w:hAnsi="Arial"/>
        </w:rPr>
        <w:t xml:space="preserve">2. Key sensitivity: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One percentage point of synergy on cost of goods sold is worth about $1.1M a year; validating the per line ranges is the most valuable interview outcome.</w:t>
      </w:r>
    </w:p>
    <w:p>
      <w:pPr>
        <w:spacing w:line="276" w:after="140" w:before="0"/>
      </w:pPr>
      <w:r>
        <w:rPr>
          <w:b/>
          <w:bCs/>
          <w:i w:val="false"/>
          <w:iCs w:val="false"/>
          <w:color w:val="0A1F2E"/>
          <w:sz w:val="21"/>
          <w:szCs w:val="21"/>
          <w:rFonts w:ascii="Arial" w:cs="Arial" w:eastAsia="Arial" w:hAnsi="Arial"/>
        </w:rPr>
        <w:t xml:space="preserve">3. Integration readiness: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Operational dependencies and management retention determine speed to value; the summary carries the full view.</w:t>
      </w:r>
    </w:p>
    <w:p>
      <w:pPr>
        <w:spacing w:line="276" w:after="100" w:before="200"/>
      </w:pPr>
      <w:r>
        <w:rPr>
          <w:b/>
          <w:bCs/>
          <w:i w:val="false"/>
          <w:iCs w:val="false"/>
          <w:color w:val="0A1F2E"/>
          <w:sz w:val="24"/>
          <w:szCs w:val="24"/>
          <w:rFonts w:ascii="Georgia" w:cs="Georgia" w:eastAsia="Georgia" w:hAnsi="Georgia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Conduct management interviews using the attached guide (weeks 1 to 2).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Size the top three synergy opportunities bottom up (weeks 2 to 3).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Fold validated findings into the model and reconvene (week 4).</w:t>
      </w:r>
    </w:p>
    <w:p>
      <w:pPr>
        <w:spacing w:line="276" w:after="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Full analysis in the attached model, summary, and interview guide. Happy to walk through the assumptions.</w:t>
      </w:r>
    </w:p>
    <w:p>
      <w:pPr>
        <w:spacing w:line="276" w:after="120" w:before="300"/>
      </w:pPr>
      <w:r>
        <w:rPr>
          <w:b w:val="false"/>
          <w:bCs w:val="false"/>
          <w:i w:val="false"/>
          <w:iCs w:val="false"/>
          <w:color w:val="63666A"/>
          <w:sz w:val="16"/>
          <w:szCs w:val="16"/>
          <w:rFonts w:ascii="Arial" w:cs="Arial" w:eastAsia="Arial" w:hAnsi="Arial"/>
        </w:rPr>
        <w:t xml:space="preserve">Privileged and confidential | Draft for discussion purposes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60" w:after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Draft for discussion purposes only</w:t>
    </w:r>
    <w:r>
      <w:t xml:space="preserve">	</w:t>
    </w:r>
    <w:r>
      <w:rPr>
        <w:color w:val="63666A"/>
        <w:sz w:val="16"/>
        <w:szCs w:val="16"/>
        <w:rFonts w:ascii="Arial" w:cs="Arial" w:eastAsia="Arial" w:hAnsi="Arial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  <w:spacing w:line="276" w:after="0" w:before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PROJECT MERIDIAN</w:t>
    </w:r>
    <w:r>
      <w:t xml:space="preserve">	</w:t>
    </w: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Private and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2026-07-28T15:34:41.304Z</dcterms:created>
  <dcterms:modified xsi:type="dcterms:W3CDTF">2026-07-28T15:34:41.304Z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