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after="80" w:before="0"/>
      </w:pPr>
      <w:r>
        <w:rPr>
          <w:b/>
          <w:bCs/>
          <w:i w:val="false"/>
          <w:iCs w:val="false"/>
          <w:color w:val="1F4CFF"/>
          <w:sz w:val="22"/>
          <w:szCs w:val="22"/>
          <w:rFonts w:ascii="Arial" w:cs="Arial" w:eastAsia="Arial" w:hAnsi="Arial"/>
        </w:rPr>
        <w:t xml:space="preserve">PROJECT UPS</w:t>
      </w:r>
    </w:p>
    <w:p>
      <w:pPr>
        <w:spacing w:line="276" w:after="100" w:before="0"/>
      </w:pPr>
      <w:r>
        <w:rPr>
          <w:b w:val="false"/>
          <w:bCs w:val="false"/>
          <w:i w:val="false"/>
          <w:iCs w:val="false"/>
          <w:color w:val="0A1F2E"/>
          <w:sz w:val="56"/>
          <w:szCs w:val="56"/>
          <w:rFonts w:ascii="Georgia" w:cs="Georgia" w:eastAsia="Georgia" w:hAnsi="Georgia"/>
        </w:rPr>
        <w:t xml:space="preserve">UPS: Business summary</w:t>
      </w:r>
    </w:p>
    <w:p>
      <w:pPr>
        <w:pBdr>
          <w:bottom w:val="single" w:color="D9D9D9" w:sz="4" w:space="4"/>
        </w:pBdr>
        <w:spacing w:line="276" w:after="60" w:before="0"/>
      </w:pPr>
      <w:r>
        <w:rPr>
          <w:b w:val="false"/>
          <w:bCs w:val="false"/>
          <w:i w:val="false"/>
          <w:iCs w:val="false"/>
          <w:color w:val="63666A"/>
          <w:sz w:val="21"/>
          <w:szCs w:val="21"/>
          <w:rFonts w:ascii="Arial" w:cs="Arial" w:eastAsia="Arial" w:hAnsi="Arial"/>
        </w:rPr>
        <w:t xml:space="preserve">Acquisition | Industrial manufacturing | July 2026 | Illustrative sample financials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1. Company overview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UPS is deliberately walking away from its largest but lowest margin customer to raise revenue per package. This operational review targets efficiency, cost, and throughput improvements. Stated priority: margin turnaround.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UPS operates in the industrial manufacturing sector with reported revenue of $183.0M in FY24A. The operating model, cost structure, and supply chain of UPS are the units of analysis; financial results are treated as symptoms of operational drivers.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Situation assessment: stated goal is margin turnaround; margin declining; growth driven by price and mix; significant customer concentration; excess capacity in the network; cost program underway.</w:t>
      </w:r>
    </w:p>
    <w:tbl>
      <w:tblPr>
        <w:tblW w:type="pct" w:w="100%"/>
        <w:tblBorders>
          <w:top w:val="single" w:color="D9D9D9" w:sz="2"/>
          <w:left w:val="single" w:color="1F4CFF" w:sz="24"/>
          <w:bottom w:val="single" w:color="D9D9D9" w:sz="2"/>
          <w:right w:val="single" w:color="D9D9D9" w:sz="2"/>
          <w:insideH w:val="none"/>
          <w:insideV w:val="none"/>
        </w:tblBorders>
      </w:tblPr>
      <w:tblGrid>
        <w:gridCol w:w="100"/>
      </w:tblGrid>
      <w:tr>
        <w:tc>
          <w:tcPr>
            <w:shd w:fill="F2F5F7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line="276" w:after="120" w:before="0"/>
            </w:pPr>
            <w:r>
              <w:rPr>
                <w:b/>
                <w:bCs/>
                <w:i w:val="false"/>
                <w:iCs w:val="false"/>
                <w:color w:val="0A1F2E"/>
                <w:sz w:val="24"/>
                <w:szCs w:val="24"/>
                <w:rFonts w:ascii="Georgia" w:cs="Georgia" w:eastAsia="Georgia" w:hAnsi="Georgia"/>
              </w:rPr>
              <w:t xml:space="preserve">What matters most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1. Top line: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Revenue $142.0M (2021) to $183.0M (2024), an 8.8% CAGR; detail in Section 2.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2. Profitability: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EBITDA $34.3M at an 18.7% margin in 2024, within a typical range; detail in Section 2.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3. Customer concentration: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A significant share of revenue depends on a small number of customers; quantify the exposure and the retention plan before anything else.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4. Improvement anchor: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"Revenue per unit and mix discipline" scores highest for this situation on impact and achievability; ranked view in the accompanying presentation.</w:t>
            </w:r>
          </w:p>
        </w:tc>
      </w:tr>
    </w:tbl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2. Financial summary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Revenue grew from $142.0M in 2021 to $183.0M in 2024, a healthy 8.8% compound annual growth rate. Management attributes the growth to price and mix rather than volume; validate its durability.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EBITDA margin of 18.7% is within a typical range, with room for operational improvement after close. Note: management describes margin as declining while the provided statements show it rising; reconcile the two views early.</w:t>
      </w:r>
    </w:p>
    <w:tbl>
      <w:tblPr>
        <w:tblW w:type="pct" w:w="100%"/>
        <w:tblBorders>
          <w:top w:val="single" w:color="0A1F2E" w:sz="8"/>
          <w:left w:val="none"/>
          <w:bottom w:val="single" w:color="0A1F2E" w:sz="8"/>
          <w:right w:val="none"/>
          <w:insideH w:val="single" w:color="D9D9D9" w:sz="4"/>
          <w:insideV w:val="none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$M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FY21A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FY22A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FY23A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FY24A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FY25F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Revenue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142.0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154.0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168.0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183.0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199.1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Revenue growth (%)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n/a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8.5%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9.1%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8.9%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8.8%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COGS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(92.3)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(99.1)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(107.0)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(114.9)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(125.0)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SG&amp;A / Opex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(28.4)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(30.1)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(32.0)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(33.8)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(36.8)</w:t>
            </w:r>
          </w:p>
        </w:tc>
      </w:tr>
      <w:tr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EBITDA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21.3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24.8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29.0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34.3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37.3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EBITDA margin (%)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15.0%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16.1%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17.3%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18.7%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18.7%</w:t>
            </w:r>
          </w:p>
        </w:tc>
      </w:tr>
    </w:tbl>
    <w:p>
      <w:pPr>
        <w:spacing w:line="276" w:after="240" w:before="6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Source: Illustrative sample financials; DealDesk analysis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3. Recent news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Recent company news relevant to the engagement objective, with links to sources: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[Headline 1: from the company newsroom or investor relations page]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[Headline 2: from sector press or analyst coverage]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4. Key people</w:t>
      </w:r>
    </w:p>
    <w:tbl>
      <w:tblPr>
        <w:tblW w:type="pct" w:w="100%"/>
        <w:tblBorders>
          <w:top w:val="single" w:color="0A1F2E" w:sz="8"/>
          <w:left w:val="none"/>
          <w:bottom w:val="single" w:color="0A1F2E" w:sz="8"/>
          <w:right w:val="none"/>
          <w:insideH w:val="single" w:color="D9D9D9" w:sz="4"/>
          <w:insideV w:val="none"/>
        </w:tblBorders>
      </w:tblPr>
      <w:tblGrid>
        <w:gridCol w:w="100"/>
        <w:gridCol w:w="100"/>
      </w:tblGrid>
      <w:tr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Role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Name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Chief Executive Officer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Chair of the Board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Chief Financial Officer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[Other key role]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</w:tbl>
    <w:p>
      <w:pPr>
        <w:spacing w:line="276" w:after="240" w:before="6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Source: Company website; investor relations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5. Key products</w:t>
      </w:r>
    </w:p>
    <w:tbl>
      <w:tblPr>
        <w:tblW w:type="pct" w:w="100%"/>
        <w:tblBorders>
          <w:top w:val="single" w:color="0A1F2E" w:sz="8"/>
          <w:left w:val="none"/>
          <w:bottom w:val="single" w:color="0A1F2E" w:sz="8"/>
          <w:right w:val="none"/>
          <w:insideH w:val="single" w:color="D9D9D9" w:sz="4"/>
          <w:insideV w:val="none"/>
        </w:tblBorders>
      </w:tblPr>
      <w:tblGrid>
        <w:gridCol w:w="100"/>
        <w:gridCol w:w="100"/>
        <w:gridCol w:w="100"/>
      </w:tblGrid>
      <w:tr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Name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Revenue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Description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[Product or segment]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[$M]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[Brief description]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[Product or segment]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[$M]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[Brief description]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[Product or segment]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[$M]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[Brief description]</w:t>
            </w:r>
          </w:p>
        </w:tc>
      </w:tr>
    </w:tbl>
    <w:p>
      <w:pPr>
        <w:spacing w:line="276" w:after="240" w:before="6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Source: Company financial statements; segment reporting where available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6. Analyst notes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Notes provided with the engagement request, reproduced for the team: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UPS is deliberately walking away from its largest but lowest margin customer to raise revenue per package. Margin is not improving yet because cost is leaving slower than volume.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7. Other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The most important remaining topics to orient the team, prioritized for this engagement: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Supplier dependence: map the top suppliers by spend and any single points of failure.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Quality of reported figures: confirm accounting basis, one time items, and any restatements.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Next step: management interviews using the accompanying interview guide.</w:t>
      </w:r>
    </w:p>
    <w:p>
      <w:pPr>
        <w:spacing w:line="276" w:after="120" w:before="30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Prepared with DealDesk. High level by design; figures may not sum due to rounding.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before="60" w:after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Draft for discussion purposes only</w:t>
    </w:r>
    <w:r>
      <w:t xml:space="preserve">	</w:t>
    </w:r>
    <w:r>
      <w:rPr>
        <w:color w:val="63666A"/>
        <w:sz w:val="16"/>
        <w:szCs w:val="16"/>
        <w:rFonts w:ascii="Arial" w:cs="Arial" w:eastAsia="Arial" w:hAnsi="Arial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tabs>
        <w:tab w:val="right" w:pos="9360"/>
      </w:tabs>
      <w:spacing w:line="276" w:after="0" w:before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PROJECT UPS</w:t>
    </w:r>
    <w:r>
      <w:t xml:space="preserve">	</w:t>
    </w: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Private and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2026-07-25T18:17:13.024Z</dcterms:created>
  <dcterms:modified xsi:type="dcterms:W3CDTF">2026-07-25T18:17:13.024Z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