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MERIDIAN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Meridian Components Inc.: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client is evaluating the acquisition of Meridian Components Inc. to expand into the Midwest market with meaningful procurement synergies.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 operates in the industrial manufacturing sector with reported revenue of $183.0M in FY24A. Meridian Components Inc. operates in the industrial manufacturing sector; the analysis focuses on quality of earnings, deal perimeter, and value creation levers.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grew from $142.0M in 2021 to $183.0M in 2024, a healthy 8.8% compound annual growth rate. See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margin of 18.7% is within a typical range, with room for operational improvement after close. See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Integration readiness: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Operational dependencies and management retention determine speed to value; both are unconfirmed at this stage.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Synergy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Procurement scale and vendor consolidation scores highest for this situation on impact and achievability; see the accompanying presentation for the ranked view.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Operating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Integration readiness: Operational dependencies and management retention determine speed to value; both are unconfirmed at this stage.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and supplier concentration: confirm the share of revenue tied to the top five relationships.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2026-07-22T14:51:24.411Z</dcterms:created>
  <dcterms:modified xsi:type="dcterms:W3CDTF">2026-07-22T14:51:24.411Z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