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160" w:before="0"/>
      </w:pPr>
      <w:r>
        <w:rPr>
          <w:b/>
          <w:bCs/>
          <w:i w:val="false"/>
          <w:iCs w:val="false"/>
          <w:color w:val="63666A"/>
          <w:sz w:val="18"/>
          <w:szCs w:val="18"/>
          <w:rFonts w:ascii="Arial" w:cs="Arial" w:eastAsia="Arial" w:hAnsi="Arial"/>
        </w:rPr>
        <w:t xml:space="preserve">DealDesk | Deal team memorandum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To: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Engagement leadership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From: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Deal team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July 2026</w:t>
      </w:r>
    </w:p>
    <w:p>
      <w:pPr>
        <w:pBdr>
          <w:bottom w:val="single" w:color="D9D9D9" w:sz="4" w:space="4"/>
        </w:pBdr>
        <w:spacing w:line="276" w:after="24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Meridian Components Inc.: recommend advancing to management interviews; $183.0M revenue, 18.7% EBITDA margin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Recommendation: advance Meridian Components Inc. to the management interview phase, leading with procurement scale and vendor consolidation. The financial profile supports the acquisition thesis, subject to the diligence items below.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This matters now because the historical financials show healthy growth (8.8% CAGR) with 18.7% EBITDA margin, and the open questions are answerable within a two week interview window.</w:t>
      </w:r>
    </w:p>
    <w:p>
      <w:pPr>
        <w:spacing w:line="276" w:after="24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Decision needed: approve interview scheduling and data room access within two weeks to hold the timeline.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1. Directional value: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model shows annual synergy value of $10.8M conservative to $21.1M aggressive ($16.0M midpoint), on $183.0M of 2024 revenue. Every percentage sits in a labeled input cell, so the assumptions can be flexed directly.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2. Key sensitivity: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One percentage point of synergy on cost of goods sold is worth about $1.1M a year; validating the per line ranges is the most valuable interview outcome.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3. Integration readiness: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Operational dependencies and management retention determine speed to value; both are unconfirmed at this stage.</w:t>
      </w:r>
    </w:p>
    <w:p>
      <w:pPr>
        <w:spacing w:line="276" w:after="100" w:before="200"/>
      </w:pPr>
      <w:r>
        <w:rPr>
          <w:b/>
          <w:bCs/>
          <w:i w:val="false"/>
          <w:iCs w:val="false"/>
          <w:color w:val="0A1F2E"/>
          <w:sz w:val="24"/>
          <w:szCs w:val="24"/>
          <w:rFonts w:ascii="Georgia" w:cs="Georgia" w:eastAsia="Georgia" w:hAnsi="Georgia"/>
        </w:rPr>
        <w:t xml:space="preserve">Next steps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Conduct management interviews using the attached guide (weeks 1 to 2).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Size the top three synergy opportunities bottom up (weeks 2 to 3).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Fold validated findings into the model and reconvene (week 4).</w:t>
      </w:r>
    </w:p>
    <w:p>
      <w:pPr>
        <w:spacing w:line="276" w:after="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Full analysis in the attached model, summary, and interview guide. Happy to walk through the assumptions.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Privileged and confidential | Draft for discussion purposes only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2026-07-22T14:51:24.430Z</dcterms:created>
  <dcterms:modified xsi:type="dcterms:W3CDTF">2026-07-22T14:51:24.430Z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