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160" w:before="0"/>
      </w:pPr>
      <w:r>
        <w:rPr>
          <w:b/>
          <w:bCs/>
          <w:i w:val="false"/>
          <w:iCs w:val="false"/>
          <w:color w:val="63666A"/>
          <w:sz w:val="18"/>
          <w:szCs w:val="18"/>
          <w:rFonts w:ascii="Arial" w:cs="Arial" w:eastAsia="Arial" w:hAnsi="Arial"/>
        </w:rPr>
        <w:t xml:space="preserve">DealDesk | Deal team memorandum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To: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Engagement leadership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From: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Deal team</w:t>
      </w:r>
    </w:p>
    <w:p>
      <w:pPr>
        <w:pBdr>
          <w:bottom w:val="single" w:color="D9D9D9" w:sz="4" w:space="4"/>
        </w:pBdr>
        <w:spacing w:line="276" w:after="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Date: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July 2026</w:t>
      </w:r>
    </w:p>
    <w:p>
      <w:pPr>
        <w:pBdr>
          <w:bottom w:val="single" w:color="D9D9D9" w:sz="4" w:space="4"/>
        </w:pBdr>
        <w:spacing w:line="276" w:after="240" w:before="0"/>
      </w:pPr>
      <w:r>
        <w:rPr>
          <w:b/>
          <w:bCs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Meridian Components Inc.: recommend advancing to management interviews; $183.0M revenue, 18.7% EBITDA margin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Recommendation: advance Meridian Components Inc. to the management interview phase; the lead hypothesis is "Procurement scale and vendor consolidation". The financial profile supports the acquisition thesis, subject to the diligence items below.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This matters now because the historical financials show healthy growth (8.8% CAGR) with 18.7% EBITDA margin, and the open questions are answerable within a two week interview window.</w:t>
      </w:r>
    </w:p>
    <w:p>
      <w:pPr>
        <w:spacing w:line="276" w:after="24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Decision needed: approve interview scheduling and data room access within two weeks to hold the timeline.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1. Directional value: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model shows annual synergy value of $10.8M conservative to $21.1M aggressive ($16.0M midpoint), on $183.0M of 2024 revenue. Every percentage sits in a labeled input cell, so the assumptions can be flexed directly.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2. Key sensitivity: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One percentage point of synergy on cost of goods sold is worth about $1.1M a year; validating the per line ranges is the most valuable interview outcome.</w:t>
      </w:r>
    </w:p>
    <w:p>
      <w:pPr>
        <w:spacing w:line="276" w:after="140" w:before="0"/>
      </w:pPr>
      <w:r>
        <w:rPr>
          <w:b/>
          <w:bCs/>
          <w:i w:val="false"/>
          <w:iCs w:val="false"/>
          <w:color w:val="0A1F2E"/>
          <w:sz w:val="21"/>
          <w:szCs w:val="21"/>
          <w:rFonts w:ascii="Arial" w:cs="Arial" w:eastAsia="Arial" w:hAnsi="Arial"/>
        </w:rPr>
        <w:t xml:space="preserve">3. Integration readiness: </w:t>
      </w: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Operational dependencies and management retention determine speed to value; the summary carries the full view.</w:t>
      </w:r>
    </w:p>
    <w:p>
      <w:pPr>
        <w:spacing w:line="276" w:after="100" w:before="200"/>
      </w:pPr>
      <w:r>
        <w:rPr>
          <w:b/>
          <w:bCs/>
          <w:i w:val="false"/>
          <w:iCs w:val="false"/>
          <w:color w:val="0A1F2E"/>
          <w:sz w:val="24"/>
          <w:szCs w:val="24"/>
          <w:rFonts w:ascii="Georgia" w:cs="Georgia" w:eastAsia="Georgia" w:hAnsi="Georgia"/>
        </w:rPr>
        <w:t xml:space="preserve">Next steps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Conduct management interviews using the attached guide (weeks 1 to 2).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Size the top three synergy opportunities bottom up (weeks 2 to 3).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Fold validated findings into the model and reconvene (week 4).</w:t>
      </w:r>
    </w:p>
    <w:p>
      <w:pPr>
        <w:spacing w:line="276" w:after="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Full analysis in the attached model, summary, and interview guide. Happy to walk through the assumptions.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Privileged and confidential | Draft for discussion purposes only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MERIDIAN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2026-07-28T14:38:42.162Z</dcterms:created>
  <dcterms:modified xsi:type="dcterms:W3CDTF">2026-07-28T14:38:42.162Z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