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by end of week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 one point change in the growth assumption moves year five revenue by roughly $9.2M; growth quality is the single most valuable interview topic.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Primary risk: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Synergy capture depends on procurement and G&amp;A overlap that has not yet been validated bottom up.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deal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2026-07-22T03:29:55.693Z</dcterms:created>
  <dcterms:modified xsi:type="dcterms:W3CDTF">2026-07-22T03:29:55.693Z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