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160" w:before="0"/>
      </w:pPr>
      <w:r>
        <w:rPr>
          <w:b/>
          <w:bCs/>
          <w:i w:val="false"/>
          <w:iCs w:val="false"/>
          <w:color w:val="63666A"/>
          <w:sz w:val="18"/>
          <w:szCs w:val="18"/>
          <w:rFonts w:ascii="Arial" w:cs="Arial" w:eastAsia="Arial" w:hAnsi="Arial"/>
        </w:rPr>
        <w:t xml:space="preserve">DealDesk | Deal team memorandum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To: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Engagement leadership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From: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Deal team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July 2026</w:t>
      </w:r>
    </w:p>
    <w:p>
      <w:pPr>
        <w:pBdr>
          <w:bottom w:val="single" w:color="D9D9D9" w:sz="4" w:space="4"/>
        </w:pBdr>
        <w:spacing w:line="276" w:after="24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Inc.: recommend advancing to management interviews; $183.0M revenue, 18.7% EBITDA margin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Recommendation: advance Meridian Components Inc. to the management interview phase; the lead hypothesis is "Procurement scale and vendor consolidation". The financial profile supports the acquisition thesis, subject to the diligence items below.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This matters now because the historical financials show healthy growth (8.8% CAGR) with 18.7% EBITDA margin, and the open questions are answerable within a two week interview window.</w:t>
      </w:r>
    </w:p>
    <w:p>
      <w:pPr>
        <w:spacing w:line="276" w:after="24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Decision needed: approve interview scheduling and data room access within two weeks to hold the timeline.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1. Directional value: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model shows annual synergy value of $10.8M conservative to $21.1M aggressive ($16.0M midpoint), on $183.0M of 2024 revenue. Every percentage sits in a labeled input cell, so the assumptions can be flexed directly.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2. Key sensitivity: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One percentage point of synergy on cost of goods sold is worth about $1.1M a year; validating the per line ranges is the most valuable interview outcome.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3. Integration readiness: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Operational dependencies and management retention determine speed to value; the summary carries the full view.</w:t>
      </w:r>
    </w:p>
    <w:p>
      <w:pPr>
        <w:spacing w:line="276" w:after="100" w:before="200"/>
      </w:pPr>
      <w:r>
        <w:rPr>
          <w:b/>
          <w:bCs/>
          <w:i w:val="false"/>
          <w:iCs w:val="false"/>
          <w:color w:val="0A1F2E"/>
          <w:sz w:val="24"/>
          <w:szCs w:val="24"/>
          <w:rFonts w:ascii="Georgia" w:cs="Georgia" w:eastAsia="Georgia" w:hAnsi="Georgia"/>
        </w:rPr>
        <w:t xml:space="preserve">Next steps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Conduct management interviews using the attached guide (weeks 1 to 2).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Size the top three synergy opportunities bottom up (weeks 2 to 3).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Fold validated findings into the model and reconvene (week 4).</w:t>
      </w:r>
    </w:p>
    <w:p>
      <w:pPr>
        <w:spacing w:line="276" w:after="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Full analysis in the attached model, summary, and interview guide. Happy to walk through the assumptions.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Privileged and confidential | Draft for discussion purposes only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2026-07-23T15:32:16.224Z</dcterms:created>
  <dcterms:modified xsi:type="dcterms:W3CDTF">2026-07-23T15:32:16.224Z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