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160" w:before="0"/>
      </w:pPr>
      <w:r>
        <w:rPr>
          <w:b/>
          <w:bCs/>
          <w:i w:val="false"/>
          <w:iCs w:val="false"/>
          <w:color w:val="63666A"/>
          <w:sz w:val="18"/>
          <w:szCs w:val="18"/>
          <w:rFonts w:ascii="Arial" w:cs="Arial" w:eastAsia="Arial" w:hAnsi="Arial"/>
        </w:rPr>
        <w:t xml:space="preserve">DealDesk | Deal team memorandum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To: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Engagement leadership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From: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Deal team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July 2026</w:t>
      </w:r>
    </w:p>
    <w:p>
      <w:pPr>
        <w:pBdr>
          <w:bottom w:val="single" w:color="D9D9D9" w:sz="4" w:space="4"/>
        </w:pBdr>
        <w:spacing w:line="276" w:after="24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Meridian Components Inc.: recommend advancing to management interviews; $183.0M revenue, 18.7% EBITDA margin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Recommendation: advance Meridian Components Inc. to the management interview phase, leading with procurement scale and vendor consolidation. The financial profile supports the acquisition thesis, subject to the diligence items below.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This matters now because the historical financials show healthy growth (8.8% CAGR) with 18.7% EBITDA margin, and the open questions are answerable within a two week interview window.</w:t>
      </w:r>
    </w:p>
    <w:p>
      <w:pPr>
        <w:spacing w:line="276" w:after="24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Decision needed: approve interview scheduling and data room access within two weeks to hold the timeline.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1. Directional value: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model shows annual synergy value of $10.8M conservative to $21.1M aggressive ($16.0M midpoint), on $183.0M of 2024 revenue. Every percentage sits in a labeled input cell, so the assumptions can be flexed directly.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2. Key sensitivity: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One percentage point of synergy on cost of goods sold is worth about $1.1M a year; validating the per line ranges is the most valuable interview outcome.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3. Integration readiness: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Operational dependencies and management retention determine speed to value; both are unconfirmed at this stage.</w:t>
      </w:r>
    </w:p>
    <w:p>
      <w:pPr>
        <w:spacing w:line="276" w:after="100" w:before="200"/>
      </w:pPr>
      <w:r>
        <w:rPr>
          <w:b/>
          <w:bCs/>
          <w:i w:val="false"/>
          <w:iCs w:val="false"/>
          <w:color w:val="0A1F2E"/>
          <w:sz w:val="24"/>
          <w:szCs w:val="24"/>
          <w:rFonts w:ascii="Georgia" w:cs="Georgia" w:eastAsia="Georgia" w:hAnsi="Georgia"/>
        </w:rPr>
        <w:t xml:space="preserve">Next steps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Conduct management interviews using the attached guide (weeks 1 to 2).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Size the top three synergy opportunities bottom up (weeks 2 to 3).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Fold validated findings into the model and reconvene (week 4).</w:t>
      </w:r>
    </w:p>
    <w:p>
      <w:pPr>
        <w:spacing w:line="276" w:after="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Full analysis in the attached model, summary, and interview guide. Happy to walk through the assumptions.</w:t>
      </w:r>
    </w:p>
    <w:p>
      <w:pPr>
        <w:spacing w:line="276" w:after="120" w:before="30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Privileged and confidential | Draft for discussion purposes only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2026-07-23T05:00:33.765Z</dcterms:created>
  <dcterms:modified xsi:type="dcterms:W3CDTF">2026-07-23T05:00:33.765Z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