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584"/>
      </w:tblGrid>
      <w:tr>
        <w:tc>
          <w:tcPr>
            <w:tcW w:type="dxa" w:w="5371"/>
            <w:tcBorders>
              <w:left w:val="nil"/>
              <w:top w:val="nil"/>
              <w:right w:val="nil"/>
              <w:bottom w:val="nil"/>
            </w:tcBorders>
            <w:vAlign w:val="top"/>
          </w:tcPr>
          <w:p>
            <w:pPr>
              <w:spacing w:after="0"/>
            </w:pPr>
            <w:r>
              <w:rPr>
                <w:rFonts w:ascii="Cambria" w:hAnsi="Cambria"/>
                <w:b/>
                <w:color w:val="111827"/>
                <w:sz w:val="42"/>
              </w:rPr>
              <w:t>Joshua G. Leslie</w:t>
            </w:r>
          </w:p>
          <w:p>
            <w:pPr>
              <w:spacing w:before="20" w:after="60"/>
            </w:pPr>
            <w:r>
              <w:rPr>
                <w:rFonts w:ascii="Cambria" w:hAnsi="Cambria"/>
                <w:i/>
                <w:color w:val="4B5563"/>
                <w:sz w:val="22"/>
              </w:rPr>
              <w:t>IT Support Engineer | Cybersecurity</w:t>
            </w:r>
          </w:p>
          <w:p>
            <w:pPr>
              <w:spacing w:after="0"/>
            </w:pPr>
            <w:r>
              <w:rPr>
                <w:rFonts w:ascii="Cambria" w:hAnsi="Cambria"/>
                <w:sz w:val="18"/>
              </w:rPr>
              <w:t xml:space="preserve">LinkedIn: </w:t>
            </w:r>
            <w:hyperlink r:id="rId9">
              <w:r>
                <w:rPr>
                  <w:color w:val="1E3A5F"/>
                  <w:u w:val="single"/>
                </w:rPr>
                <w:t>linkedin.com/in/joshua-leslie-5a64512b7</w:t>
              </w:r>
            </w:hyperlink>
          </w:p>
          <w:p>
            <w:pPr>
              <w:spacing w:after="0"/>
            </w:pPr>
            <w:r>
              <w:rPr>
                <w:rFonts w:ascii="Cambria" w:hAnsi="Cambria"/>
                <w:sz w:val="18"/>
              </w:rPr>
              <w:t xml:space="preserve">Website: </w:t>
            </w:r>
            <w:hyperlink r:id="rId10">
              <w:r>
                <w:rPr>
                  <w:color w:val="1E3A5F"/>
                  <w:u w:val="single"/>
                </w:rPr>
                <w:t>joshuagleslie.com</w:t>
              </w:r>
            </w:hyperlink>
          </w:p>
          <w:p>
            <w:pPr>
              <w:spacing w:after="0"/>
            </w:pPr>
            <w:r>
              <w:rPr>
                <w:rFonts w:ascii="Cambria" w:hAnsi="Cambria"/>
                <w:color w:val="111827"/>
                <w:sz w:val="18"/>
              </w:rPr>
              <w:t>Email: joshualeslie2024@gmail.com</w:t>
            </w:r>
          </w:p>
          <w:p>
            <w:pPr>
              <w:spacing w:after="0"/>
            </w:pPr>
            <w:r>
              <w:rPr>
                <w:rFonts w:ascii="Cambria" w:hAnsi="Cambria"/>
                <w:sz w:val="18"/>
              </w:rPr>
              <w:t xml:space="preserve">Network+: </w:t>
            </w:r>
            <w:hyperlink r:id="rId11">
              <w:r>
                <w:rPr>
                  <w:color w:val="1E3A5F"/>
                  <w:u w:val="single"/>
                </w:rPr>
                <w:t>Credly</w:t>
              </w:r>
            </w:hyperlink>
            <w:r>
              <w:rPr>
                <w:rFonts w:ascii="Cambria" w:hAnsi="Cambria"/>
                <w:sz w:val="18"/>
              </w:rPr>
              <w:t xml:space="preserve">   |   Security+: </w:t>
            </w:r>
            <w:hyperlink r:id="rId12">
              <w:r>
                <w:rPr>
                  <w:color w:val="1E3A5F"/>
                  <w:u w:val="single"/>
                </w:rPr>
                <w:t>Credly</w:t>
              </w:r>
            </w:hyperlink>
            <w:r>
              <w:rPr>
                <w:rFonts w:ascii="Cambria" w:hAnsi="Cambria"/>
                <w:sz w:val="18"/>
              </w:rPr>
              <w:t xml:space="preserve">   |   A+: </w:t>
            </w:r>
            <w:hyperlink r:id="rId13">
              <w:r>
                <w:rPr>
                  <w:color w:val="1E3A5F"/>
                  <w:u w:val="single"/>
                </w:rPr>
                <w:t>Credly</w:t>
              </w:r>
            </w:hyperlink>
          </w:p>
        </w:tc>
        <w:tc>
          <w:tcPr>
            <w:tcW w:type="dxa" w:w="5371"/>
            <w:tcBorders>
              <w:left w:val="nil"/>
              <w:top w:val="nil"/>
              <w:right w:val="nil"/>
              <w:bottom w:val="nil"/>
            </w:tcBorders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before="140" w:after="60"/>
        <w:pBdr>
          <w:bottom w:val="single" w:sz="6" w:space="1" w:color="D1D5DB"/>
        </w:pBdr>
      </w:pPr>
      <w:r>
        <w:rPr>
          <w:rFonts w:ascii="Cambria" w:hAnsi="Cambria"/>
          <w:b/>
          <w:color w:val="1E3A5F"/>
          <w:sz w:val="21"/>
        </w:rPr>
        <w:t>PROFESSIONAL SUMMARY</w:t>
      </w:r>
    </w:p>
    <w:p>
      <w:pPr>
        <w:spacing w:after="40" w:line="252" w:lineRule="auto"/>
      </w:pPr>
      <w:r>
        <w:rPr>
          <w:rFonts w:ascii="Cambria" w:hAnsi="Cambria"/>
          <w:color w:val="111827"/>
          <w:sz w:val="18"/>
        </w:rPr>
        <w:t>IT Support Engineer at Think Unified supporting multi-client environments across Active Directory, Microsoft 365 security, firewalls, VPNs, endpoint management, patching, backup and disaster recovery, and remote monitoring.</w:t>
      </w:r>
    </w:p>
    <w:p>
      <w:pPr>
        <w:spacing w:after="40" w:line="252" w:lineRule="auto"/>
      </w:pPr>
      <w:r>
        <w:rPr>
          <w:rFonts w:ascii="Cambria" w:hAnsi="Cambria"/>
          <w:color w:val="111827"/>
          <w:sz w:val="18"/>
        </w:rPr>
        <w:t>Hands-on experience across 40+ client organizations, including Microsoft Defender, Conditional Access, MFA enforcement, and day-to-day infrastructure support, with direct exposure to real-world security operations and incident response.</w:t>
      </w:r>
    </w:p>
    <w:p>
      <w:pPr>
        <w:spacing w:after="20" w:line="252" w:lineRule="auto"/>
      </w:pPr>
      <w:r>
        <w:rPr>
          <w:rFonts w:ascii="Cambria" w:hAnsi="Cambria"/>
          <w:color w:val="111827"/>
          <w:sz w:val="18"/>
        </w:rPr>
        <w:t>Contributed to response efforts involving the Termite and Akira ransomware groups, performing containment, investigation, and recovery while bringing strong communication and leadership habits from prior management roles.</w:t>
      </w:r>
    </w:p>
    <w:p>
      <w:pPr>
        <w:spacing w:before="140" w:after="60"/>
        <w:pBdr>
          <w:bottom w:val="single" w:sz="6" w:space="1" w:color="D1D5DB"/>
        </w:pBdr>
      </w:pPr>
      <w:r>
        <w:rPr>
          <w:rFonts w:ascii="Cambria" w:hAnsi="Cambria"/>
          <w:b/>
          <w:color w:val="1E3A5F"/>
          <w:sz w:val="21"/>
        </w:rPr>
        <w:t>EXPERIENCE</w:t>
      </w:r>
    </w:p>
    <w:p>
      <w:pPr>
        <w:spacing w:before="40" w:after="0"/>
      </w:pPr>
      <w:r>
        <w:rPr>
          <w:rFonts w:ascii="Cambria" w:hAnsi="Cambria"/>
          <w:b/>
          <w:color w:val="111827"/>
          <w:sz w:val="20"/>
        </w:rPr>
        <w:t>IT Support Engineer</w:t>
      </w:r>
      <w:r>
        <w:rPr>
          <w:rFonts w:ascii="Cambria" w:hAnsi="Cambria"/>
          <w:color w:val="4B5563"/>
          <w:sz w:val="20"/>
        </w:rPr>
        <w:t xml:space="preserve"> | Think Unified (merged with CCSI)</w:t>
      </w:r>
      <w:r>
        <w:rPr>
          <w:rFonts w:ascii="Cambria" w:hAnsi="Cambria"/>
          <w:color w:val="4B5563"/>
          <w:sz w:val="20"/>
        </w:rPr>
        <w:t xml:space="preserve"> | 2024 - Present</w:t>
      </w:r>
    </w:p>
    <w:p>
      <w:pPr>
        <w:pStyle w:val="ListBullet"/>
        <w:spacing w:before="0" w:after="0" w:line="240" w:lineRule="auto"/>
        <w:ind w:left="259"/>
      </w:pPr>
      <w:r>
        <w:rPr>
          <w:rFonts w:ascii="Cambria" w:hAnsi="Cambria"/>
          <w:color w:val="111827"/>
          <w:sz w:val="18"/>
        </w:rPr>
        <w:t>Manage Active Directory environments for 40+ client companies, including user provisioning, Group Policy, and onboarding/offboarding workflows.</w:t>
      </w:r>
    </w:p>
    <w:p>
      <w:pPr>
        <w:pStyle w:val="ListBullet"/>
        <w:spacing w:before="0" w:after="0" w:line="240" w:lineRule="auto"/>
        <w:ind w:left="259"/>
      </w:pPr>
      <w:r>
        <w:rPr>
          <w:rFonts w:ascii="Cambria" w:hAnsi="Cambria"/>
          <w:color w:val="111827"/>
          <w:sz w:val="18"/>
        </w:rPr>
        <w:t>Administer Microsoft 365 security across multi-tenant environments, including Conditional Access, MFA enforcement, and Defender configurations.</w:t>
      </w:r>
    </w:p>
    <w:p>
      <w:pPr>
        <w:pStyle w:val="ListBullet"/>
        <w:spacing w:before="0" w:after="0" w:line="240" w:lineRule="auto"/>
        <w:ind w:left="259"/>
      </w:pPr>
      <w:r>
        <w:rPr>
          <w:rFonts w:ascii="Cambria" w:hAnsi="Cambria"/>
          <w:color w:val="111827"/>
          <w:sz w:val="18"/>
        </w:rPr>
        <w:t>Configure and maintain firewalls, VPNs, patching, endpoint support, backup oversight, and remote monitoring across varied client infrastructure.</w:t>
      </w:r>
    </w:p>
    <w:p>
      <w:pPr>
        <w:pStyle w:val="ListBullet"/>
        <w:spacing w:before="0" w:after="0" w:line="240" w:lineRule="auto"/>
        <w:ind w:left="259"/>
      </w:pPr>
      <w:r>
        <w:rPr>
          <w:rFonts w:ascii="Cambria" w:hAnsi="Cambria"/>
          <w:color w:val="111827"/>
          <w:sz w:val="18"/>
        </w:rPr>
        <w:t>Support response to active incidents involving the Termite and Akira ransomware groups, handling containment, investigation, and recovery.</w:t>
      </w:r>
    </w:p>
    <w:p>
      <w:pPr>
        <w:spacing w:before="40" w:after="0"/>
      </w:pPr>
      <w:r>
        <w:rPr>
          <w:rFonts w:ascii="Cambria" w:hAnsi="Cambria"/>
          <w:b/>
          <w:color w:val="111827"/>
          <w:sz w:val="20"/>
        </w:rPr>
        <w:t>Senior Advanced Repair Agent</w:t>
      </w:r>
      <w:r>
        <w:rPr>
          <w:rFonts w:ascii="Cambria" w:hAnsi="Cambria"/>
          <w:color w:val="4B5563"/>
          <w:sz w:val="20"/>
        </w:rPr>
        <w:t xml:space="preserve"> | Geek Squad</w:t>
      </w:r>
      <w:r>
        <w:rPr>
          <w:rFonts w:ascii="Cambria" w:hAnsi="Cambria"/>
          <w:color w:val="4B5563"/>
          <w:sz w:val="20"/>
        </w:rPr>
        <w:t xml:space="preserve"> | July 2022 - March 2024</w:t>
      </w:r>
    </w:p>
    <w:p>
      <w:pPr>
        <w:pStyle w:val="ListBullet"/>
        <w:spacing w:before="0" w:after="0" w:line="240" w:lineRule="auto"/>
        <w:ind w:left="259"/>
      </w:pPr>
      <w:r>
        <w:rPr>
          <w:rFonts w:ascii="Cambria" w:hAnsi="Cambria"/>
          <w:color w:val="111827"/>
          <w:sz w:val="18"/>
        </w:rPr>
        <w:t>Performed advanced diagnostics and repair for hardware and software issues with a consistently high rate of resolution.</w:t>
      </w:r>
    </w:p>
    <w:p>
      <w:pPr>
        <w:pStyle w:val="ListBullet"/>
        <w:spacing w:before="0" w:after="0" w:line="240" w:lineRule="auto"/>
        <w:ind w:left="259"/>
      </w:pPr>
      <w:r>
        <w:rPr>
          <w:rFonts w:ascii="Cambria" w:hAnsi="Cambria"/>
          <w:color w:val="111827"/>
          <w:sz w:val="18"/>
        </w:rPr>
        <w:t>Delivered customer-friendly technical explanations and effective support recommendations.</w:t>
      </w:r>
    </w:p>
    <w:p>
      <w:pPr>
        <w:pStyle w:val="ListBullet"/>
        <w:spacing w:before="0" w:after="0" w:line="240" w:lineRule="auto"/>
        <w:ind w:left="259"/>
      </w:pPr>
      <w:r>
        <w:rPr>
          <w:rFonts w:ascii="Cambria" w:hAnsi="Cambria"/>
          <w:color w:val="111827"/>
          <w:sz w:val="18"/>
        </w:rPr>
        <w:t>Led and supervised a team of 7 agents in a fast-paced service environment.</w:t>
      </w:r>
    </w:p>
    <w:p>
      <w:pPr>
        <w:spacing w:before="40" w:after="0"/>
      </w:pPr>
      <w:r>
        <w:rPr>
          <w:rFonts w:ascii="Cambria" w:hAnsi="Cambria"/>
          <w:b/>
          <w:color w:val="111827"/>
          <w:sz w:val="20"/>
        </w:rPr>
        <w:t>General Manager</w:t>
      </w:r>
      <w:r>
        <w:rPr>
          <w:rFonts w:ascii="Cambria" w:hAnsi="Cambria"/>
          <w:color w:val="4B5563"/>
          <w:sz w:val="20"/>
        </w:rPr>
        <w:t xml:space="preserve"> | Wendy's</w:t>
      </w:r>
      <w:r>
        <w:rPr>
          <w:rFonts w:ascii="Cambria" w:hAnsi="Cambria"/>
          <w:color w:val="4B5563"/>
          <w:sz w:val="20"/>
        </w:rPr>
        <w:t xml:space="preserve"> | July 2017 - December 2021</w:t>
      </w:r>
    </w:p>
    <w:p>
      <w:pPr>
        <w:pStyle w:val="ListBullet"/>
        <w:spacing w:before="0" w:after="0" w:line="240" w:lineRule="auto"/>
        <w:ind w:left="259"/>
      </w:pPr>
      <w:r>
        <w:rPr>
          <w:rFonts w:ascii="Cambria" w:hAnsi="Cambria"/>
          <w:color w:val="111827"/>
          <w:sz w:val="18"/>
        </w:rPr>
        <w:t>Led teams, improved operations, and maintained performance under pressure in a high-accountability environment.</w:t>
      </w:r>
    </w:p>
    <w:p>
      <w:pPr>
        <w:pStyle w:val="ListBullet"/>
        <w:spacing w:before="0" w:after="0" w:line="240" w:lineRule="auto"/>
        <w:ind w:left="259"/>
      </w:pPr>
      <w:r>
        <w:rPr>
          <w:rFonts w:ascii="Cambria" w:hAnsi="Cambria"/>
          <w:color w:val="111827"/>
          <w:sz w:val="18"/>
        </w:rPr>
        <w:t>Moved a struggling store from the bottom 10% in the market to a top 10% profitable store in 2020.</w:t>
      </w:r>
    </w:p>
    <w:p>
      <w:pPr>
        <w:spacing w:before="40" w:after="0"/>
      </w:pPr>
      <w:r>
        <w:rPr>
          <w:rFonts w:ascii="Cambria" w:hAnsi="Cambria"/>
          <w:b/>
          <w:color w:val="111827"/>
          <w:sz w:val="20"/>
        </w:rPr>
        <w:t>Console Repair Lead</w:t>
      </w:r>
      <w:r>
        <w:rPr>
          <w:rFonts w:ascii="Cambria" w:hAnsi="Cambria"/>
          <w:color w:val="4B5563"/>
          <w:sz w:val="20"/>
        </w:rPr>
        <w:t xml:space="preserve"> | GameStop Refurbishment Center</w:t>
      </w:r>
      <w:r>
        <w:rPr>
          <w:rFonts w:ascii="Cambria" w:hAnsi="Cambria"/>
          <w:color w:val="4B5563"/>
          <w:sz w:val="20"/>
        </w:rPr>
        <w:t xml:space="preserve"> | 2016 - 2018</w:t>
      </w:r>
    </w:p>
    <w:p>
      <w:pPr>
        <w:pStyle w:val="ListBullet"/>
        <w:spacing w:before="0" w:after="0" w:line="240" w:lineRule="auto"/>
        <w:ind w:left="259"/>
      </w:pPr>
      <w:r>
        <w:rPr>
          <w:rFonts w:ascii="Cambria" w:hAnsi="Cambria"/>
          <w:color w:val="111827"/>
          <w:sz w:val="18"/>
        </w:rPr>
        <w:t>Led console repair work while meeting production quotas and quality expectations.</w:t>
      </w:r>
    </w:p>
    <w:p>
      <w:pPr>
        <w:spacing w:before="140" w:after="60"/>
        <w:pBdr>
          <w:bottom w:val="single" w:sz="6" w:space="1" w:color="D1D5DB"/>
        </w:pBdr>
      </w:pPr>
      <w:r>
        <w:rPr>
          <w:rFonts w:ascii="Cambria" w:hAnsi="Cambria"/>
          <w:b/>
          <w:color w:val="1E3A5F"/>
          <w:sz w:val="21"/>
        </w:rPr>
        <w:t>CERTIFICATIONS</w:t>
      </w:r>
    </w:p>
    <w:p>
      <w:pPr>
        <w:pStyle w:val="ListBullet"/>
        <w:spacing w:after="0"/>
      </w:pPr>
      <w:r>
        <w:rPr>
          <w:rFonts w:ascii="Cambria" w:hAnsi="Cambria"/>
          <w:color w:val="111827"/>
          <w:sz w:val="18"/>
        </w:rPr>
        <w:t xml:space="preserve">CompTIA Network+ - Verified credential - </w:t>
      </w:r>
      <w:hyperlink r:id="rId11">
        <w:r>
          <w:rPr>
            <w:color w:val="1E3A5F"/>
            <w:u w:val="single"/>
          </w:rPr>
          <w:t>Credly verification</w:t>
        </w:r>
      </w:hyperlink>
    </w:p>
    <w:p>
      <w:pPr>
        <w:pStyle w:val="ListBullet"/>
        <w:spacing w:after="0"/>
      </w:pPr>
      <w:r>
        <w:rPr>
          <w:rFonts w:ascii="Cambria" w:hAnsi="Cambria"/>
          <w:color w:val="111827"/>
          <w:sz w:val="18"/>
        </w:rPr>
        <w:t xml:space="preserve">CompTIA Security+ - Passed 5/2/26 - </w:t>
      </w:r>
      <w:hyperlink r:id="rId12">
        <w:r>
          <w:rPr>
            <w:color w:val="1E3A5F"/>
            <w:u w:val="single"/>
          </w:rPr>
          <w:t>Credly verification</w:t>
        </w:r>
      </w:hyperlink>
    </w:p>
    <w:p>
      <w:pPr>
        <w:pStyle w:val="ListBullet"/>
        <w:spacing w:after="0"/>
      </w:pPr>
      <w:r>
        <w:rPr>
          <w:rFonts w:ascii="Cambria" w:hAnsi="Cambria"/>
          <w:color w:val="111827"/>
          <w:sz w:val="18"/>
        </w:rPr>
        <w:t xml:space="preserve">CompTIA A+ - Verified credential - </w:t>
      </w:r>
      <w:hyperlink r:id="rId13">
        <w:r>
          <w:rPr>
            <w:color w:val="1E3A5F"/>
            <w:u w:val="single"/>
          </w:rPr>
          <w:t>Credly verification</w:t>
        </w:r>
      </w:hyperlink>
    </w:p>
    <w:p>
      <w:pPr>
        <w:spacing w:before="140" w:after="60"/>
        <w:pBdr>
          <w:bottom w:val="single" w:sz="6" w:space="1" w:color="D1D5DB"/>
        </w:pBdr>
      </w:pPr>
      <w:r>
        <w:rPr>
          <w:rFonts w:ascii="Cambria" w:hAnsi="Cambria"/>
          <w:b/>
          <w:color w:val="1E3A5F"/>
          <w:sz w:val="21"/>
        </w:rPr>
        <w:t>SKILLS &amp;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52"/>
        <w:gridCol w:w="3672"/>
      </w:tblGrid>
      <w:tr>
        <w:tc>
          <w:tcPr>
            <w:tcW w:type="dxa" w:w="5371"/>
            <w:tcBorders>
              <w:left w:val="nil"/>
              <w:top w:val="nil"/>
              <w:right w:val="nil"/>
              <w:bottom w:val="nil"/>
            </w:tcBorders>
            <w:vAlign w:val="top"/>
          </w:tcPr>
          <w:p/>
          <w:p>
            <w:pPr>
              <w:spacing w:after="20"/>
            </w:pPr>
            <w:r>
              <w:rPr>
                <w:rFonts w:ascii="Cambria" w:hAnsi="Cambria"/>
                <w:b/>
                <w:color w:val="111827"/>
                <w:sz w:val="18"/>
              </w:rPr>
              <w:t xml:space="preserve">Systems Administration: </w:t>
            </w:r>
            <w:r>
              <w:rPr>
                <w:rFonts w:ascii="Cambria" w:hAnsi="Cambria"/>
                <w:color w:val="111827"/>
                <w:sz w:val="18"/>
              </w:rPr>
              <w:t>Active Directory, Microsoft 365, Windows Server, User Provisioning, Group Policy, Patch Management</w:t>
            </w:r>
          </w:p>
          <w:p>
            <w:pPr>
              <w:spacing w:after="20"/>
            </w:pPr>
            <w:r>
              <w:rPr>
                <w:rFonts w:ascii="Cambria" w:hAnsi="Cambria"/>
                <w:b/>
                <w:color w:val="111827"/>
                <w:sz w:val="18"/>
              </w:rPr>
              <w:t xml:space="preserve">Networking: </w:t>
            </w:r>
            <w:r>
              <w:rPr>
                <w:rFonts w:ascii="Cambria" w:hAnsi="Cambria"/>
                <w:color w:val="111827"/>
                <w:sz w:val="18"/>
              </w:rPr>
              <w:t>TCP/IP, DNS, DHCP, Firewall Configuration, VPN, Network Troubleshooting</w:t>
            </w:r>
          </w:p>
          <w:p>
            <w:pPr>
              <w:spacing w:after="20"/>
            </w:pPr>
            <w:r>
              <w:rPr>
                <w:rFonts w:ascii="Cambria" w:hAnsi="Cambria"/>
                <w:b/>
                <w:color w:val="111827"/>
                <w:sz w:val="18"/>
              </w:rPr>
              <w:t xml:space="preserve">Security: </w:t>
            </w:r>
            <w:r>
              <w:rPr>
                <w:rFonts w:ascii="Cambria" w:hAnsi="Cambria"/>
                <w:color w:val="111827"/>
                <w:sz w:val="18"/>
              </w:rPr>
              <w:t>Microsoft 365 Security, Incident Response, Ransomware Remediation, MFA Enforcement, Threat Analysis</w:t>
            </w:r>
          </w:p>
          <w:p>
            <w:pPr>
              <w:spacing w:after="20"/>
            </w:pPr>
            <w:r>
              <w:rPr>
                <w:rFonts w:ascii="Cambria" w:hAnsi="Cambria"/>
                <w:b/>
                <w:color w:val="111827"/>
                <w:sz w:val="18"/>
              </w:rPr>
              <w:t xml:space="preserve">Platforms: </w:t>
            </w:r>
            <w:r>
              <w:rPr>
                <w:rFonts w:ascii="Cambria" w:hAnsi="Cambria"/>
                <w:color w:val="111827"/>
                <w:sz w:val="18"/>
              </w:rPr>
              <w:t>NinjaRMM, Microsoft Defender, Backup &amp; Disaster Recovery, Hardware Repair, iOS &amp; Android</w:t>
            </w:r>
          </w:p>
        </w:tc>
        <w:tc>
          <w:tcPr>
            <w:tcW w:type="dxa" w:w="5371"/>
            <w:tcBorders>
              <w:left w:val="nil"/>
              <w:top w:val="nil"/>
              <w:right w:val="nil"/>
              <w:bottom w:val="nil"/>
            </w:tcBorders>
            <w:vAlign w:val="top"/>
          </w:tcPr>
          <w:p>
            <w:r>
              <w:rPr>
                <w:rFonts w:ascii="Cambria" w:hAnsi="Cambria"/>
                <w:b/>
                <w:color w:val="1E3A5F"/>
                <w:sz w:val="19"/>
              </w:rPr>
              <w:t>Current Development</w:t>
            </w:r>
          </w:p>
          <w:p>
            <w:pPr>
              <w:pStyle w:val="ListBullet"/>
              <w:spacing w:after="0"/>
            </w:pPr>
            <w:r>
              <w:rPr>
                <w:rFonts w:ascii="Cambria" w:hAnsi="Cambria"/>
                <w:color w:val="111827"/>
                <w:sz w:val="18"/>
              </w:rPr>
              <w:t>TryHackMe</w:t>
            </w:r>
          </w:p>
          <w:p>
            <w:pPr>
              <w:pStyle w:val="ListBullet"/>
              <w:spacing w:after="0"/>
            </w:pPr>
            <w:r>
              <w:rPr>
                <w:rFonts w:ascii="Cambria" w:hAnsi="Cambria"/>
                <w:color w:val="111827"/>
                <w:sz w:val="18"/>
              </w:rPr>
              <w:t>CyberDefenders</w:t>
            </w:r>
          </w:p>
          <w:p>
            <w:pPr>
              <w:spacing w:before="80"/>
            </w:pPr>
            <w:r>
              <w:rPr>
                <w:rFonts w:ascii="Cambria" w:hAnsi="Cambria"/>
                <w:b/>
                <w:color w:val="1E3A5F"/>
                <w:sz w:val="19"/>
              </w:rPr>
              <w:t>Education</w:t>
            </w:r>
          </w:p>
          <w:p>
            <w:pPr>
              <w:spacing w:after="0"/>
            </w:pPr>
            <w:r>
              <w:rPr>
                <w:rFonts w:ascii="Cambria" w:hAnsi="Cambria"/>
                <w:b/>
                <w:sz w:val="18"/>
              </w:rPr>
              <w:t>Croatian Christian Academy</w:t>
            </w:r>
          </w:p>
          <w:p>
            <w:r>
              <w:rPr>
                <w:rFonts w:ascii="Cambria" w:hAnsi="Cambria"/>
                <w:color w:val="111827"/>
                <w:sz w:val="18"/>
              </w:rPr>
              <w:t>GPA: 3.7</w:t>
            </w:r>
          </w:p>
        </w:tc>
      </w:tr>
    </w:tbl>
    <w:sectPr w:rsidR="00FC693F" w:rsidRPr="0006063C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oshua-leslie-5a64512b7/" TargetMode="External"/><Relationship Id="rId10" Type="http://schemas.openxmlformats.org/officeDocument/2006/relationships/hyperlink" Target="https://joshuagleslie.com" TargetMode="External"/><Relationship Id="rId11" Type="http://schemas.openxmlformats.org/officeDocument/2006/relationships/hyperlink" Target="https://www.credly.com/earner/earned/badge/fc9d90ef-cc52-4a3f-a28b-43d2ee8a2d6d" TargetMode="External"/><Relationship Id="rId12" Type="http://schemas.openxmlformats.org/officeDocument/2006/relationships/hyperlink" Target="https://www.credly.com/badges/5701067d-7e8d-4127-8303-51f2b04e77c2" TargetMode="External"/><Relationship Id="rId13" Type="http://schemas.openxmlformats.org/officeDocument/2006/relationships/hyperlink" Target="https://www.credly.com/badges/657bdbce-3f42-4681-8925-d46012a87fc5" TargetMode="External"/><Relationship Id="rId1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