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800"/></w:pPr><w:r><w:t xml:space="preserve"></w:t></w:r></w:p><w:p><w:pPr><w:spacing w:after="100"/><w:jc w:val="center"/></w:pPr><w:r><w:rPr><w:b/><w:bCs/><w:color w:val="1E3A5F"/><w:sz w:val="56"/><w:szCs w:val="56"/></w:rPr><w:t xml:space="preserve">Decision Intelligence Platform</w:t></w:r></w:p><w:p><w:pPr><w:spacing w:after="180"/><w:jc w:val="center"/></w:pPr><w:r><w:rPr><w:b/><w:bCs/><w:color w:val="2563EB"/><w:sz w:val="36"/><w:szCs w:val="36"/></w:rPr><w:t xml:space="preserve">Scenario Reference Guide</w:t></w:r></w:p><w:p><w:pPr><w:pBdr><w:bottom w:val="single" w:color="2563EB" w:sz="8" w:space="1"/></w:pBdr><w:spacing w:after="200"/></w:pPr><w:r><w:t xml:space="preserve"></w:t></w:r></w:p><w:p><w:pPr><w:spacing w:after="600"/><w:jc w:val="center"/></w:pPr><w:r><w:rPr><w:i/><w:iCs/><w:color w:val="64748B"/><w:sz w:val="23"/><w:szCs w:val="23"/></w:rPr><w:t xml:space="preserve">This document describes every demo preset, example script, and operational walkthrough included in the platform — what each scenario proves, who it is for, how to run it, and what success looks like.</w:t></w:r></w:p><w:p><w:pPr><w:spacing w:after="800"/></w:pPr><w:r><w:t xml:space="preserve"></w:t></w:r></w:p><w:p><w:r><w:br w:type="page"/></w:r></w:p><w:p><w:pPr><w:pStyle w:val="Heading1"/></w:pPr><w:r><w:t xml:space="preserve">Introduction</w:t></w:r></w:p><w:p><w:pPr><w:spacing w:after="120"/></w:pPr><w:r><w:rPr><w:color w:val="0F172A"/><w:sz w:val="22"/><w:szCs w:val="22"/></w:rPr><w:t xml:space="preserve">The Decision Intelligence Platform is a reusable financial optimization framework that combines deterministic LP/MILP solvers with an agent-guided intake layer, a sequential workflow orchestrator, governance controls, and an audit trail. It supports four optimization domains — asset allocation, collateral management, money market fund selection, and financing/funding — each configurable as a single-step or multi-step workflow.</w:t></w:r></w:p><w:p><w:pPr><w:spacing w:after="160"/></w:pPr><w:r><w:t xml:space="preserve"></w:t></w:r></w:p><w:p><w:pPr><w:spacing w:after="120"/></w:pPr><w:r><w:rPr><w:color w:val="0F172A"/><w:sz w:val="22"/><w:szCs w:val="22"/></w:rPr><w:t xml:space="preserve">This guide covers all scenarios in three groups:</w:t></w:r></w:p><w:p><w:pPr><w:pStyle w:val="ListParagraph"/><w:numPr><w:ilvl w:val="0"/><w:numId w:val="1"/></w:numPr><w:spacing w:after="80"/></w:pPr><w:r><w:rPr><w:color w:val="0F172A"/><w:sz w:val="21"/><w:szCs w:val="21"/></w:rPr><w:t xml:space="preserve">Browser demo presets — named configurations runnable from the browser UI or API</w:t></w:r></w:p><w:p><w:pPr><w:pStyle w:val="ListParagraph"/><w:numPr><w:ilvl w:val="0"/><w:numId w:val="1"/></w:numPr><w:spacing w:after="80"/></w:pPr><w:r><w:rPr><w:color w:val="0F172A"/><w:sz w:val="21"/><w:szCs w:val="21"/></w:rPr><w:t xml:space="preserve">Terminal example scripts — standalone Python programs demonstrating specific capabilities</w:t></w:r></w:p><w:p><w:pPr><w:pStyle w:val="ListParagraph"/><w:numPr><w:ilvl w:val="0"/><w:numId w:val="1"/></w:numPr><w:spacing w:after="80"/></w:pPr><w:r><w:rPr><w:color w:val="0F172A"/><w:sz w:val="21"/><w:szCs w:val="21"/></w:rPr><w:t xml:space="preserve">Operational video walkthroughs — narrated proof paths tied to presentation clips</w:t></w:r></w:p><w:p><w:pPr><w:spacing w:after="160"/></w:pPr><w:r><w:t xml:space="preserve"></w:t></w:r></w:p><w:p><w:pPr><w:spacing w:after="120"/></w:pPr><w:r><w:rPr><w:color w:val="0F172A"/><w:sz w:val="22"/><w:szCs w:val="22"/></w:rPr><w:t xml:space="preserve">Each entry explains the business problem, key parameters, how to run it, and what &quot;done&quot; looks like.</w:t></w:r></w:p><w:p><w:pPr><w:pBdr><w:bottom w:val="single" w:color="CBD5E1" w:sz="4" w:space="1"/></w:pBdr><w:spacing w:after="160"/></w:pPr><w:r><w:t xml:space="preserve"></w:t></w:r></w:p><w:p><w:pPr><w:spacing w:after="160"/></w:pPr><w:r><w:t xml:space="preserve"></w:t></w:r></w:p><w:p><w:pPr><w:pStyle w:val="Heading1"/></w:pPr><w:r><w:t xml:space="preserve">Browser Demo Presets</w:t></w:r></w:p><w:p><w:pPr><w:spacing w:after="120"/></w:pPr><w:r><w:rPr><w:color w:val="0F172A"/><w:sz w:val="22"/><w:szCs w:val="22"/></w:rPr><w:t xml:space="preserve">All browser presets are available via the workflow selector in the browser UI (make demo-ui) or the /api/demo-data-packets API endpoint. Each preset is a named YAML configuration that sets the workflow, portfolio, solver, and all domain-specific parameters.</w:t></w:r></w:p><w:p><w:pPr><w:spacing w:after="1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Institutional CSV Liquidity Stress</w:t></w:r></w:p></w:tc><w:tc><w:tcPr><w:tcW w:type="dxa" w:w="1800"/><w:shd w:fill="B45309" w:val="clear"/><w:tcMar><w:top w:type="dxa" w:w="100"/><w:left w:type="dxa" w:w="80"/><w:bottom w:type="dxa" w:w="100"/><w:right w:type="dxa" w:w="80"/></w:tcMar><w:vAlign w:val="center"/></w:tcPr><w:p><w:pPr><w:jc w:val="center"/></w:pPr><w:r><w:rPr><w:b/><w:bCs/><w:color w:val="FFFFFF"/><w:sz w:val="19"/><w:szCs w:val="19"/></w:rPr><w:t xml:space="preserve">Primary POC Path</w:t></w:r></w:p></w:tc></w:tr></w:tbl><w:p><w:pPr><w:spacing w:after="80"/></w:pPr><w:r><w:t xml:space="preserve"></w:t></w:r></w:p><w:p><w:pPr><w:spacing w:after="100"/></w:pPr><w:r><w:rPr><w:i/><w:iCs/><w:color w:val="64748B"/><w:sz w:val="22"/><w:szCs w:val="22"/></w:rPr><w:t xml:space="preserve">The primary proof-of-concept walkthrough. Uses anonymized CSV source files for all three optimizer steps — financing, collateral, and money market — and applies MILP fund selection in the final liquidity allocation. This is the &quot;money shot&quot; scenario that shows the full sequential dependency chain from upstream stress to downstream liquidity optimization.</w:t></w:r></w:p><w:p><w:pPr><w:spacing w:after="80"/></w:pPr><w:r><w:t xml:space="preserve"></w:t></w:r></w:p><w:p><w:pPr><w:pStyle w:val="Heading3"/></w:pPr><w:r><w:t xml:space="preserve">Business Problem</w:t></w:r></w:p><w:p><w:pPr><w:spacing w:after="120"/></w:pPr><w:r><w:rPr><w:color w:val="0F172A"/><w:sz w:val="22"/><w:szCs w:val="22"/></w:rPr><w:t xml:space="preserve">A treasury desk faces tighter counterparty constraints and must determine the optimal liquidity reserve allocation while respecting collateral coverage requirements and financing capacity limits. All inputs come from real CSV data files rather than simulated generators.</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Workflow</w:t></w:r></w:p></w:tc><w:tc><w:tcPr><w:tcW w:type="dxa" w:w="7200"/><w:tcMar><w:top w:type="dxa" w:w="60"/><w:left w:type="dxa" w:w="120"/><w:bottom w:type="dxa" w:w="60"/><w:right w:type="dxa" w:w="120"/></w:tcMar></w:tcPr><w:p><w:r><w:rPr><w:color w:val="0F172A"/><w:sz w:val="20"/><w:szCs w:val="20"/></w:rPr><w:t xml:space="preserve">Financing → Collateral → Money Market (sequential)</w:t></w:r></w:p></w:tc></w:tr><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$325 million</w:t></w:r></w:p></w:tc></w:tr><w:tr><w:tc><w:tcPr><w:tcW w:type="dxa" w:w="2160"/><w:shd w:fill="EFF6FF" w:val="clear"/><w:tcMar><w:top w:type="dxa" w:w="60"/><w:left w:type="dxa" w:w="120"/><w:bottom w:type="dxa" w:w="60"/><w:right w:type="dxa" w:w="120"/></w:tcMar></w:tcPr><w:p><w:r><w:rPr><w:b/><w:bCs/><w:color w:val="1E3A5F"/><w:sz w:val="20"/><w:szCs w:val="20"/></w:rPr><w:t xml:space="preserve">Max CP concentration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Collateral obligation scale</w:t></w:r></w:p></w:tc><w:tc><w:tcPr><w:tcW w:type="dxa" w:w="7200"/><w:tcMar><w:top w:type="dxa" w:w="60"/><w:left w:type="dxa" w:w="120"/><w:bottom w:type="dxa" w:w="60"/><w:right w:type="dxa" w:w="120"/></w:tcMar></w:tcPr><w:p><w:r><w:rPr><w:color w:val="0F172A"/><w:sz w:val="20"/><w:szCs w:val="20"/></w:rPr><w:t xml:space="preserve">1.0×</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55%</w:t></w:r></w:p></w:tc></w:tr><w:tr><w:tc><w:tcPr><w:tcW w:type="dxa" w:w="2160"/><w:shd w:fill="EFF6FF" w:val="clear"/><w:tcMar><w:top w:type="dxa" w:w="60"/><w:left w:type="dxa" w:w="120"/><w:bottom w:type="dxa" w:w="60"/><w:right w:type="dxa" w:w="120"/></w:tcMar></w:tcPr><w:p><w:r><w:rPr><w:b/><w:bCs/><w:color w:val="1E3A5F"/><w:sz w:val="20"/><w:szCs w:val="20"/></w:rPr><w:t xml:space="preserve">Total cash</w:t></w:r></w:p></w:tc><w:tc><w:tcPr><w:tcW w:type="dxa" w:w="7200"/><w:tcMar><w:top w:type="dxa" w:w="60"/><w:left w:type="dxa" w:w="120"/><w:bottom w:type="dxa" w:w="60"/><w:right w:type="dxa" w:w="120"/></w:tcMar></w:tcPr><w:p><w:r><w:rPr><w:color w:val="0F172A"/><w:sz w:val="20"/><w:szCs w:val="20"/></w:rPr><w:t xml:space="preserve">$500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40%</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70%</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55 days</w:t></w:r></w:p></w:tc></w:tr><w:tr><w:tc><w:tcPr><w:tcW w:type="dxa" w:w="2160"/><w:shd w:fill="EFF6FF" w:val="clear"/><w:tcMar><w:top w:type="dxa" w:w="60"/><w:left w:type="dxa" w:w="120"/><w:bottom w:type="dxa" w:w="60"/><w:right w:type="dxa" w:w="120"/></w:tcMar></w:tcPr><w:p><w:r><w:rPr><w:b/><w:bCs/><w:color w:val="1E3A5F"/><w:sz w:val="20"/><w:szCs w:val="20"/></w:rPr><w:t xml:space="preserve">Max funds (MILP)</w:t></w:r></w:p></w:tc><w:tc><w:tcPr><w:tcW w:type="dxa" w:w="7200"/><w:tcMar><w:top w:type="dxa" w:w="60"/><w:left w:type="dxa" w:w="120"/><w:bottom w:type="dxa" w:w="60"/><w:right w:type="dxa" w:w="120"/></w:tcMar></w:tcPr><w:p><w:r><w:rPr><w:color w:val="0F172A"/><w:sz w:val="20"/><w:szCs w:val="20"/></w:rPr><w:t xml:space="preserve">3</w:t></w:r></w:p></w:tc></w:tr><w:tr><w:tc><w:tcPr><w:tcW w:type="dxa" w:w="2160"/><w:shd w:fill="EFF6FF" w:val="clear"/><w:tcMar><w:top w:type="dxa" w:w="60"/><w:left w:type="dxa" w:w="120"/><w:bottom w:type="dxa" w:w="60"/><w:right w:type="dxa" w:w="120"/></w:tcMar></w:tcPr><w:p><w:r><w:rPr><w:b/><w:bCs/><w:color w:val="1E3A5F"/><w:sz w:val="20"/><w:szCs w:val="20"/></w:rPr><w:t xml:space="preserve">Min allocation per fund</w:t></w:r></w:p></w:tc><w:tc><w:tcPr><w:tcW w:type="dxa" w:w="7200"/><w:tcMar><w:top w:type="dxa" w:w="60"/><w:left w:type="dxa" w:w="120"/><w:bottom w:type="dxa" w:w="60"/><w:right w:type="dxa" w:w="120"/></w:tcMar></w:tcPr><w:p><w:r><w:rPr><w:color w:val="0F172A"/><w:sz w:val="20"/><w:szCs w:val="20"/></w:rPr><w:t xml:space="preserve">10%</w:t></w:r></w:p></w:tc></w:tr><w:tr><w:tc><w:tcPr><w:tcW w:type="dxa" w:w="2160"/><w:shd w:fill="EFF6FF" w:val="clear"/><w:tcMar><w:top w:type="dxa" w:w="60"/><w:left w:type="dxa" w:w="120"/><w:bottom w:type="dxa" w:w="60"/><w:right w:type="dxa" w:w="120"/></w:tcMar></w:tcPr><w:p><w:r><w:rPr><w:b/><w:bCs/><w:color w:val="1E3A5F"/><w:sz w:val="20"/><w:szCs w:val="20"/></w:rPr><w:t xml:space="preserve">Solver</w:t></w:r></w:p></w:tc><w:tc><w:tcPr><w:tcW w:type="dxa" w:w="7200"/><w:tcMar><w:top w:type="dxa" w:w="60"/><w:left w:type="dxa" w:w="120"/><w:bottom w:type="dxa" w:w="60"/><w:right w:type="dxa" w:w="120"/></w:tcMar></w:tcPr><w:p><w:r><w:rPr><w:color w:val="0F172A"/><w:sz w:val="20"/><w:szCs w:val="20"/></w:rPr><w:t xml:space="preserve">SciPy MILP</w:t></w:r></w:p></w:tc></w:tr><w:tr><w:tc><w:tcPr><w:tcW w:type="dxa" w:w="2160"/><w:shd w:fill="EFF6FF" w:val="clear"/><w:tcMar><w:top w:type="dxa" w:w="60"/><w:left w:type="dxa" w:w="120"/><w:bottom w:type="dxa" w:w="60"/><w:right w:type="dxa" w:w="120"/></w:tcMar></w:tcPr><w:p><w:r><w:rPr><w:b/><w:bCs/><w:color w:val="1E3A5F"/><w:sz w:val="20"/><w:szCs w:val="20"/></w:rPr><w:t xml:space="preserve">Data source</w:t></w:r></w:p></w:tc><w:tc><w:tcPr><w:tcW w:type="dxa" w:w="7200"/><w:tcMar><w:top w:type="dxa" w:w="60"/><w:left w:type="dxa" w:w="120"/><w:bottom w:type="dxa" w:w="60"/><w:right w:type="dxa" w:w="120"/></w:tcMar></w:tcPr><w:p><w:r><w:rPr><w:color w:val="0F172A"/><w:sz w:val="20"/><w:szCs w:val="20"/></w:rPr><w:t xml:space="preserve">CSV — institutional_liquidity_stress/</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Treasury, risk, funding, and investment technology stakeholders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7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liquidity_stress_funding_workflow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institutional_csv_liquidity_stress</w:t></w:r></w:p></w:tc></w:tr></w:tbl><w:p><w:pPr><w:spacing w:after="120"/></w:pPr><w:r><w:t xml:space="preserve"></w:t></w:r></w:p><w:p><w:pPr><w:pStyle w:val="Heading3"/></w:pPr><w:r><w:t xml:space="preserve">How to Run</w:t></w:r></w:p><w:p><w:pPr><w:spacing w:after="120"/></w:pPr><w:r><w:rPr><w:color w:val="0F172A"/><w:sz w:val="22"/><w:szCs w:val="22"/></w:rPr><w:t xml:space="preserve">Select &quot;Institutional CSV Liquidity Stress&quot; in the browser preset selector, then click Run. Or: python examples/run_poc_video_demo.py (Act 3)</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All three optimizer steps complete (Financing → Collateral → Money Market)</w:t></w:r></w:p><w:p><w:pPr><w:pStyle w:val="ListParagraph"/><w:numPr><w:ilvl w:val="0"/><w:numId w:val="1"/></w:numPr><w:spacing w:after="80"/></w:pPr><w:r><w:rPr><w:color w:val="0F172A"/><w:sz w:val="21"/><w:szCs w:val="21"/></w:rPr><w:t xml:space="preserve">Solver metadata shows scipy/milp for the money-market step</w:t></w:r></w:p><w:p><w:pPr><w:pStyle w:val="ListParagraph"/><w:numPr><w:ilvl w:val="0"/><w:numId w:val="1"/></w:numPr><w:spacing w:after="80"/></w:pPr><w:r><w:rPr><w:color w:val="0F172A"/><w:sz w:val="21"/><w:szCs w:val="21"/></w:rPr><w:t xml:space="preserve">Dependency effects table shows upstream constraints raising liquidity requirements</w:t></w:r></w:p><w:p><w:pPr><w:pStyle w:val="ListParagraph"/><w:numPr><w:ilvl w:val="0"/><w:numId w:val="1"/></w:numPr><w:spacing w:after="80"/></w:pPr><w:r><w:rPr><w:color w:val="0F172A"/><w:sz w:val="21"/><w:szCs w:val="21"/></w:rPr><w:t xml:space="preserve">Aggregate validation passes with no blocking violations</w:t></w:r></w:p><w:p><w:pPr><w:pStyle w:val="ListParagraph"/><w:numPr><w:ilvl w:val="0"/><w:numId w:val="1"/></w:numPr><w:spacing w:after="80"/></w:pPr><w:r><w:rPr><w:color w:val="0F172A"/><w:sz w:val="21"/><w:szCs w:val="21"/></w:rPr><w:t xml:space="preserve">Evidence JSON and PDF export from the completed run</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Each optimizer step is loading anonymized CSV input data — no simulation</w:t></w:r></w:p><w:p><w:pPr><w:pStyle w:val="ListParagraph"/><w:numPr><w:ilvl w:val="0"/><w:numId w:val="1"/></w:numPr><w:spacing w:after="80"/></w:pPr><w:r><w:rPr><w:color w:val="0F172A"/><w:sz w:val="21"/><w:szCs w:val="21"/></w:rPr><w:t xml:space="preserve">Financing and collateral run first to expose capacity and coverage pressure</w:t></w:r></w:p><w:p><w:pPr><w:pStyle w:val="ListParagraph"/><w:numPr><w:ilvl w:val="0"/><w:numId w:val="1"/></w:numPr><w:spacing w:after="80"/></w:pPr><w:r><w:rPr><w:color w:val="0F172A"/><w:sz w:val="21"/><w:szCs w:val="21"/></w:rPr><w:t xml:space="preserve">Those upstream constraints raise liquidity requirements before the final money-market solve</w:t></w:r></w:p><w:p><w:pPr><w:pStyle w:val="ListParagraph"/><w:numPr><w:ilvl w:val="0"/><w:numId w:val="1"/></w:numPr><w:spacing w:after="80"/></w:pPr><w:r><w:rPr><w:color w:val="0F172A"/><w:sz w:val="21"/><w:szCs w:val="21"/></w:rPr><w:t xml:space="preserve">The final step uses SciPy MILP to select no more than three funds from the CSV universe</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Institutional CSV Liquidity Base Case</w:t></w:r></w:p></w:tc><w:tc><w:tcPr><w:tcW w:type="dxa" w:w="1800"/><w:shd w:fill="B45309" w:val="clear"/><w:tcMar><w:top w:type="dxa" w:w="100"/><w:left w:type="dxa" w:w="80"/><w:bottom w:type="dxa" w:w="100"/><w:right w:type="dxa" w:w="80"/></w:tcMar><w:vAlign w:val="center"/></w:tcPr><w:p><w:pPr><w:jc w:val="center"/></w:pPr><w:r><w:rPr><w:b/><w:bCs/><w:color w:val="FFFFFF"/><w:sz w:val="19"/><w:szCs w:val="19"/></w:rPr><w:t xml:space="preserve">Comparison Run</w:t></w:r></w:p></w:tc></w:tr></w:tbl><w:p><w:pPr><w:spacing w:after="80"/></w:pPr><w:r><w:t xml:space="preserve"></w:t></w:r></w:p><w:p><w:pPr><w:spacing w:after="100"/></w:pPr><w:r><w:rPr><w:i/><w:iCs/><w:color w:val="64748B"/><w:sz w:val="22"/><w:szCs w:val="22"/></w:rPr><w:t xml:space="preserve">The calmer counterpart to the stress scenario. Uses the same CSV-backed three-step workflow but with benign financing and collateral conditions. Run this first so the audience can see the baseline before switching to the stress packet to observe the dependency delta.</w:t></w:r></w:p><w:p><w:pPr><w:spacing w:after="80"/></w:pPr><w:r><w:t xml:space="preserve"></w:t></w:r></w:p><w:p><w:pPr><w:pStyle w:val="Heading3"/></w:pPr><w:r><w:t xml:space="preserve">Business Problem</w:t></w:r></w:p><w:p><w:pPr><w:spacing w:after="120"/></w:pPr><w:r><w:rPr><w:color w:val="0F172A"/><w:sz w:val="22"/><w:szCs w:val="22"/></w:rPr><w:t xml:space="preserve">Same treasury desk under a benign funding backdrop. Financing and collateral are comfortably met; the money-market optimizer still runs MILP selection but with lighter upstream pressure propagating downstream.</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$240 million</w:t></w:r></w:p></w:tc></w:tr><w:tr><w:tc><w:tcPr><w:tcW w:type="dxa" w:w="2160"/><w:shd w:fill="EFF6FF" w:val="clear"/><w:tcMar><w:top w:type="dxa" w:w="60"/><w:left w:type="dxa" w:w="120"/><w:bottom w:type="dxa" w:w="60"/><w:right w:type="dxa" w:w="120"/></w:tcMar></w:tcPr><w:p><w:r><w:rPr><w:b/><w:bCs/><w:color w:val="1E3A5F"/><w:sz w:val="20"/><w:szCs w:val="20"/></w:rPr><w:t xml:space="preserve">Max CP concentration</w:t></w:r></w:p></w:tc><w:tc><w:tcPr><w:tcW w:type="dxa" w:w="7200"/><w:tcMar><w:top w:type="dxa" w:w="60"/><w:left w:type="dxa" w:w="120"/><w:bottom w:type="dxa" w:w="60"/><w:right w:type="dxa" w:w="120"/></w:tcMar></w:tcPr><w:p><w:r><w:rPr><w:color w:val="0F172A"/><w:sz w:val="20"/><w:szCs w:val="20"/></w:rPr><w:t xml:space="preserve">45%</w:t></w:r></w:p></w:tc></w:tr><w:tr><w:tc><w:tcPr><w:tcW w:type="dxa" w:w="2160"/><w:shd w:fill="EFF6FF" w:val="clear"/><w:tcMar><w:top w:type="dxa" w:w="60"/><w:left w:type="dxa" w:w="120"/><w:bottom w:type="dxa" w:w="60"/><w:right w:type="dxa" w:w="120"/></w:tcMar></w:tcPr><w:p><w:r><w:rPr><w:b/><w:bCs/><w:color w:val="1E3A5F"/><w:sz w:val="20"/><w:szCs w:val="20"/></w:rPr><w:t xml:space="preserve">Collateral obligation scale</w:t></w:r></w:p></w:tc><w:tc><w:tcPr><w:tcW w:type="dxa" w:w="7200"/><w:tcMar><w:top w:type="dxa" w:w="60"/><w:left w:type="dxa" w:w="120"/><w:bottom w:type="dxa" w:w="60"/><w:right w:type="dxa" w:w="120"/></w:tcMar></w:tcPr><w:p><w:r><w:rPr><w:color w:val="0F172A"/><w:sz w:val="20"/><w:szCs w:val="20"/></w:rPr><w:t xml:space="preserve">1.0×</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65%</w:t></w:r></w:p></w:tc></w:tr><w:tr><w:tc><w:tcPr><w:tcW w:type="dxa" w:w="2160"/><w:shd w:fill="EFF6FF" w:val="clear"/><w:tcMar><w:top w:type="dxa" w:w="60"/><w:left w:type="dxa" w:w="120"/><w:bottom w:type="dxa" w:w="60"/><w:right w:type="dxa" w:w="120"/></w:tcMar></w:tcPr><w:p><w:r><w:rPr><w:b/><w:bCs/><w:color w:val="1E3A5F"/><w:sz w:val="20"/><w:szCs w:val="20"/></w:rPr><w:t xml:space="preserve">Total cash</w:t></w:r></w:p></w:tc><w:tc><w:tcPr><w:tcW w:type="dxa" w:w="7200"/><w:tcMar><w:top w:type="dxa" w:w="60"/><w:left w:type="dxa" w:w="120"/><w:bottom w:type="dxa" w:w="60"/><w:right w:type="dxa" w:w="120"/></w:tcMar></w:tcPr><w:p><w:r><w:rPr><w:color w:val="0F172A"/><w:sz w:val="20"/><w:szCs w:val="20"/></w:rPr><w:t xml:space="preserve">$500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25%</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55%</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45%</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60 days</w:t></w:r></w:p></w:tc></w:tr><w:tr><w:tc><w:tcPr><w:tcW w:type="dxa" w:w="2160"/><w:shd w:fill="EFF6FF" w:val="clear"/><w:tcMar><w:top w:type="dxa" w:w="60"/><w:left w:type="dxa" w:w="120"/><w:bottom w:type="dxa" w:w="60"/><w:right w:type="dxa" w:w="120"/></w:tcMar></w:tcPr><w:p><w:r><w:rPr><w:b/><w:bCs/><w:color w:val="1E3A5F"/><w:sz w:val="20"/><w:szCs w:val="20"/></w:rPr><w:t xml:space="preserve">Max funds (MILP)</w:t></w:r></w:p></w:tc><w:tc><w:tcPr><w:tcW w:type="dxa" w:w="7200"/><w:tcMar><w:top w:type="dxa" w:w="60"/><w:left w:type="dxa" w:w="120"/><w:bottom w:type="dxa" w:w="60"/><w:right w:type="dxa" w:w="120"/></w:tcMar></w:tcPr><w:p><w:r><w:rPr><w:color w:val="0F172A"/><w:sz w:val="20"/><w:szCs w:val="20"/></w:rPr><w:t xml:space="preserve">4</w:t></w:r></w:p></w:tc></w:tr><w:tr><w:tc><w:tcPr><w:tcW w:type="dxa" w:w="2160"/><w:shd w:fill="EFF6FF" w:val="clear"/><w:tcMar><w:top w:type="dxa" w:w="60"/><w:left w:type="dxa" w:w="120"/><w:bottom w:type="dxa" w:w="60"/><w:right w:type="dxa" w:w="120"/></w:tcMar></w:tcPr><w:p><w:r><w:rPr><w:b/><w:bCs/><w:color w:val="1E3A5F"/><w:sz w:val="20"/><w:szCs w:val="20"/></w:rPr><w:t xml:space="preserve">Min allocation per fund</w:t></w:r></w:p></w:tc><w:tc><w:tcPr><w:tcW w:type="dxa" w:w="7200"/><w:tcMar><w:top w:type="dxa" w:w="60"/><w:left w:type="dxa" w:w="120"/><w:bottom w:type="dxa" w:w="60"/><w:right w:type="dxa" w:w="120"/></w:tcMar></w:tcPr><w:p><w:r><w:rPr><w:color w:val="0F172A"/><w:sz w:val="20"/><w:szCs w:val="20"/></w:rPr><w:t xml:space="preserve">5%</w:t></w:r></w:p></w:tc></w:tr><w:tr><w:tc><w:tcPr><w:tcW w:type="dxa" w:w="2160"/><w:shd w:fill="EFF6FF" w:val="clear"/><w:tcMar><w:top w:type="dxa" w:w="60"/><w:left w:type="dxa" w:w="120"/><w:bottom w:type="dxa" w:w="60"/><w:right w:type="dxa" w:w="120"/></w:tcMar></w:tcPr><w:p><w:r><w:rPr><w:b/><w:bCs/><w:color w:val="1E3A5F"/><w:sz w:val="20"/><w:szCs w:val="20"/></w:rPr><w:t xml:space="preserve">Data source</w:t></w:r></w:p></w:tc><w:tc><w:tcPr><w:tcW w:type="dxa" w:w="7200"/><w:tcMar><w:top w:type="dxa" w:w="60"/><w:left w:type="dxa" w:w="120"/><w:bottom w:type="dxa" w:w="60"/><w:right w:type="dxa" w:w="120"/></w:tcMar></w:tcPr><w:p><w:r><w:rPr><w:color w:val="0F172A"/><w:sz w:val="20"/><w:szCs w:val="20"/></w:rPr><w:t xml:space="preserve">CSV — institutional_liquidity_base/</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Treasury, risk, funding, and investment technology stakeholders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6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liquidity_stress_funding_workflow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institutional_csv_liquidity_base</w:t></w:r></w:p></w:tc></w:tr></w:tbl><w:p><w:pPr><w:spacing w:after="120"/></w:pPr><w:r><w:t xml:space="preserve"></w:t></w:r></w:p><w:p><w:pPr><w:pStyle w:val="Heading3"/></w:pPr><w:r><w:t xml:space="preserve">How to Run</w:t></w:r></w:p><w:p><w:pPr><w:spacing w:after="120"/></w:pPr><w:r><w:rPr><w:color w:val="0F172A"/><w:sz w:val="22"/><w:szCs w:val="22"/></w:rPr><w:t xml:space="preserve">Select &quot;Institutional CSV Liquidity Base Case&quot; in the browser selector and run. Switch to the Stress preset afterward to show the contrast.</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CSV-backed base workflow completes all three optimizer steps</w:t></w:r></w:p><w:p><w:pPr><w:pStyle w:val="ListParagraph"/><w:numPr><w:ilvl w:val="0"/><w:numId w:val="1"/></w:numPr><w:spacing w:after="80"/></w:pPr><w:r><w:rPr><w:color w:val="0F172A"/><w:sz w:val="21"/><w:szCs w:val="21"/></w:rPr><w:t xml:space="preserve">Dependency deltas are smaller than the stress packet</w:t></w:r></w:p><w:p><w:pPr><w:pStyle w:val="ListParagraph"/><w:numPr><w:ilvl w:val="0"/><w:numId w:val="1"/></w:numPr><w:spacing w:after="80"/></w:pPr><w:r><w:rPr><w:color w:val="0F172A"/><w:sz w:val="21"/><w:szCs w:val="21"/></w:rPr><w:t xml:space="preserve">Money-market solver metadata shows scipy/milp</w:t></w:r></w:p><w:p><w:pPr><w:pStyle w:val="ListParagraph"/><w:numPr><w:ilvl w:val="0"/><w:numId w:val="1"/></w:numPr><w:spacing w:after="80"/></w:pPr><w:r><w:rPr><w:color w:val="0F172A"/><w:sz w:val="21"/><w:szCs w:val="21"/></w:rPr><w:t xml:space="preserve">Aggregate validation passes with no blocking violations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Same anonymized CSV workflow under a benign funding backdrop</w:t></w:r></w:p><w:p><w:pPr><w:pStyle w:val="ListParagraph"/><w:numPr><w:ilvl w:val="0"/><w:numId w:val="1"/></w:numPr><w:spacing w:after="80"/></w:pPr><w:r><w:rPr><w:color w:val="0F172A"/><w:sz w:val="21"/><w:szCs w:val="21"/></w:rPr><w:t xml:space="preserve">Financing and collateral complete with less pressure than the stress case</w:t></w:r></w:p><w:p><w:pPr><w:pStyle w:val="ListParagraph"/><w:numPr><w:ilvl w:val="0"/><w:numId w:val="1"/></w:numPr><w:spacing w:after="80"/></w:pPr><w:r><w:rPr><w:color w:val="0F172A"/><w:sz w:val="21"/><w:szCs w:val="21"/></w:rPr><w:t xml:space="preserve">Use this as the baseline before switching to Institutional CSV Liquidity Stress</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Executive Liquidity Stress</w:t></w:r></w:p></w:tc><w:tc><w:tcPr><w:tcW w:type="dxa" w:w="1800"/><w:shd w:fill="B45309" w:val="clear"/><w:tcMar><w:top w:type="dxa" w:w="100"/><w:left w:type="dxa" w:w="80"/><w:bottom w:type="dxa" w:w="100"/><w:right w:type="dxa" w:w="80"/></w:tcMar><w:vAlign w:val="center"/></w:tcPr><w:p><w:pPr><w:jc w:val="center"/></w:pPr><w:r><w:rPr><w:b/><w:bCs/><w:color w:val="FFFFFF"/><w:sz w:val="19"/><w:szCs w:val="19"/></w:rPr><w:t xml:space="preserve">Board / Executive</w:t></w:r></w:p></w:tc></w:tr></w:tbl><w:p><w:pPr><w:spacing w:after="80"/></w:pPr><w:r><w:t xml:space="preserve"></w:t></w:r></w:p><w:p><w:pPr><w:spacing w:after="100"/></w:pPr><w:r><w:rPr><w:i/><w:iCs/><w:color w:val="64748B"/><w:sz w:val="22"/><w:szCs w:val="22"/></w:rPr><w:t xml:space="preserve">A board-level narrative walkthrough showing how funding pressure and collateral pressure flow into a stressed money-market liquidity allocation. The parameters are tuned for maximum visual impact — wide spread shifts, tight counterparty capacity, and elevated obligations — so the dependency chain is unmistakable.</w:t></w:r></w:p><w:p><w:pPr><w:spacing w:after="80"/></w:pPr><w:r><w:t xml:space="preserve"></w:t></w:r></w:p><w:p><w:pPr><w:pStyle w:val="Heading3"/></w:pPr><w:r><w:t xml:space="preserve">Business Problem</w:t></w:r></w:p><w:p><w:pPr><w:spacing w:after="120"/></w:pPr><w:r><w:rPr><w:color w:val="0F172A"/><w:sz w:val="22"/><w:szCs w:val="22"/></w:rPr><w:t xml:space="preserve">An executive committee needs to understand how a credit event simultaneously compresses counterparty capacity, increases collateral obligations, and forces a more conservative liquidity reserve allocation. The sequential optimizer quantifies each effect.</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$325 million</w:t></w:r></w:p></w:tc></w:tr><w:tr><w:tc><w:tcPr><w:tcW w:type="dxa" w:w="2160"/><w:shd w:fill="EFF6FF" w:val="clear"/><w:tcMar><w:top w:type="dxa" w:w="60"/><w:left w:type="dxa" w:w="120"/><w:bottom w:type="dxa" w:w="60"/><w:right w:type="dxa" w:w="120"/></w:tcMar></w:tcPr><w:p><w:r><w:rPr><w:b/><w:bCs/><w:color w:val="1E3A5F"/><w:sz w:val="20"/><w:szCs w:val="20"/></w:rPr><w:t xml:space="preserve">Spread shift</w:t></w:r></w:p></w:tc><w:tc><w:tcPr><w:tcW w:type="dxa" w:w="7200"/><w:tcMar><w:top w:type="dxa" w:w="60"/><w:left w:type="dxa" w:w="120"/><w:bottom w:type="dxa" w:w="60"/><w:right w:type="dxa" w:w="120"/></w:tcMar></w:tcPr><w:p><w:r><w:rPr><w:color w:val="0F172A"/><w:sz w:val="20"/><w:szCs w:val="20"/></w:rPr><w:t xml:space="preserve">1.65×</w:t></w:r></w:p></w:tc></w:tr><w:tr><w:tc><w:tcPr><w:tcW w:type="dxa" w:w="2160"/><w:shd w:fill="EFF6FF" w:val="clear"/><w:tcMar><w:top w:type="dxa" w:w="60"/><w:left w:type="dxa" w:w="120"/><w:bottom w:type="dxa" w:w="60"/><w:right w:type="dxa" w:w="120"/></w:tcMar></w:tcPr><w:p><w:r><w:rPr><w:b/><w:bCs/><w:color w:val="1E3A5F"/><w:sz w:val="20"/><w:szCs w:val="20"/></w:rPr><w:t xml:space="preserve">Capacity scale</w:t></w:r></w:p></w:tc><w:tc><w:tcPr><w:tcW w:type="dxa" w:w="7200"/><w:tcMar><w:top w:type="dxa" w:w="60"/><w:left w:type="dxa" w:w="120"/><w:bottom w:type="dxa" w:w="60"/><w:right w:type="dxa" w:w="120"/></w:tcMar></w:tcPr><w:p><w:r><w:rPr><w:color w:val="0F172A"/><w:sz w:val="20"/><w:szCs w:val="20"/></w:rPr><w:t xml:space="preserve">0.55×</w:t></w:r></w:p></w:tc></w:tr><w:tr><w:tc><w:tcPr><w:tcW w:type="dxa" w:w="2160"/><w:shd w:fill="EFF6FF" w:val="clear"/><w:tcMar><w:top w:type="dxa" w:w="60"/><w:left w:type="dxa" w:w="120"/><w:bottom w:type="dxa" w:w="60"/><w:right w:type="dxa" w:w="120"/></w:tcMar></w:tcPr><w:p><w:r><w:rPr><w:b/><w:bCs/><w:color w:val="1E3A5F"/><w:sz w:val="20"/><w:szCs w:val="20"/></w:rPr><w:t xml:space="preserve">Max CP concentration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Collateral obligation scale</w:t></w:r></w:p></w:tc><w:tc><w:tcPr><w:tcW w:type="dxa" w:w="7200"/><w:tcMar><w:top w:type="dxa" w:w="60"/><w:left w:type="dxa" w:w="120"/><w:bottom w:type="dxa" w:w="60"/><w:right w:type="dxa" w:w="120"/></w:tcMar></w:tcPr><w:p><w:r><w:rPr><w:color w:val="0F172A"/><w:sz w:val="20"/><w:szCs w:val="20"/></w:rPr><w:t xml:space="preserve">1.55×</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55%</w:t></w:r></w:p></w:tc></w:tr><w:tr><w:tc><w:tcPr><w:tcW w:type="dxa" w:w="2160"/><w:shd w:fill="EFF6FF" w:val="clear"/><w:tcMar><w:top w:type="dxa" w:w="60"/><w:left w:type="dxa" w:w="120"/><w:bottom w:type="dxa" w:w="60"/><w:right w:type="dxa" w:w="120"/></w:tcMar></w:tcPr><w:p><w:r><w:rPr><w:b/><w:bCs/><w:color w:val="1E3A5F"/><w:sz w:val="20"/><w:szCs w:val="20"/></w:rPr><w:t xml:space="preserve">Total cash</w:t></w:r></w:p></w:tc><w:tc><w:tcPr><w:tcW w:type="dxa" w:w="7200"/><w:tcMar><w:top w:type="dxa" w:w="60"/><w:left w:type="dxa" w:w="120"/><w:bottom w:type="dxa" w:w="60"/><w:right w:type="dxa" w:w="120"/></w:tcMar></w:tcPr><w:p><w:r><w:rPr><w:color w:val="0F172A"/><w:sz w:val="20"/><w:szCs w:val="20"/></w:rPr><w:t xml:space="preserve">$500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40%</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70%</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55 days</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Executive treasury and risk stakeholders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8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liquidity_stress_funding_workflow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executive_liquidity_stress</w:t></w:r></w:p></w:tc></w:tr></w:tbl><w:p><w:pPr><w:spacing w:after="120"/></w:pPr><w:r><w:t xml:space="preserve"></w:t></w:r></w:p><w:p><w:pPr><w:pStyle w:val="Heading3"/></w:pPr><w:r><w:t xml:space="preserve">How to Run</w:t></w:r></w:p><w:p><w:pPr><w:spacing w:after="120"/></w:pPr><w:r><w:rPr><w:color w:val="0F172A"/><w:sz w:val="22"/><w:szCs w:val="22"/></w:rPr><w:t xml:space="preserve">Select &quot;Executive Liquidity Stress&quot; in the browser preset selector and run the sequential workflow.</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Workflow completes all three optimizer steps</w:t></w:r></w:p><w:p><w:pPr><w:pStyle w:val="ListParagraph"/><w:numPr><w:ilvl w:val="0"/><w:numId w:val="1"/></w:numPr><w:spacing w:after="80"/></w:pPr><w:r><w:rPr><w:color w:val="0F172A"/><w:sz w:val="21"/><w:szCs w:val="21"/></w:rPr><w:t xml:space="preserve">Dependency effects are clearly visible on the money-market step</w:t></w:r></w:p><w:p><w:pPr><w:pStyle w:val="ListParagraph"/><w:numPr><w:ilvl w:val="0"/><w:numId w:val="1"/></w:numPr><w:spacing w:after="80"/></w:pPr><w:r><w:rPr><w:color w:val="0F172A"/><w:sz w:val="21"/><w:szCs w:val="21"/></w:rPr><w:t xml:space="preserve">Aggregate validation passes with no blocking violations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Run financing first to identify capacity and cost pressure</w:t></w:r></w:p><w:p><w:pPr><w:pStyle w:val="ListParagraph"/><w:numPr><w:ilvl w:val="0"/><w:numId w:val="1"/></w:numPr><w:spacing w:after="80"/></w:pPr><w:r><w:rPr><w:color w:val="0F172A"/><w:sz w:val="21"/><w:szCs w:val="21"/></w:rPr><w:t xml:space="preserve">Show collateral coverage as a second operational constraint</w:t></w:r></w:p><w:p><w:pPr><w:pStyle w:val="ListParagraph"/><w:numPr><w:ilvl w:val="0"/><w:numId w:val="1"/></w:numPr><w:spacing w:after="80"/></w:pPr><w:r><w:rPr><w:color w:val="0F172A"/><w:sz w:val="21"/><w:szCs w:val="21"/></w:rPr><w:t xml:space="preserve">Explain how both upstream steps raise downstream liquidity requirements</w:t></w:r></w:p><w:p><w:pPr><w:pStyle w:val="ListParagraph"/><w:numPr><w:ilvl w:val="0"/><w:numId w:val="1"/></w:numPr><w:spacing w:after="80"/></w:pPr><w:r><w:rPr><w:color w:val="0F172A"/><w:sz w:val="21"/><w:szCs w:val="21"/></w:rPr><w:t xml:space="preserve">Use the final recommendation as a board-safe risk narrative</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Balanced MVO Rebalance</w:t></w:r></w:p></w:tc><w:tc><w:tcPr><w:tcW w:type="dxa" w:w="1800"/><w:shd w:fill="B45309" w:val="clear"/><w:tcMar><w:top w:type="dxa" w:w="100"/><w:left w:type="dxa" w:w="80"/><w:bottom w:type="dxa" w:w="100"/><w:right w:type="dxa" w:w="80"/></w:tcMar><w:vAlign w:val="center"/></w:tcPr><w:p><w:pPr><w:jc w:val="center"/></w:pPr><w:r><w:rPr><w:b/><w:bCs/><w:color w:val="FFFFFF"/><w:sz w:val="19"/><w:szCs w:val="19"/></w:rPr><w:t xml:space="preserve">Portfolio Construction</w:t></w:r></w:p></w:tc></w:tr></w:tbl><w:p><w:pPr><w:spacing w:after="80"/></w:pPr><w:r><w:t xml:space="preserve"></w:t></w:r></w:p><w:p><w:pPr><w:spacing w:after="100"/></w:pPr><w:r><w:rPr><w:i/><w:iCs/><w:color w:val="64748B"/><w:sz w:val="22"/><w:szCs w:val="22"/></w:rPr><w:t xml:space="preserve">A portfolio-construction walkthrough showing how risk aversion, target return, cash floor, and concentration limits shape a multi-asset rebalance. Uses a mean-variance optimizer (SLSQP) rather than a linear program, demonstrating that the platform supports both LP and QP formulations through the same request/result contract.</w:t></w:r></w:p><w:p><w:pPr><w:spacing w:after="80"/></w:pPr><w:r><w:t xml:space="preserve"></w:t></w:r></w:p><w:p><w:pPr><w:pStyle w:val="Heading3"/></w:pPr><w:r><w:t xml:space="preserve">Business Problem</w:t></w:r></w:p><w:p><w:pPr><w:spacing w:after="120"/></w:pPr><w:r><w:rPr><w:color w:val="0F172A"/><w:sz w:val="22"/><w:szCs w:val="22"/></w:rPr><w:t xml:space="preserve">A CIO office needs to rebalance a $250 million multi-asset portfolio to a 5% target return with an explicit risk-aversion preference, maximum single-asset concentration, and a minimum cash floor.</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Portfolio notional</w:t></w:r></w:p></w:tc><w:tc><w:tcPr><w:tcW w:type="dxa" w:w="7200"/><w:tcMar><w:top w:type="dxa" w:w="60"/><w:left w:type="dxa" w:w="120"/><w:bottom w:type="dxa" w:w="60"/><w:right w:type="dxa" w:w="120"/></w:tcMar></w:tcPr><w:p><w:r><w:rPr><w:color w:val="0F172A"/><w:sz w:val="20"/><w:szCs w:val="20"/></w:rPr><w:t xml:space="preserve">$250 million</w:t></w:r></w:p></w:tc></w:tr><w:tr><w:tc><w:tcPr><w:tcW w:type="dxa" w:w="2160"/><w:shd w:fill="EFF6FF" w:val="clear"/><w:tcMar><w:top w:type="dxa" w:w="60"/><w:left w:type="dxa" w:w="120"/><w:bottom w:type="dxa" w:w="60"/><w:right w:type="dxa" w:w="120"/></w:tcMar></w:tcPr><w:p><w:r><w:rPr><w:b/><w:bCs/><w:color w:val="1E3A5F"/><w:sz w:val="20"/><w:szCs w:val="20"/></w:rPr><w:t xml:space="preserve">Target return</w:t></w:r></w:p></w:tc><w:tc><w:tcPr><w:tcW w:type="dxa" w:w="7200"/><w:tcMar><w:top w:type="dxa" w:w="60"/><w:left w:type="dxa" w:w="120"/><w:bottom w:type="dxa" w:w="60"/><w:right w:type="dxa" w:w="120"/></w:tcMar></w:tcPr><w:p><w:r><w:rPr><w:color w:val="0F172A"/><w:sz w:val="20"/><w:szCs w:val="20"/></w:rPr><w:t xml:space="preserve">5.0%</w:t></w:r></w:p></w:tc></w:tr><w:tr><w:tc><w:tcPr><w:tcW w:type="dxa" w:w="2160"/><w:shd w:fill="EFF6FF" w:val="clear"/><w:tcMar><w:top w:type="dxa" w:w="60"/><w:left w:type="dxa" w:w="120"/><w:bottom w:type="dxa" w:w="60"/><w:right w:type="dxa" w:w="120"/></w:tcMar></w:tcPr><w:p><w:r><w:rPr><w:b/><w:bCs/><w:color w:val="1E3A5F"/><w:sz w:val="20"/><w:szCs w:val="20"/></w:rPr><w:t xml:space="preserve">Risk aversion λ</w:t></w:r></w:p></w:tc><w:tc><w:tcPr><w:tcW w:type="dxa" w:w="7200"/><w:tcMar><w:top w:type="dxa" w:w="60"/><w:left w:type="dxa" w:w="120"/><w:bottom w:type="dxa" w:w="60"/><w:right w:type="dxa" w:w="120"/></w:tcMar></w:tcPr><w:p><w:r><w:rPr><w:color w:val="0F172A"/><w:sz w:val="20"/><w:szCs w:val="20"/></w:rPr><w:t xml:space="preserve">3.0</w:t></w:r></w:p></w:tc></w:tr><w:tr><w:tc><w:tcPr><w:tcW w:type="dxa" w:w="2160"/><w:shd w:fill="EFF6FF" w:val="clear"/><w:tcMar><w:top w:type="dxa" w:w="60"/><w:left w:type="dxa" w:w="120"/><w:bottom w:type="dxa" w:w="60"/><w:right w:type="dxa" w:w="120"/></w:tcMar></w:tcPr><w:p><w:r><w:rPr><w:b/><w:bCs/><w:color w:val="1E3A5F"/><w:sz w:val="20"/><w:szCs w:val="20"/></w:rPr><w:t xml:space="preserve">Max single asset weight</w:t></w:r></w:p></w:tc><w:tc><w:tcPr><w:tcW w:type="dxa" w:w="7200"/><w:tcMar><w:top w:type="dxa" w:w="60"/><w:left w:type="dxa" w:w="120"/><w:bottom w:type="dxa" w:w="60"/><w:right w:type="dxa" w:w="120"/></w:tcMar></w:tcPr><w:p><w:r><w:rPr><w:color w:val="0F172A"/><w:sz w:val="20"/><w:szCs w:val="20"/></w:rPr><w:t xml:space="preserve">45%</w:t></w:r></w:p></w:tc></w:tr><w:tr><w:tc><w:tcPr><w:tcW w:type="dxa" w:w="2160"/><w:shd w:fill="EFF6FF" w:val="clear"/><w:tcMar><w:top w:type="dxa" w:w="60"/><w:left w:type="dxa" w:w="120"/><w:bottom w:type="dxa" w:w="60"/><w:right w:type="dxa" w:w="120"/></w:tcMar></w:tcPr><w:p><w:r><w:rPr><w:b/><w:bCs/><w:color w:val="1E3A5F"/><w:sz w:val="20"/><w:szCs w:val="20"/></w:rPr><w:t xml:space="preserve">Min cash weight</w:t></w:r></w:p></w:tc><w:tc><w:tcPr><w:tcW w:type="dxa" w:w="7200"/><w:tcMar><w:top w:type="dxa" w:w="60"/><w:left w:type="dxa" w:w="120"/><w:bottom w:type="dxa" w:w="60"/><w:right w:type="dxa" w:w="120"/></w:tcMar></w:tcPr><w:p><w:r><w:rPr><w:color w:val="0F172A"/><w:sz w:val="20"/><w:szCs w:val="20"/></w:rPr><w:t xml:space="preserve">2%</w:t></w:r></w:p></w:tc></w:tr><w:tr><w:tc><w:tcPr><w:tcW w:type="dxa" w:w="2160"/><w:shd w:fill="EFF6FF" w:val="clear"/><w:tcMar><w:top w:type="dxa" w:w="60"/><w:left w:type="dxa" w:w="120"/><w:bottom w:type="dxa" w:w="60"/><w:right w:type="dxa" w:w="120"/></w:tcMar></w:tcPr><w:p><w:r><w:rPr><w:b/><w:bCs/><w:color w:val="1E3A5F"/><w:sz w:val="20"/><w:szCs w:val="20"/></w:rPr><w:t xml:space="preserve">Solver</w:t></w:r></w:p></w:tc><w:tc><w:tcPr><w:tcW w:type="dxa" w:w="7200"/><w:tcMar><w:top w:type="dxa" w:w="60"/><w:left w:type="dxa" w:w="120"/><w:bottom w:type="dxa" w:w="60"/><w:right w:type="dxa" w:w="120"/></w:tcMar></w:tcPr><w:p><w:r><w:rPr><w:color w:val="0F172A"/><w:sz w:val="20"/><w:szCs w:val="20"/></w:rPr><w:t xml:space="preserve">SciPy SLSQP (QP)</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Portfolio managers, CIO office, investment risk, and advisory teams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5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portfolio_rebalance_mvo</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balanced_mvo_rebalance</w:t></w:r></w:p></w:tc></w:tr></w:tbl><w:p><w:pPr><w:spacing w:after="120"/></w:pPr><w:r><w:t xml:space="preserve"></w:t></w:r></w:p><w:p><w:pPr><w:pStyle w:val="Heading3"/></w:pPr><w:r><w:t xml:space="preserve">How to Run</w:t></w:r></w:p><w:p><w:pPr><w:spacing w:after="120"/></w:pPr><w:r><w:rPr><w:color w:val="0F172A"/><w:sz w:val="22"/><w:szCs w:val="22"/></w:rPr><w:t xml:space="preserve">Select &quot;Balanced MVO Rebalance&quot; in the browser selector. Switch Production Adapter from Phase 1 to Production to show model/config versions and reproducibility fingerprint.</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Asset allocation step completes successfully</w:t></w:r></w:p><w:p><w:pPr><w:pStyle w:val="ListParagraph"/><w:numPr><w:ilvl w:val="0"/><w:numId w:val="1"/></w:numPr><w:spacing w:after="80"/></w:pPr><w:r><w:rPr><w:color w:val="0F172A"/><w:sz w:val="21"/><w:szCs w:val="21"/></w:rPr><w:t xml:space="preserve">Expected return meets or exceeds the target return</w:t></w:r></w:p><w:p><w:pPr><w:pStyle w:val="ListParagraph"/><w:numPr><w:ilvl w:val="0"/><w:numId w:val="1"/></w:numPr><w:spacing w:after="80"/></w:pPr><w:r><w:rPr><w:color w:val="0F172A"/><w:sz w:val="21"/><w:szCs w:val="21"/></w:rPr><w:t xml:space="preserve">Allocation weights sum to 100% and respect the single-asset cap</w:t></w:r></w:p><w:p><w:pPr><w:pStyle w:val="ListParagraph"/><w:numPr><w:ilvl w:val="0"/><w:numId w:val="1"/></w:numPr><w:spacing w:after="80"/></w:pPr><w:r><w:rPr><w:color w:val="0F172A"/><w:sz w:val="21"/><w:szCs w:val="21"/></w:rPr><w:t xml:space="preserve">Export package captures allocation, risk metrics, and audit payload</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Start with a balanced multi-asset portfolio construction question</w:t></w:r></w:p><w:p><w:pPr><w:pStyle w:val="ListParagraph"/><w:numPr><w:ilvl w:val="0"/><w:numId w:val="1"/></w:numPr><w:spacing w:after="80"/></w:pPr><w:r><w:rPr><w:color w:val="0F172A"/><w:sz w:val="21"/><w:szCs w:val="21"/></w:rPr><w:t xml:space="preserve">Show how target return and risk aversion change the optimizer&apos;s tradeoff</w:t></w:r></w:p><w:p><w:pPr><w:pStyle w:val="ListParagraph"/><w:numPr><w:ilvl w:val="0"/><w:numId w:val="1"/></w:numPr><w:spacing w:after="80"/></w:pPr><w:r><w:rPr><w:color w:val="0F172A"/><w:sz w:val="21"/><w:szCs w:val="21"/></w:rPr><w:t xml:space="preserve">Highlight concentration caps and cash floor as visible guardrails</w:t></w:r></w:p><w:p><w:pPr><w:pStyle w:val="ListParagraph"/><w:numPr><w:ilvl w:val="0"/><w:numId w:val="1"/></w:numPr><w:spacing w:after="80"/></w:pPr><w:r><w:rPr><w:color w:val="0F172A"/><w:sz w:val="21"/><w:szCs w:val="21"/></w:rPr><w:t xml:space="preserve">Use expected return, volatility, and Sharpe as stakeholder metrics</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Collateral HQLA Schedule Stress</w:t></w:r></w:p></w:tc><w:tc><w:tcPr><w:tcW w:type="dxa" w:w="1800"/><w:shd w:fill="B45309" w:val="clear"/><w:tcMar><w:top w:type="dxa" w:w="100"/><w:left w:type="dxa" w:w="80"/><w:bottom w:type="dxa" w:w="100"/><w:right w:type="dxa" w:w="80"/></w:tcMar><w:vAlign w:val="center"/></w:tcPr><w:p><w:pPr><w:jc w:val="center"/></w:pPr><w:r><w:rPr><w:b/><w:bCs/><w:color w:val="FFFFFF"/><w:sz w:val="19"/><w:szCs w:val="19"/></w:rPr><w:t xml:space="preserve">Collateral / Markets</w:t></w:r></w:p></w:tc></w:tr></w:tbl><w:p><w:pPr><w:spacing w:after="80"/></w:pPr><w:r><w:t xml:space="preserve"></w:t></w:r></w:p><w:p><w:pPr><w:spacing w:after="100"/></w:pPr><w:r><w:rPr><w:i/><w:iCs/><w:color w:val="64748B"/><w:sz w:val="22"/><w:szCs w:val="22"/></w:rPr><w:t xml:space="preserve">A markets-facing collateral stress walkthrough showing schedule ingestion, haircut and concentration review, HQLA tier preservation, and downstream money-market liquidity impact. Demonstrates the IPS/schedule ingestion pipeline feeding directly into the optimizer.</w:t></w:r></w:p><w:p><w:pPr><w:spacing w:after="80"/></w:pPr><w:r><w:t xml:space="preserve"></w:t></w:r></w:p><w:p><w:pPr><w:pStyle w:val="Heading3"/></w:pPr><w:r><w:t xml:space="preserve">Business Problem</w:t></w:r></w:p><w:p><w:pPr><w:spacing w:after="120"/></w:pPr><w:r><w:rPr><w:color w:val="0F172A"/><w:sz w:val="22"/><w:szCs w:val="22"/></w:rPr><w:t xml:space="preserve">A collateral desk has received an updated counterparty collateral schedule with revised haircuts and concentration limits. The desk must determine which assets remain eligible, optimize allocation under stressed obligations, and quantify the impact on downstream liquidity.</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Obligation scale</w:t></w:r></w:p></w:tc><w:tc><w:tcPr><w:tcW w:type="dxa" w:w="7200"/><w:tcMar><w:top w:type="dxa" w:w="60"/><w:left w:type="dxa" w:w="120"/><w:bottom w:type="dxa" w:w="60"/><w:right w:type="dxa" w:w="120"/></w:tcMar></w:tcPr><w:p><w:r><w:rPr><w:color w:val="0F172A"/><w:sz w:val="20"/><w:szCs w:val="20"/></w:rPr><w:t xml:space="preserve">1.85×</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48%</w:t></w:r></w:p></w:tc></w:tr><w:tr><w:tc><w:tcPr><w:tcW w:type="dxa" w:w="2160"/><w:shd w:fill="EFF6FF" w:val="clear"/><w:tcMar><w:top w:type="dxa" w:w="60"/><w:left w:type="dxa" w:w="120"/><w:bottom w:type="dxa" w:w="60"/><w:right w:type="dxa" w:w="120"/></w:tcMar></w:tcPr><w:p><w:r><w:rPr><w:b/><w:bCs/><w:color w:val="1E3A5F"/><w:sz w:val="20"/><w:szCs w:val="20"/></w:rPr><w:t xml:space="preserve">Schedule source</w:t></w:r></w:p></w:tc><w:tc><w:tcPr><w:tcW w:type="dxa" w:w="7200"/><w:tcMar><w:top w:type="dxa" w:w="60"/><w:left w:type="dxa" w:w="120"/><w:bottom w:type="dxa" w:w="60"/><w:right w:type="dxa" w:w="120"/></w:tcMar></w:tcPr><w:p><w:r><w:rPr><w:color w:val="0F172A"/><w:sz w:val="20"/><w:szCs w:val="20"/></w:rPr><w:t xml:space="preserve">examples/policies/sample_collateral_policy.txt</w:t></w:r></w:p></w:tc></w:tr><w:tr><w:tc><w:tcPr><w:tcW w:type="dxa" w:w="2160"/><w:shd w:fill="EFF6FF" w:val="clear"/><w:tcMar><w:top w:type="dxa" w:w="60"/><w:left w:type="dxa" w:w="120"/><w:bottom w:type="dxa" w:w="60"/><w:right w:type="dxa" w:w="120"/></w:tcMar></w:tcPr><w:p><w:r><w:rPr><w:b/><w:bCs/><w:color w:val="1E3A5F"/><w:sz w:val="20"/><w:szCs w:val="20"/></w:rPr><w:t xml:space="preserve">HQLA reporting</w:t></w:r></w:p></w:tc><w:tc><w:tcPr><w:tcW w:type="dxa" w:w="7200"/><w:tcMar><w:top w:type="dxa" w:w="60"/><w:left w:type="dxa" w:w="120"/><w:bottom w:type="dxa" w:w="60"/><w:right w:type="dxa" w:w="120"/></w:tcMar></w:tcPr><w:p><w:r><w:rPr><w:color w:val="0F172A"/><w:sz w:val="20"/><w:szCs w:val="20"/></w:rPr><w:t xml:space="preserve">Enabled</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$420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65%</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30%</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50 days</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Collateral management, treasury liquidity, investment risk, and capital teams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6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collateral_liquidity_review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collateral_hqla_schedule_stress</w:t></w:r></w:p></w:tc></w:tr></w:tbl><w:p><w:pPr><w:spacing w:after="120"/></w:pPr><w:r><w:t xml:space="preserve"></w:t></w:r></w:p><w:p><w:pPr><w:pStyle w:val="Heading3"/></w:pPr><w:r><w:t xml:space="preserve">How to Run</w:t></w:r></w:p><w:p><w:pPr><w:spacing w:after="120"/></w:pPr><w:r><w:rPr><w:color w:val="0F172A"/><w:sz w:val="22"/><w:szCs w:val="22"/></w:rPr><w:t xml:space="preserve">Select &quot;Collateral HQLA Schedule Stress&quot;. In Schedule Intake, click Load Sample then Ingest Schedule. Optionally enable Ollama-assisted ingestion. Run the workflow and review the HQLA Analytics panel.</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Collateral schedule fields are extracted and reviewable before execution</w:t></w:r></w:p><w:p><w:pPr><w:pStyle w:val="ListParagraph"/><w:numPr><w:ilvl w:val="0"/><w:numId w:val="1"/></w:numPr><w:spacing w:after="80"/></w:pPr><w:r><w:rPr><w:color w:val="0F172A"/><w:sz w:val="21"/><w:szCs w:val="21"/></w:rPr><w:t xml:space="preserve">Collateral and money-market workflow steps complete</w:t></w:r></w:p><w:p><w:pPr><w:pStyle w:val="ListParagraph"/><w:numPr><w:ilvl w:val="0"/><w:numId w:val="1"/></w:numPr><w:spacing w:after="80"/></w:pPr><w:r><w:rPr><w:color w:val="0F172A"/><w:sz w:val="21"/><w:szCs w:val="21"/></w:rPr><w:t xml:space="preserve">HQLA liquidity profile and allocation stats visible alongside governance evidence</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Load the collateral schedule and ingest haircuts, cash, and concentration limits</w:t></w:r></w:p><w:p><w:pPr><w:pStyle w:val="ListParagraph"/><w:numPr><w:ilvl w:val="0"/><w:numId w:val="1"/></w:numPr><w:spacing w:after="80"/></w:pPr><w:r><w:rPr><w:color w:val="0F172A"/><w:sz w:val="21"/><w:szCs w:val="21"/></w:rPr><w:t xml:space="preserve">Ask local Ollama to explain how the schedule changes the workflow</w:t></w:r></w:p><w:p><w:pPr><w:pStyle w:val="ListParagraph"/><w:numPr><w:ilvl w:val="0"/><w:numId w:val="1"/></w:numPr><w:spacing w:after="80"/></w:pPr><w:r><w:rPr><w:color w:val="0F172A"/><w:sz w:val="21"/><w:szCs w:val="21"/></w:rPr><w:t xml:space="preserve">Compare before/after HQLA tier exposure</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Collateral Pressure Review</w:t></w:r></w:p></w:tc><w:tc><w:tcPr><w:tcW w:type="dxa" w:w="1800"/><w:shd w:fill="B45309" w:val="clear"/><w:tcMar><w:top w:type="dxa" w:w="100"/><w:left w:type="dxa" w:w="80"/><w:bottom w:type="dxa" w:w="100"/><w:right w:type="dxa" w:w="80"/></w:tcMar><w:vAlign w:val="center"/></w:tcPr><w:p><w:pPr><w:jc w:val="center"/></w:pPr><w:r><w:rPr><w:b/><w:bCs/><w:color w:val="FFFFFF"/><w:sz w:val="19"/><w:szCs w:val="19"/></w:rPr><w:t xml:space="preserve">Operations</w:t></w:r></w:p></w:tc></w:tr></w:tbl><w:p><w:pPr><w:spacing w:after="80"/></w:pPr><w:r><w:t xml:space="preserve"></w:t></w:r></w:p><w:p><w:pPr><w:spacing w:after="100"/></w:pPr><w:r><w:rPr><w:i/><w:iCs/><w:color w:val="64748B"/><w:sz w:val="22"/><w:szCs w:val="22"/></w:rPr><w:t xml:space="preserve">An operations-focused walkthrough showing collateral coverage pressure and its effect on the required cash liquidity buffer. Uses simulated data (no CSV) with elevated obligation scale to demonstrate how a constraint-driven collateral solve propagates into the money-market step.</w:t></w:r></w:p><w:p><w:pPr><w:spacing w:after="80"/></w:pPr><w:r><w:t xml:space="preserve"></w:t></w:r></w:p><w:p><w:pPr><w:pStyle w:val="Heading3"/></w:pPr><w:r><w:t xml:space="preserve">Business Problem</w:t></w:r></w:p><w:p><w:pPr><w:spacing w:after="120"/></w:pPr><w:r><w:rPr><w:color w:val="0F172A"/><w:sz w:val="22"/><w:szCs w:val="22"/></w:rPr><w:t xml:space="preserve">Collateral obligations have expanded beyond the initial schedule. Operations needs to confirm which assets remain eligible and how the tightened collateral position changes the liquidity buffer required for same-day funding.</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Obligation scale</w:t></w:r></w:p></w:tc><w:tc><w:tcPr><w:tcW w:type="dxa" w:w="7200"/><w:tcMar><w:top w:type="dxa" w:w="60"/><w:left w:type="dxa" w:w="120"/><w:bottom w:type="dxa" w:w="60"/><w:right w:type="dxa" w:w="120"/></w:tcMar></w:tcPr><w:p><w:r><w:rPr><w:color w:val="0F172A"/><w:sz w:val="20"/><w:szCs w:val="20"/></w:rPr><w:t xml:space="preserve">1.75×</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50%</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$475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36%</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66%</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38%</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52 days</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Collateral operations, treasury, and risk control</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5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collateral_liquidity_review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collateral_pressure_review</w:t></w:r></w:p></w:tc></w:tr></w:tbl><w:p><w:pPr><w:spacing w:after="120"/></w:pPr><w:r><w:t xml:space="preserve"></w:t></w:r></w:p><w:p><w:pPr><w:pStyle w:val="Heading3"/></w:pPr><w:r><w:t xml:space="preserve">How to Run</w:t></w:r></w:p><w:p><w:pPr><w:spacing w:after="120"/></w:pPr><w:r><w:rPr><w:color w:val="0F172A"/><w:sz w:val="22"/><w:szCs w:val="22"/></w:rPr><w:t xml:space="preserve">Select &quot;Collateral Pressure Review&quot; and run the sequential workflow.</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Collateral and money-market steps complete</w:t></w:r></w:p><w:p><w:pPr><w:pStyle w:val="ListParagraph"/><w:numPr><w:ilvl w:val="0"/><w:numId w:val="1"/></w:numPr><w:spacing w:after="80"/></w:pPr><w:r><w:rPr><w:color w:val="0F172A"/><w:sz w:val="21"/><w:szCs w:val="21"/></w:rPr><w:t xml:space="preserve">Coverage pressure reflected in dependency effects</w:t></w:r></w:p><w:p><w:pPr><w:pStyle w:val="ListParagraph"/><w:numPr><w:ilvl w:val="0"/><w:numId w:val="1"/></w:numPr><w:spacing w:after="80"/></w:pPr><w:r><w:rPr><w:color w:val="0F172A"/><w:sz w:val="21"/><w:szCs w:val="21"/></w:rPr><w:t xml:space="preserve">Final explanation identifies operational risks and next actions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Begin with collateral obligations and eligibility limits</w:t></w:r></w:p><w:p><w:pPr><w:pStyle w:val="ListParagraph"/><w:numPr><w:ilvl w:val="0"/><w:numId w:val="1"/></w:numPr><w:spacing w:after="80"/></w:pPr><w:r><w:rPr><w:color w:val="0F172A"/><w:sz w:val="21"/><w:szCs w:val="21"/></w:rPr><w:t xml:space="preserve">Show inventory, coverage, and concentration constraints</w:t></w:r></w:p><w:p><w:pPr><w:pStyle w:val="ListParagraph"/><w:numPr><w:ilvl w:val="0"/><w:numId w:val="1"/></w:numPr><w:spacing w:after="80"/></w:pPr><w:r><w:rPr><w:color w:val="0F172A"/><w:sz w:val="21"/><w:szCs w:val="21"/></w:rPr><w:t xml:space="preserve">Demonstrate how collateral pressure adjusts downstream liquidity needs</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Funding Capacity Crisis</w:t></w:r></w:p></w:tc><w:tc><w:tcPr><w:tcW w:type="dxa" w:w="1800"/><w:shd w:fill="B45309" w:val="clear"/><w:tcMar><w:top w:type="dxa" w:w="100"/><w:left w:type="dxa" w:w="80"/><w:bottom w:type="dxa" w:w="100"/><w:right w:type="dxa" w:w="80"/></w:tcMar><w:vAlign w:val="center"/></w:tcPr><w:p><w:pPr><w:jc w:val="center"/></w:pPr><w:r><w:rPr><w:b/><w:bCs/><w:color w:val="FFFFFF"/><w:sz w:val="19"/><w:szCs w:val="19"/></w:rPr><w:t xml:space="preserve">Treasury Desk</w:t></w:r></w:p></w:tc></w:tr></w:tbl><w:p><w:pPr><w:spacing w:after="80"/></w:pPr><w:r><w:t xml:space="preserve"></w:t></w:r></w:p><w:p><w:pPr><w:spacing w:after="100"/></w:pPr><w:r><w:rPr><w:i/><w:iCs/><w:color w:val="64748B"/><w:sz w:val="22"/><w:szCs w:val="22"/></w:rPr><w:t xml:space="preserve">A focused two-step scenario (Financing → Money Market) with no collateral step. Designed for treasury desks that need to see how a counterparty capacity shock — wide spreads, reduced limits — directly changes the liquidity reserve allocation without the collateral layer.</w:t></w:r></w:p><w:p><w:pPr><w:spacing w:after="80"/></w:pPr><w:r><w:t xml:space="preserve"></w:t></w:r></w:p><w:p><w:pPr><w:pStyle w:val="Heading3"/></w:pPr><w:r><w:t xml:space="preserve">Business Problem</w:t></w:r></w:p><w:p><w:pPr><w:spacing w:after="120"/></w:pPr><w:r><w:rPr><w:color w:val="0F172A"/><w:sz w:val="22"/><w:szCs w:val="22"/></w:rPr><w:t xml:space="preserve">A treasury funding desk faces simultaneous counterparty capacity reduction and spread widening. The desk needs to determine the minimum-cost funding allocation and the resulting increase in the required liquidity buffer.</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$375 million</w:t></w:r></w:p></w:tc></w:tr><w:tr><w:tc><w:tcPr><w:tcW w:type="dxa" w:w="2160"/><w:shd w:fill="EFF6FF" w:val="clear"/><w:tcMar><w:top w:type="dxa" w:w="60"/><w:left w:type="dxa" w:w="120"/><w:bottom w:type="dxa" w:w="60"/><w:right w:type="dxa" w:w="120"/></w:tcMar></w:tcPr><w:p><w:r><w:rPr><w:b/><w:bCs/><w:color w:val="1E3A5F"/><w:sz w:val="20"/><w:szCs w:val="20"/></w:rPr><w:t xml:space="preserve">Spread shift</w:t></w:r></w:p></w:tc><w:tc><w:tcPr><w:tcW w:type="dxa" w:w="7200"/><w:tcMar><w:top w:type="dxa" w:w="60"/><w:left w:type="dxa" w:w="120"/><w:bottom w:type="dxa" w:w="60"/><w:right w:type="dxa" w:w="120"/></w:tcMar></w:tcPr><w:p><w:r><w:rPr><w:color w:val="0F172A"/><w:sz w:val="20"/><w:szCs w:val="20"/></w:rPr><w:t xml:space="preserve">1.9×</w:t></w:r></w:p></w:tc></w:tr><w:tr><w:tc><w:tcPr><w:tcW w:type="dxa" w:w="2160"/><w:shd w:fill="EFF6FF" w:val="clear"/><w:tcMar><w:top w:type="dxa" w:w="60"/><w:left w:type="dxa" w:w="120"/><w:bottom w:type="dxa" w:w="60"/><w:right w:type="dxa" w:w="120"/></w:tcMar></w:tcPr><w:p><w:r><w:rPr><w:b/><w:bCs/><w:color w:val="1E3A5F"/><w:sz w:val="20"/><w:szCs w:val="20"/></w:rPr><w:t xml:space="preserve">Capacity scale</w:t></w:r></w:p></w:tc><w:tc><w:tcPr><w:tcW w:type="dxa" w:w="7200"/><w:tcMar><w:top w:type="dxa" w:w="60"/><w:left w:type="dxa" w:w="120"/><w:bottom w:type="dxa" w:w="60"/><w:right w:type="dxa" w:w="120"/></w:tcMar></w:tcPr><w:p><w:r><w:rPr><w:color w:val="0F172A"/><w:sz w:val="20"/><w:szCs w:val="20"/></w:rPr><w:t xml:space="preserve">0.42×</w:t></w:r></w:p></w:tc></w:tr><w:tr><w:tc><w:tcPr><w:tcW w:type="dxa" w:w="2160"/><w:shd w:fill="EFF6FF" w:val="clear"/><w:tcMar><w:top w:type="dxa" w:w="60"/><w:left w:type="dxa" w:w="120"/><w:bottom w:type="dxa" w:w="60"/><w:right w:type="dxa" w:w="120"/></w:tcMar></w:tcPr><w:p><w:r><w:rPr><w:b/><w:bCs/><w:color w:val="1E3A5F"/><w:sz w:val="20"/><w:szCs w:val="20"/></w:rPr><w:t xml:space="preserve">Max CP concentration</w:t></w:r></w:p></w:tc><w:tc><w:tcPr><w:tcW w:type="dxa" w:w="7200"/><w:tcMar><w:top w:type="dxa" w:w="60"/><w:left w:type="dxa" w:w="120"/><w:bottom w:type="dxa" w:w="60"/><w:right w:type="dxa" w:w="120"/></w:tcMar></w:tcPr><w:p><w:r><w:rPr><w:color w:val="0F172A"/><w:sz w:val="20"/><w:szCs w:val="20"/></w:rPr><w:t xml:space="preserve">32%</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$425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36%</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66%</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32%</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50 days</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Treasury funding desk and liquidity management</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6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funding_capacity_shock</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funding_capacity_crisis</w:t></w:r></w:p></w:tc></w:tr></w:tbl><w:p><w:pPr><w:spacing w:after="120"/></w:pPr><w:r><w:t xml:space="preserve"></w:t></w:r></w:p><w:p><w:pPr><w:pStyle w:val="Heading3"/></w:pPr><w:r><w:t xml:space="preserve">How to Run</w:t></w:r></w:p><w:p><w:pPr><w:spacing w:after="120"/></w:pPr><w:r><w:rPr><w:color w:val="0F172A"/><w:sz w:val="22"/><w:szCs w:val="22"/></w:rPr><w:t xml:space="preserve">Select &quot;Funding Capacity Crisis&quot; and run the workflow.</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Financing and money-market steps both complete</w:t></w:r></w:p><w:p><w:pPr><w:pStyle w:val="ListParagraph"/><w:numPr><w:ilvl w:val="0"/><w:numId w:val="1"/></w:numPr><w:spacing w:after="80"/></w:pPr><w:r><w:rPr><w:color w:val="0F172A"/><w:sz w:val="21"/><w:szCs w:val="21"/></w:rPr><w:t xml:space="preserve">Funding-pressure dependency effects are recorded</w:t></w:r></w:p><w:p><w:pPr><w:pStyle w:val="ListParagraph"/><w:numPr><w:ilvl w:val="0"/><w:numId w:val="1"/></w:numPr><w:spacing w:after="80"/></w:pPr><w:r><w:rPr><w:color w:val="0F172A"/><w:sz w:val="21"/><w:szCs w:val="21"/></w:rPr><w:t xml:space="preserve">Result explains cost pressure and liquidity buffer tradeoffs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Start with the funding need and constrained counterparty capacity</w:t></w:r></w:p><w:p><w:pPr><w:pStyle w:val="ListParagraph"/><w:numPr><w:ilvl w:val="0"/><w:numId w:val="1"/></w:numPr><w:spacing w:after="80"/></w:pPr><w:r><w:rPr><w:color w:val="0F172A"/><w:sz w:val="21"/><w:szCs w:val="21"/></w:rPr><w:t xml:space="preserve">Highlight which capacity or concentration constraints bind</w:t></w:r></w:p><w:p><w:pPr><w:pStyle w:val="ListParagraph"/><w:numPr><w:ilvl w:val="0"/><w:numId w:val="1"/></w:numPr><w:spacing w:after="80"/></w:pPr><w:r><w:rPr><w:color w:val="0F172A"/><w:sz w:val="21"/><w:szCs w:val="21"/></w:rPr><w:t xml:space="preserve">Show how funding pressure changes the liquidity reserve allocation</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Governed Recommendation Baseline</w:t></w:r></w:p></w:tc><w:tc><w:tcPr><w:tcW w:type="dxa" w:w="1800"/><w:shd w:fill="B45309" w:val="clear"/><w:tcMar><w:top w:type="dxa" w:w="100"/><w:left w:type="dxa" w:w="80"/><w:bottom w:type="dxa" w:w="100"/><w:right w:type="dxa" w:w="80"/></w:tcMar><w:vAlign w:val="center"/></w:tcPr><w:p><w:pPr><w:jc w:val="center"/></w:pPr><w:r><w:rPr><w:b/><w:bCs/><w:color w:val="FFFFFF"/><w:sz w:val="19"/><w:szCs w:val="19"/></w:rPr><w:t xml:space="preserve">Governance Tier 2</w:t></w:r></w:p></w:tc></w:tr></w:tbl><w:p><w:pPr><w:spacing w:after="80"/></w:pPr><w:r><w:t xml:space="preserve"></w:t></w:r></w:p><w:p><w:pPr><w:spacing w:after="100"/></w:pPr><w:r><w:rPr><w:i/><w:iCs/><w:color w:val="64748B"/><w:sz w:val="22"/><w:szCs w:val="22"/></w:rPr><w:t xml:space="preserve">A governance control run. Shows that an ordinary recommendation workflow that does not cross materiality thresholds or change production constraints stays at Tier 2 (advisory) and requires no approval. Run this before materiality or constraint-change demos to establish the contrast.</w:t></w:r></w:p><w:p><w:pPr><w:spacing w:after="80"/></w:pPr><w:r><w:t xml:space="preserve"></w:t></w:r></w:p><w:p><w:pPr><w:pStyle w:val="Heading3"/></w:pPr><w:r><w:t xml:space="preserve">Business Problem</w:t></w:r></w:p><w:p><w:pPr><w:spacing w:after="120"/></w:pPr><w:r><w:rPr><w:color w:val="0F172A"/><w:sz w:val="22"/><w:szCs w:val="22"/></w:rPr><w:t xml:space="preserve">A standard collateral rebalance is proposed. Materiality is below threshold and no production constraints are changing — the recommendation is advisory and auto-allowed.</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Execution mode</w:t></w:r></w:p></w:tc><w:tc><w:tcPr><w:tcW w:type="dxa" w:w="7200"/><w:tcMar><w:top w:type="dxa" w:w="60"/><w:left w:type="dxa" w:w="120"/><w:bottom w:type="dxa" w:w="60"/><w:right w:type="dxa" w:w="120"/></w:tcMar></w:tcPr><w:p><w:r><w:rPr><w:color w:val="0F172A"/><w:sz w:val="20"/><w:szCs w:val="20"/></w:rPr><w:t xml:space="preserve">recommendation</w:t></w:r></w:p></w:tc></w:tr><w:tr><w:tc><w:tcPr><w:tcW w:type="dxa" w:w="2160"/><w:shd w:fill="EFF6FF" w:val="clear"/><w:tcMar><w:top w:type="dxa" w:w="60"/><w:left w:type="dxa" w:w="120"/><w:bottom w:type="dxa" w:w="60"/><w:right w:type="dxa" w:w="120"/></w:tcMar></w:tcPr><w:p><w:r><w:rPr><w:b/><w:bCs/><w:color w:val="1E3A5F"/><w:sz w:val="20"/><w:szCs w:val="20"/></w:rPr><w:t xml:space="preserve">Materiality notional</w:t></w:r></w:p></w:tc><w:tc><w:tcPr><w:tcW w:type="dxa" w:w="7200"/><w:tcMar><w:top w:type="dxa" w:w="60"/><w:left w:type="dxa" w:w="120"/><w:bottom w:type="dxa" w:w="60"/><w:right w:type="dxa" w:w="120"/></w:tcMar></w:tcPr><w:p><w:r><w:rPr><w:color w:val="0F172A"/><w:sz w:val="20"/><w:szCs w:val="20"/></w:rPr><w:t xml:space="preserve">$450 million</w:t></w:r></w:p></w:tc></w:tr><w:tr><w:tc><w:tcPr><w:tcW w:type="dxa" w:w="2160"/><w:shd w:fill="EFF6FF" w:val="clear"/><w:tcMar><w:top w:type="dxa" w:w="60"/><w:left w:type="dxa" w:w="120"/><w:bottom w:type="dxa" w:w="60"/><w:right w:type="dxa" w:w="120"/></w:tcMar></w:tcPr><w:p><w:r><w:rPr><w:b/><w:bCs/><w:color w:val="1E3A5F"/><w:sz w:val="20"/><w:szCs w:val="20"/></w:rPr><w:t xml:space="preserve">Estimated P&amp;L impact</w:t></w:r></w:p></w:tc><w:tc><w:tcPr><w:tcW w:type="dxa" w:w="7200"/><w:tcMar><w:top w:type="dxa" w:w="60"/><w:left w:type="dxa" w:w="120"/><w:bottom w:type="dxa" w:w="60"/><w:right w:type="dxa" w:w="120"/></w:tcMar></w:tcPr><w:p><w:r><w:rPr><w:color w:val="0F172A"/><w:sz w:val="20"/><w:szCs w:val="20"/></w:rPr><w:t xml:space="preserve">$500 thousand</w:t></w:r></w:p></w:tc></w:tr><w:tr><w:tc><w:tcPr><w:tcW w:type="dxa" w:w="2160"/><w:shd w:fill="EFF6FF" w:val="clear"/><w:tcMar><w:top w:type="dxa" w:w="60"/><w:left w:type="dxa" w:w="120"/><w:bottom w:type="dxa" w:w="60"/><w:right w:type="dxa" w:w="120"/></w:tcMar></w:tcPr><w:p><w:r><w:rPr><w:b/><w:bCs/><w:color w:val="1E3A5F"/><w:sz w:val="20"/><w:szCs w:val="20"/></w:rPr><w:t xml:space="preserve">Production constraint change</w:t></w:r></w:p></w:tc><w:tc><w:tcPr><w:tcW w:type="dxa" w:w="7200"/><w:tcMar><w:top w:type="dxa" w:w="60"/><w:left w:type="dxa" w:w="120"/><w:bottom w:type="dxa" w:w="60"/><w:right w:type="dxa" w:w="120"/></w:tcMar></w:tcPr><w:p><w:r><w:rPr><w:color w:val="0F172A"/><w:sz w:val="20"/><w:szCs w:val="20"/></w:rPr><w:t xml:space="preserve">false</w:t></w:r></w:p></w:tc></w:tr><w:tr><w:tc><w:tcPr><w:tcW w:type="dxa" w:w="2160"/><w:shd w:fill="EFF6FF" w:val="clear"/><w:tcMar><w:top w:type="dxa" w:w="60"/><w:left w:type="dxa" w:w="120"/><w:bottom w:type="dxa" w:w="60"/><w:right w:type="dxa" w:w="120"/></w:tcMar></w:tcPr><w:p><w:r><w:rPr><w:b/><w:bCs/><w:color w:val="1E3A5F"/><w:sz w:val="20"/><w:szCs w:val="20"/></w:rPr><w:t xml:space="preserve">Collateral obligation scale</w:t></w:r></w:p></w:tc><w:tc><w:tcPr><w:tcW w:type="dxa" w:w="7200"/><w:tcMar><w:top w:type="dxa" w:w="60"/><w:left w:type="dxa" w:w="120"/><w:bottom w:type="dxa" w:w="60"/><w:right w:type="dxa" w:w="120"/></w:tcMar></w:tcPr><w:p><w:r><w:rPr><w:color w:val="0F172A"/><w:sz w:val="20"/><w:szCs w:val="20"/></w:rPr><w:t xml:space="preserve">1.55×</w:t></w:r></w:p></w:tc></w:tr><w:tr><w:tc><w:tcPr><w:tcW w:type="dxa" w:w="2160"/><w:shd w:fill="EFF6FF" w:val="clear"/><w:tcMar><w:top w:type="dxa" w:w="60"/><w:left w:type="dxa" w:w="120"/><w:bottom w:type="dxa" w:w="60"/><w:right w:type="dxa" w:w="120"/></w:tcMar></w:tcPr><w:p><w:r><w:rPr><w:b/><w:bCs/><w:color w:val="1E3A5F"/><w:sz w:val="20"/><w:szCs w:val="20"/></w:rPr><w:t xml:space="preserve">Concentration limit</w:t></w:r></w:p></w:tc><w:tc><w:tcPr><w:tcW w:type="dxa" w:w="7200"/><w:tcMar><w:top w:type="dxa" w:w="60"/><w:left w:type="dxa" w:w="120"/><w:bottom w:type="dxa" w:w="60"/><w:right w:type="dxa" w:w="120"/></w:tcMar></w:tcPr><w:p><w:r><w:rPr><w:color w:val="0F172A"/><w:sz w:val="20"/><w:szCs w:val="20"/></w:rPr><w:t xml:space="preserve">55%</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$450 million</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Risk, treasury, and control stakeholders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5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collateral_liquidity_review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governed_recommendation_baseline</w:t></w:r></w:p></w:tc></w:tr></w:tbl><w:p><w:pPr><w:spacing w:after="120"/></w:pPr><w:r><w:t xml:space="preserve"></w:t></w:r></w:p><w:p><w:pPr><w:pStyle w:val="Heading3"/></w:pPr><w:r><w:t xml:space="preserve">How to Run</w:t></w:r></w:p><w:p><w:pPr><w:spacing w:after="120"/></w:pPr><w:r><w:rPr><w:color w:val="0F172A"/><w:sz w:val="22"/><w:szCs w:val="22"/></w:rPr><w:t xml:space="preserve">Select &quot;Governed Recommendation Baseline&quot; and run. Confirm the governance panel shows no escalation.</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Workflow completes with recommendation mode</w:t></w:r></w:p><w:p><w:pPr><w:pStyle w:val="ListParagraph"/><w:numPr><w:ilvl w:val="0"/><w:numId w:val="1"/></w:numPr><w:spacing w:after="80"/></w:pPr><w:r><w:rPr><w:color w:val="0F172A"/><w:sz w:val="21"/><w:szCs w:val="21"/></w:rPr><w:t xml:space="preserve">Governance status does not require approval</w:t></w:r></w:p><w:p><w:pPr><w:pStyle w:val="ListParagraph"/><w:numPr><w:ilvl w:val="0"/><w:numId w:val="1"/></w:numPr><w:spacing w:after="80"/></w:pPr><w:r><w:rPr><w:color w:val="0F172A"/><w:sz w:val="21"/><w:szCs w:val="21"/></w:rPr><w:t xml:space="preserve">No production constraint change is flagged</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Show that ordinary recommendation workflows remain advisory</w:t></w:r></w:p><w:p><w:pPr><w:pStyle w:val="ListParagraph"/><w:numPr><w:ilvl w:val="0"/><w:numId w:val="1"/></w:numPr><w:spacing w:after="80"/></w:pPr><w:r><w:rPr><w:color w:val="0F172A"/><w:sz w:val="21"/><w:szCs w:val="21"/></w:rPr><w:t xml:space="preserve">Confirm the governance panel reports no escalation</w:t></w:r></w:p><w:p><w:pPr><w:pStyle w:val="ListParagraph"/><w:numPr><w:ilvl w:val="0"/><w:numId w:val="1"/></w:numPr><w:spacing w:after="80"/></w:pPr><w:r><w:rPr><w:color w:val="0F172A"/><w:sz w:val="21"/><w:szCs w:val="21"/></w:rPr><w:t xml:space="preserve">Use this as the control run before materiality demos</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Large Notional Approval Review</w:t></w:r></w:p></w:tc><w:tc><w:tcPr><w:tcW w:type="dxa" w:w="1800"/><w:shd w:fill="B45309" w:val="clear"/><w:tcMar><w:top w:type="dxa" w:w="100"/><w:left w:type="dxa" w:w="80"/><w:bottom w:type="dxa" w:w="100"/><w:right w:type="dxa" w:w="80"/></w:tcMar><w:vAlign w:val="center"/></w:tcPr><w:p><w:pPr><w:jc w:val="center"/></w:pPr><w:r><w:rPr><w:b/><w:bCs/><w:color w:val="FFFFFF"/><w:sz w:val="19"/><w:szCs w:val="19"/></w:rPr><w:t xml:space="preserve">Governance Tier 4</w:t></w:r></w:p></w:tc></w:tr></w:tbl><w:p><w:pPr><w:spacing w:after="80"/></w:pPr><w:r><w:t xml:space="preserve"></w:t></w:r></w:p><w:p><w:pPr><w:spacing w:after="100"/></w:pPr><w:r><w:rPr><w:i/><w:iCs/><w:color w:val="64748B"/><w:sz w:val="22"/><w:szCs w:val="22"/></w:rPr><w:t xml:space="preserve">A materiality walkthrough showing that even a recommendation-mode workflow escalates to Tier 4 when notional exposure exceeds the materiality threshold. Demonstrates the governance layer can gate large trades regardless of execution mode.</w:t></w:r></w:p><w:p><w:pPr><w:spacing w:after="80"/></w:pPr><w:r><w:t xml:space="preserve"></w:t></w:r></w:p><w:p><w:pPr><w:pStyle w:val="Heading3"/></w:pPr><w:r><w:t xml:space="preserve">Business Problem</w:t></w:r></w:p><w:p><w:pPr><w:spacing w:after="120"/></w:pPr><w:r><w:rPr><w:color w:val="0F172A"/><w:sz w:val="22"/><w:szCs w:val="22"/></w:rPr><w:t xml:space="preserve">A large funding recommendation involves $1.5 billion notional. Although the request is advisory, the governance policy requires approval review for positions of this size.</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Execution mode</w:t></w:r></w:p></w:tc><w:tc><w:tcPr><w:tcW w:type="dxa" w:w="7200"/><w:tcMar><w:top w:type="dxa" w:w="60"/><w:left w:type="dxa" w:w="120"/><w:bottom w:type="dxa" w:w="60"/><w:right w:type="dxa" w:w="120"/></w:tcMar></w:tcPr><w:p><w:r><w:rPr><w:color w:val="0F172A"/><w:sz w:val="20"/><w:szCs w:val="20"/></w:rPr><w:t xml:space="preserve">recommendation</w:t></w:r></w:p></w:tc></w:tr><w:tr><w:tc><w:tcPr><w:tcW w:type="dxa" w:w="2160"/><w:shd w:fill="EFF6FF" w:val="clear"/><w:tcMar><w:top w:type="dxa" w:w="60"/><w:left w:type="dxa" w:w="120"/><w:bottom w:type="dxa" w:w="60"/><w:right w:type="dxa" w:w="120"/></w:tcMar></w:tcPr><w:p><w:r><w:rPr><w:b/><w:bCs/><w:color w:val="1E3A5F"/><w:sz w:val="20"/><w:szCs w:val="20"/></w:rPr><w:t xml:space="preserve">Materiality notional</w:t></w:r></w:p></w:tc><w:tc><w:tcPr><w:tcW w:type="dxa" w:w="7200"/><w:tcMar><w:top w:type="dxa" w:w="60"/><w:left w:type="dxa" w:w="120"/><w:bottom w:type="dxa" w:w="60"/><w:right w:type="dxa" w:w="120"/></w:tcMar></w:tcPr><w:p><w:r><w:rPr><w:color w:val="0F172A"/><w:sz w:val="20"/><w:szCs w:val="20"/></w:rPr><w:t xml:space="preserve">$1.5 billion</w:t></w:r></w:p></w:tc></w:tr><w:tr><w:tc><w:tcPr><w:tcW w:type="dxa" w:w="2160"/><w:shd w:fill="EFF6FF" w:val="clear"/><w:tcMar><w:top w:type="dxa" w:w="60"/><w:left w:type="dxa" w:w="120"/><w:bottom w:type="dxa" w:w="60"/><w:right w:type="dxa" w:w="120"/></w:tcMar></w:tcPr><w:p><w:r><w:rPr><w:b/><w:bCs/><w:color w:val="1E3A5F"/><w:sz w:val="20"/><w:szCs w:val="20"/></w:rPr><w:t xml:space="preserve">Estimated P&amp;L impact</w:t></w:r></w:p></w:tc><w:tc><w:tcPr><w:tcW w:type="dxa" w:w="7200"/><w:tcMar><w:top w:type="dxa" w:w="60"/><w:left w:type="dxa" w:w="120"/><w:bottom w:type="dxa" w:w="60"/><w:right w:type="dxa" w:w="120"/></w:tcMar></w:tcPr><w:p><w:r><w:rPr><w:color w:val="0F172A"/><w:sz w:val="20"/><w:szCs w:val="20"/></w:rPr><w:t xml:space="preserve">$2.5 million</w:t></w:r></w:p></w:tc></w:tr><w:tr><w:tc><w:tcPr><w:tcW w:type="dxa" w:w="2160"/><w:shd w:fill="EFF6FF" w:val="clear"/><w:tcMar><w:top w:type="dxa" w:w="60"/><w:left w:type="dxa" w:w="120"/><w:bottom w:type="dxa" w:w="60"/><w:right w:type="dxa" w:w="120"/></w:tcMar></w:tcPr><w:p><w:r><w:rPr><w:b/><w:bCs/><w:color w:val="1E3A5F"/><w:sz w:val="20"/><w:szCs w:val="20"/></w:rPr><w:t xml:space="preserve">Production constraint change</w:t></w:r></w:p></w:tc><w:tc><w:tcPr><w:tcW w:type="dxa" w:w="7200"/><w:tcMar><w:top w:type="dxa" w:w="60"/><w:left w:type="dxa" w:w="120"/><w:bottom w:type="dxa" w:w="60"/><w:right w:type="dxa" w:w="120"/></w:tcMar></w:tcPr><w:p><w:r><w:rPr><w:color w:val="0F172A"/><w:sz w:val="20"/><w:szCs w:val="20"/></w:rPr><w:t xml:space="preserve">false</w:t></w:r></w:p></w:tc></w:tr><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$375 million</w:t></w:r></w:p></w:tc></w:tr><w:tr><w:tc><w:tcPr><w:tcW w:type="dxa" w:w="2160"/><w:shd w:fill="EFF6FF" w:val="clear"/><w:tcMar><w:top w:type="dxa" w:w="60"/><w:left w:type="dxa" w:w="120"/><w:bottom w:type="dxa" w:w="60"/><w:right w:type="dxa" w:w="120"/></w:tcMar></w:tcPr><w:p><w:r><w:rPr><w:b/><w:bCs/><w:color w:val="1E3A5F"/><w:sz w:val="20"/><w:szCs w:val="20"/></w:rPr><w:t xml:space="preserve">Spread shift</w:t></w:r></w:p></w:tc><w:tc><w:tcPr><w:tcW w:type="dxa" w:w="7200"/><w:tcMar><w:top w:type="dxa" w:w="60"/><w:left w:type="dxa" w:w="120"/><w:bottom w:type="dxa" w:w="60"/><w:right w:type="dxa" w:w="120"/></w:tcMar></w:tcPr><w:p><w:r><w:rPr><w:color w:val="0F172A"/><w:sz w:val="20"/><w:szCs w:val="20"/></w:rPr><w:t xml:space="preserve">1.75×</w:t></w:r></w:p></w:tc></w:tr><w:tr><w:tc><w:tcPr><w:tcW w:type="dxa" w:w="2160"/><w:shd w:fill="EFF6FF" w:val="clear"/><w:tcMar><w:top w:type="dxa" w:w="60"/><w:left w:type="dxa" w:w="120"/><w:bottom w:type="dxa" w:w="60"/><w:right w:type="dxa" w:w="120"/></w:tcMar></w:tcPr><w:p><w:r><w:rPr><w:b/><w:bCs/><w:color w:val="1E3A5F"/><w:sz w:val="20"/><w:szCs w:val="20"/></w:rPr><w:t xml:space="preserve">Capacity scale</w:t></w:r></w:p></w:tc><w:tc><w:tcPr><w:tcW w:type="dxa" w:w="7200"/><w:tcMar><w:top w:type="dxa" w:w="60"/><w:left w:type="dxa" w:w="120"/><w:bottom w:type="dxa" w:w="60"/><w:right w:type="dxa" w:w="120"/></w:tcMar></w:tcPr><w:p><w:r><w:rPr><w:color w:val="0F172A"/><w:sz w:val="20"/><w:szCs w:val="20"/></w:rPr><w:t xml:space="preserve">0.50×</w:t></w:r></w:p></w:tc></w:tr><w:tr><w:tc><w:tcPr><w:tcW w:type="dxa" w:w="2160"/><w:shd w:fill="EFF6FF" w:val="clear"/><w:tcMar><w:top w:type="dxa" w:w="60"/><w:left w:type="dxa" w:w="120"/><w:bottom w:type="dxa" w:w="60"/><w:right w:type="dxa" w:w="120"/></w:tcMar></w:tcPr><w:p><w:r><w:rPr><w:b/><w:bCs/><w:color w:val="1E3A5F"/><w:sz w:val="20"/><w:szCs w:val="20"/></w:rPr><w:t xml:space="preserve">Max CP concentration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$600 million</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Desk heads, treasury risk, and approval committee reviewers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6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funding_capacity_shock</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large_notional_approval_review</w:t></w:r></w:p></w:tc></w:tr></w:tbl><w:p><w:pPr><w:spacing w:after="120"/></w:pPr><w:r><w:t xml:space="preserve"></w:t></w:r></w:p><w:p><w:pPr><w:pStyle w:val="Heading3"/></w:pPr><w:r><w:t xml:space="preserve">How to Run</w:t></w:r></w:p><w:p><w:pPr><w:spacing w:after="120"/></w:pPr><w:r><w:rPr><w:color w:val="0F172A"/><w:sz w:val="22"/><w:szCs w:val="22"/></w:rPr><w:t xml:space="preserve">Select &quot;Large Notional Approval Review&quot; and run. Show the Governance panel escalation to Tier 4.</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Governance panel shows escalation from Tier 2 to Tier 4</w:t></w:r></w:p><w:p><w:pPr><w:pStyle w:val="ListParagraph"/><w:numPr><w:ilvl w:val="0"/><w:numId w:val="1"/></w:numPr><w:spacing w:after="80"/></w:pPr><w:r><w:rPr><w:color w:val="0F172A"/><w:sz w:val="21"/><w:szCs w:val="21"/></w:rPr><w:t xml:space="preserve">Approval status is pending and action is withheld</w:t></w:r></w:p><w:p><w:pPr><w:pStyle w:val="ListParagraph"/><w:numPr><w:ilvl w:val="0"/><w:numId w:val="1"/></w:numPr><w:spacing w:after="80"/></w:pPr><w:r><w:rPr><w:color w:val="0F172A"/><w:sz w:val="21"/><w:szCs w:val="21"/></w:rPr><w:t xml:space="preserve">Escalation reason references notional exposure</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Keep execution mode as recommendation</w:t></w:r></w:p><w:p><w:pPr><w:pStyle w:val="ListParagraph"/><w:numPr><w:ilvl w:val="0"/><w:numId w:val="1"/></w:numPr><w:spacing w:after="80"/></w:pPr><w:r><w:rPr><w:color w:val="0F172A"/><w:sz w:val="21"/><w:szCs w:val="21"/></w:rPr><w:t xml:space="preserve">Show that large notional exposure still triggers approval review</w:t></w:r></w:p><w:p><w:pPr><w:pStyle w:val="ListParagraph"/><w:numPr><w:ilvl w:val="0"/><w:numId w:val="1"/></w:numPr><w:spacing w:after="80"/></w:pPr><w:r><w:rPr><w:color w:val="0F172A"/><w:sz w:val="21"/><w:szCs w:val="21"/></w:rPr><w:t xml:space="preserve">Explain the difference between advisory mode and materiality escalation</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Production Constraint Change Review</w:t></w:r></w:p></w:tc><w:tc><w:tcPr><w:tcW w:type="dxa" w:w="1800"/><w:shd w:fill="B45309" w:val="clear"/><w:tcMar><w:top w:type="dxa" w:w="100"/><w:left w:type="dxa" w:w="80"/><w:bottom w:type="dxa" w:w="100"/><w:right w:type="dxa" w:w="80"/></w:tcMar><w:vAlign w:val="center"/></w:tcPr><w:p><w:pPr><w:jc w:val="center"/></w:pPr><w:r><w:rPr><w:b/><w:bCs/><w:color w:val="FFFFFF"/><w:sz w:val="19"/><w:szCs w:val="19"/></w:rPr><w:t xml:space="preserve">Governance Tier 5</w:t></w:r></w:p></w:tc></w:tr></w:tbl><w:p><w:pPr><w:spacing w:after="80"/></w:pPr><w:r><w:t xml:space="preserve"></w:t></w:r></w:p><w:p><w:pPr><w:spacing w:after="100"/></w:pPr><w:r><w:rPr><w:i/><w:iCs/><w:color w:val="64748B"/><w:sz w:val="22"/><w:szCs w:val="22"/></w:rPr><w:t xml:space="preserve">The highest governance tier. Shows a recommendation that carries a production constraint change flag, which escalates the workflow to Tier 5 regardless of notional size. Demonstrates that model/constraint changes are treated as distinct governance events from trade-size materiality.</w:t></w:r></w:p><w:p><w:pPr><w:spacing w:after="80"/></w:pPr><w:r><w:t xml:space="preserve"></w:t></w:r></w:p><w:p><w:pPr><w:pStyle w:val="Heading3"/></w:pPr><w:r><w:t xml:space="preserve">Business Problem</w:t></w:r></w:p><w:p><w:pPr><w:spacing w:after="120"/></w:pPr><w:r><w:rPr><w:color w:val="0F172A"/><w:sz w:val="22"/><w:szCs w:val="22"/></w:rPr><w:t xml:space="preserve">A liquidity stress recommendation proposes revising a production concentration limit. The platform detects this as a constraint change and escalates to the model governance tier before any action can proceed.</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Execution mode</w:t></w:r></w:p></w:tc><w:tc><w:tcPr><w:tcW w:type="dxa" w:w="7200"/><w:tcMar><w:top w:type="dxa" w:w="60"/><w:left w:type="dxa" w:w="120"/><w:bottom w:type="dxa" w:w="60"/><w:right w:type="dxa" w:w="120"/></w:tcMar></w:tcPr><w:p><w:r><w:rPr><w:color w:val="0F172A"/><w:sz w:val="20"/><w:szCs w:val="20"/></w:rPr><w:t xml:space="preserve">recommendation</w:t></w:r></w:p></w:tc></w:tr><w:tr><w:tc><w:tcPr><w:tcW w:type="dxa" w:w="2160"/><w:shd w:fill="EFF6FF" w:val="clear"/><w:tcMar><w:top w:type="dxa" w:w="60"/><w:left w:type="dxa" w:w="120"/><w:bottom w:type="dxa" w:w="60"/><w:right w:type="dxa" w:w="120"/></w:tcMar></w:tcPr><w:p><w:r><w:rPr><w:b/><w:bCs/><w:color w:val="1E3A5F"/><w:sz w:val="20"/><w:szCs w:val="20"/></w:rPr><w:t xml:space="preserve">Materiality notional</w:t></w:r></w:p></w:tc><w:tc><w:tcPr><w:tcW w:type="dxa" w:w="7200"/><w:tcMar><w:top w:type="dxa" w:w="60"/><w:left w:type="dxa" w:w="120"/><w:bottom w:type="dxa" w:w="60"/><w:right w:type="dxa" w:w="120"/></w:tcMar></w:tcPr><w:p><w:r><w:rPr><w:color w:val="0F172A"/><w:sz w:val="20"/><w:szCs w:val="20"/></w:rPr><w:t xml:space="preserve">$700 million</w:t></w:r></w:p></w:tc></w:tr><w:tr><w:tc><w:tcPr><w:tcW w:type="dxa" w:w="2160"/><w:shd w:fill="EFF6FF" w:val="clear"/><w:tcMar><w:top w:type="dxa" w:w="60"/><w:left w:type="dxa" w:w="120"/><w:bottom w:type="dxa" w:w="60"/><w:right w:type="dxa" w:w="120"/></w:tcMar></w:tcPr><w:p><w:r><w:rPr><w:b/><w:bCs/><w:color w:val="1E3A5F"/><w:sz w:val="20"/><w:szCs w:val="20"/></w:rPr><w:t xml:space="preserve">Estimated P&amp;L impact</w:t></w:r></w:p></w:tc><w:tc><w:tcPr><w:tcW w:type="dxa" w:w="7200"/><w:tcMar><w:top w:type="dxa" w:w="60"/><w:left w:type="dxa" w:w="120"/><w:bottom w:type="dxa" w:w="60"/><w:right w:type="dxa" w:w="120"/></w:tcMar></w:tcPr><w:p><w:r><w:rPr><w:color w:val="0F172A"/><w:sz w:val="20"/><w:szCs w:val="20"/></w:rPr><w:t xml:space="preserve">$1.5 million</w:t></w:r></w:p></w:tc></w:tr><w:tr><w:tc><w:tcPr><w:tcW w:type="dxa" w:w="2160"/><w:shd w:fill="EFF6FF" w:val="clear"/><w:tcMar><w:top w:type="dxa" w:w="60"/><w:left w:type="dxa" w:w="120"/><w:bottom w:type="dxa" w:w="60"/><w:right w:type="dxa" w:w="120"/></w:tcMar></w:tcPr><w:p><w:r><w:rPr><w:b/><w:bCs/><w:color w:val="1E3A5F"/><w:sz w:val="20"/><w:szCs w:val="20"/></w:rPr><w:t xml:space="preserve">Production constraint change</w:t></w:r></w:p></w:tc><w:tc><w:tcPr><w:tcW w:type="dxa" w:w="7200"/><w:tcMar><w:top w:type="dxa" w:w="60"/><w:left w:type="dxa" w:w="120"/><w:bottom w:type="dxa" w:w="60"/><w:right w:type="dxa" w:w="120"/></w:tcMar></w:tcPr><w:p><w:r><w:rPr><w:color w:val="0F172A"/><w:sz w:val="20"/><w:szCs w:val="20"/></w:rPr><w:t xml:space="preserve">TRUE — triggers Tier 5</w:t></w:r></w:p></w:tc></w:tr><w:tr><w:tc><w:tcPr><w:tcW w:type="dxa" w:w="2160"/><w:shd w:fill="EFF6FF" w:val="clear"/><w:tcMar><w:top w:type="dxa" w:w="60"/><w:left w:type="dxa" w:w="120"/><w:bottom w:type="dxa" w:w="60"/><w:right w:type="dxa" w:w="120"/></w:tcMar></w:tcPr><w:p><w:r><w:rPr><w:b/><w:bCs/><w:color w:val="1E3A5F"/><w:sz w:val="20"/><w:szCs w:val="20"/></w:rPr><w:t xml:space="preserve">Financing need</w:t></w:r></w:p></w:tc><w:tc><w:tcPr><w:tcW w:type="dxa" w:w="7200"/><w:tcMar><w:top w:type="dxa" w:w="60"/><w:left w:type="dxa" w:w="120"/><w:bottom w:type="dxa" w:w="60"/><w:right w:type="dxa" w:w="120"/></w:tcMar></w:tcPr><w:p><w:r><w:rPr><w:color w:val="0F172A"/><w:sz w:val="20"/><w:szCs w:val="20"/></w:rPr><w:t xml:space="preserve">$350 million</w:t></w:r></w:p></w:tc></w:tr><w:tr><w:tc><w:tcPr><w:tcW w:type="dxa" w:w="2160"/><w:shd w:fill="EFF6FF" w:val="clear"/><w:tcMar><w:top w:type="dxa" w:w="60"/><w:left w:type="dxa" w:w="120"/><w:bottom w:type="dxa" w:w="60"/><w:right w:type="dxa" w:w="120"/></w:tcMar></w:tcPr><w:p><w:r><w:rPr><w:b/><w:bCs/><w:color w:val="1E3A5F"/><w:sz w:val="20"/><w:szCs w:val="20"/></w:rPr><w:t xml:space="preserve">Spread shift</w:t></w:r></w:p></w:tc><w:tc><w:tcPr><w:tcW w:type="dxa" w:w="7200"/><w:tcMar><w:top w:type="dxa" w:w="60"/><w:left w:type="dxa" w:w="120"/><w:bottom w:type="dxa" w:w="60"/><w:right w:type="dxa" w:w="120"/></w:tcMar></w:tcPr><w:p><w:r><w:rPr><w:color w:val="0F172A"/><w:sz w:val="20"/><w:szCs w:val="20"/></w:rPr><w:t xml:space="preserve">1.6×</w:t></w:r></w:p></w:tc></w:tr><w:tr><w:tc><w:tcPr><w:tcW w:type="dxa" w:w="2160"/><w:shd w:fill="EFF6FF" w:val="clear"/><w:tcMar><w:top w:type="dxa" w:w="60"/><w:left w:type="dxa" w:w="120"/><w:bottom w:type="dxa" w:w="60"/><w:right w:type="dxa" w:w="120"/></w:tcMar></w:tcPr><w:p><w:r><w:rPr><w:b/><w:bCs/><w:color w:val="1E3A5F"/><w:sz w:val="20"/><w:szCs w:val="20"/></w:rPr><w:t xml:space="preserve">Capacity scale</w:t></w:r></w:p></w:tc><w:tc><w:tcPr><w:tcW w:type="dxa" w:w="7200"/><w:tcMar><w:top w:type="dxa" w:w="60"/><w:left w:type="dxa" w:w="120"/><w:bottom w:type="dxa" w:w="60"/><w:right w:type="dxa" w:w="120"/></w:tcMar></w:tcPr><w:p><w:r><w:rPr><w:color w:val="0F172A"/><w:sz w:val="20"/><w:szCs w:val="20"/></w:rPr><w:t xml:space="preserve">0.55×</w:t></w:r></w:p></w:tc></w:tr><w:tr><w:tc><w:tcPr><w:tcW w:type="dxa" w:w="2160"/><w:shd w:fill="EFF6FF" w:val="clear"/><w:tcMar><w:top w:type="dxa" w:w="60"/><w:left w:type="dxa" w:w="120"/><w:bottom w:type="dxa" w:w="60"/><w:right w:type="dxa" w:w="120"/></w:tcMar></w:tcPr><w:p><w:r><w:rPr><w:b/><w:bCs/><w:color w:val="1E3A5F"/><w:sz w:val="20"/><w:szCs w:val="20"/></w:rPr><w:t xml:space="preserve">Collateral obligation scale</w:t></w:r></w:p></w:tc><w:tc><w:tcPr><w:tcW w:type="dxa" w:w="7200"/><w:tcMar><w:top w:type="dxa" w:w="60"/><w:left w:type="dxa" w:w="120"/><w:bottom w:type="dxa" w:w="60"/><w:right w:type="dxa" w:w="120"/></w:tcMar></w:tcPr><w:p><w:r><w:rPr><w:color w:val="0F172A"/><w:sz w:val="20"/><w:szCs w:val="20"/></w:rPr><w:t xml:space="preserve">1.65×</w:t></w:r></w:p></w:tc></w:tr><w:tr><w:tc><w:tcPr><w:tcW w:type="dxa" w:w="2160"/><w:shd w:fill="EFF6FF" w:val="clear"/><w:tcMar><w:top w:type="dxa" w:w="60"/><w:left w:type="dxa" w:w="120"/><w:bottom w:type="dxa" w:w="60"/><w:right w:type="dxa" w:w="120"/></w:tcMar></w:tcPr><w:p><w:r><w:rPr><w:b/><w:bCs/><w:color w:val="1E3A5F"/><w:sz w:val="20"/><w:szCs w:val="20"/></w:rPr><w:t xml:space="preserve">Total cash (MM step)</w:t></w:r></w:p></w:tc><w:tc><w:tcPr><w:tcW w:type="dxa" w:w="7200"/><w:tcMar><w:top w:type="dxa" w:w="60"/><w:left w:type="dxa" w:w="120"/><w:bottom w:type="dxa" w:w="60"/><w:right w:type="dxa" w:w="120"/></w:tcMar></w:tcPr><w:p><w:r><w:rPr><w:color w:val="0F172A"/><w:sz w:val="20"/><w:szCs w:val="20"/></w:rPr><w:t xml:space="preserve">$550 million</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Model governance, risk controls, and platform owners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7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liquidity_stress_funding_workflow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production_constraint_change_review</w:t></w:r></w:p></w:tc></w:tr></w:tbl><w:p><w:pPr><w:spacing w:after="120"/></w:pPr><w:r><w:t xml:space="preserve"></w:t></w:r></w:p><w:p><w:pPr><w:pStyle w:val="Heading3"/></w:pPr><w:r><w:t xml:space="preserve">How to Run</w:t></w:r></w:p><w:p><w:pPr><w:spacing w:after="120"/></w:pPr><w:r><w:rPr><w:color w:val="0F172A"/><w:sz w:val="22"/><w:szCs w:val="22"/></w:rPr><w:t xml:space="preserve">Select &quot;Production Constraint Change Review&quot;. Enable the production constraint change toggle in the preset inputs, then run. Show Tier 5 pending approval in the governance panel.</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Governance panel shows Tier 5</w:t></w:r></w:p><w:p><w:pPr><w:pStyle w:val="ListParagraph"/><w:numPr><w:ilvl w:val="0"/><w:numId w:val="1"/></w:numPr><w:spacing w:after="80"/></w:pPr><w:r><w:rPr><w:color w:val="0F172A"/><w:sz w:val="21"/><w:szCs w:val="21"/></w:rPr><w:t xml:space="preserve">Approval status is pending and action is withheld</w:t></w:r></w:p><w:p><w:pPr><w:pStyle w:val="ListParagraph"/><w:numPr><w:ilvl w:val="0"/><w:numId w:val="1"/></w:numPr><w:spacing w:after="80"/></w:pPr><w:r><w:rPr><w:color w:val="0F172A"/><w:sz w:val="21"/><w:szCs w:val="21"/></w:rPr><w:t xml:space="preserve">Governance factors include production constraint change</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Start from recommendation mode to make the escalation visible</w:t></w:r></w:p><w:p><w:pPr><w:pStyle w:val="ListParagraph"/><w:numPr><w:ilvl w:val="0"/><w:numId w:val="1"/></w:numPr><w:spacing w:after="80"/></w:pPr><w:r><w:rPr><w:color w:val="0F172A"/><w:sz w:val="21"/><w:szCs w:val="21"/></w:rPr><w:t xml:space="preserve">Toggle the production constraint change field</w:t></w:r></w:p><w:p><w:pPr><w:pStyle w:val="ListParagraph"/><w:numPr><w:ilvl w:val="0"/><w:numId w:val="1"/></w:numPr><w:spacing w:after="80"/></w:pPr><w:r><w:rPr><w:color w:val="0F172A"/><w:sz w:val="21"/><w:szCs w:val="21"/></w:rPr><w:t xml:space="preserve">Show Tier 5 pending approval and the generated approval ID</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Treasury Cash Movement Cutoff</w:t></w:r></w:p></w:tc><w:tc><w:tcPr><w:tcW w:type="dxa" w:w="1800"/><w:shd w:fill="B45309" w:val="clear"/><w:tcMar><w:top w:type="dxa" w:w="100"/><w:left w:type="dxa" w:w="80"/><w:bottom w:type="dxa" w:w="100"/><w:right w:type="dxa" w:w="80"/></w:tcMar><w:vAlign w:val="center"/></w:tcPr><w:p><w:pPr><w:jc w:val="center"/></w:pPr><w:r><w:rPr><w:b/><w:bCs/><w:color w:val="FFFFFF"/><w:sz w:val="19"/><w:szCs w:val="19"/></w:rPr><w:t xml:space="preserve">Operations — Production</w:t></w:r></w:p></w:tc></w:tr></w:tbl><w:p><w:pPr><w:spacing w:after="80"/></w:pPr><w:r><w:t xml:space="preserve"></w:t></w:r></w:p><w:p><w:pPr><w:spacing w:after="100"/></w:pPr><w:r><w:rPr><w:i/><w:iCs/><w:color w:val="64748B"/><w:sz w:val="22"/><w:szCs w:val="22"/></w:rPr><w:t xml:space="preserve">A production-adapter operations walkthrough showing same-day clearing and settlement funding routed through open payment rails while source account buffers are protected. Unlike the LP/MILP scenarios, this uses the production adapter path and demonstrates operational cash-movement use cases beyond the core optimization domains.</w:t></w:r></w:p><w:p><w:pPr><w:spacing w:after="80"/></w:pPr><w:r><w:t xml:space="preserve"></w:t></w:r></w:p><w:p><w:pPr><w:pStyle w:val="Heading3"/></w:pPr><w:r><w:t xml:space="preserve">Business Problem</w:t></w:r></w:p><w:p><w:pPr><w:spacing w:after="120"/></w:pPr><w:r><w:rPr><w:color w:val="0F172A"/><w:sz w:val="22"/><w:szCs w:val="22"/></w:rPr><w:t xml:space="preserve">Two same-day funding requirements ($90M and $65M) must be sourced from two cash pools while preserving minimum operating buffers. Fedwire and CHIPS rails have different cutoffs and fees; the optimizer routes across available rails at minimum cost.</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Cutoff hour</w:t></w:r></w:p></w:tc><w:tc><w:tcPr><w:tcW w:type="dxa" w:w="7200"/><w:tcMar><w:top w:type="dxa" w:w="60"/><w:left w:type="dxa" w:w="120"/><w:bottom w:type="dxa" w:w="60"/><w:right w:type="dxa" w:w="120"/></w:tcMar></w:tcPr><w:p><w:r><w:rPr><w:color w:val="0F172A"/><w:sz w:val="20"/><w:szCs w:val="20"/></w:rPr><w:t xml:space="preserve">15:00</w:t></w:r></w:p></w:tc></w:tr><w:tr><w:tc><w:tcPr><w:tcW w:type="dxa" w:w="2160"/><w:shd w:fill="EFF6FF" w:val="clear"/><w:tcMar><w:top w:type="dxa" w:w="60"/><w:left w:type="dxa" w:w="120"/><w:bottom w:type="dxa" w:w="60"/><w:right w:type="dxa" w:w="120"/></w:tcMar></w:tcPr><w:p><w:r><w:rPr><w:b/><w:bCs/><w:color w:val="1E3A5F"/><w:sz w:val="20"/><w:szCs w:val="20"/></w:rPr><w:t xml:space="preserve">Source account 1</w:t></w:r></w:p></w:tc><w:tc><w:tcPr><w:tcW w:type="dxa" w:w="7200"/><w:tcMar><w:top w:type="dxa" w:w="60"/><w:left w:type="dxa" w:w="120"/><w:bottom w:type="dxa" w:w="60"/><w:right w:type="dxa" w:w="120"/></w:tcMar></w:tcPr><w:p><w:r><w:rPr><w:color w:val="0F172A"/><w:sz w:val="20"/><w:szCs w:val="20"/></w:rPr><w:t xml:space="preserve">Broker Dealer — $150M available, $20M minimum buffer</w:t></w:r></w:p></w:tc></w:tr><w:tr><w:tc><w:tcPr><w:tcW w:type="dxa" w:w="2160"/><w:shd w:fill="EFF6FF" w:val="clear"/><w:tcMar><w:top w:type="dxa" w:w="60"/><w:left w:type="dxa" w:w="120"/><w:bottom w:type="dxa" w:w="60"/><w:right w:type="dxa" w:w="120"/></w:tcMar></w:tcPr><w:p><w:r><w:rPr><w:b/><w:bCs/><w:color w:val="1E3A5F"/><w:sz w:val="20"/><w:szCs w:val="20"/></w:rPr><w:t xml:space="preserve">Source account 2</w:t></w:r></w:p></w:tc><w:tc><w:tcPr><w:tcW w:type="dxa" w:w="7200"/><w:tcMar><w:top w:type="dxa" w:w="60"/><w:left w:type="dxa" w:w="120"/><w:bottom w:type="dxa" w:w="60"/><w:right w:type="dxa" w:w="120"/></w:tcMar></w:tcPr><w:p><w:r><w:rPr><w:color w:val="0F172A"/><w:sz w:val="20"/><w:szCs w:val="20"/></w:rPr><w:t xml:space="preserve">Bank Entity — $80M available, $15M minimum buffer</w:t></w:r></w:p></w:tc></w:tr><w:tr><w:tc><w:tcPr><w:tcW w:type="dxa" w:w="2160"/><w:shd w:fill="EFF6FF" w:val="clear"/><w:tcMar><w:top w:type="dxa" w:w="60"/><w:left w:type="dxa" w:w="120"/><w:bottom w:type="dxa" w:w="60"/><w:right w:type="dxa" w:w="120"/></w:tcMar></w:tcPr><w:p><w:r><w:rPr><w:b/><w:bCs/><w:color w:val="1E3A5F"/><w:sz w:val="20"/><w:szCs w:val="20"/></w:rPr><w:t xml:space="preserve">Payment A</w:t></w:r></w:p></w:tc><w:tc><w:tcPr><w:tcW w:type="dxa" w:w="7200"/><w:tcMar><w:top w:type="dxa" w:w="60"/><w:left w:type="dxa" w:w="120"/><w:bottom w:type="dxa" w:w="60"/><w:right w:type="dxa" w:w="120"/></w:tcMar></w:tcPr><w:p><w:r><w:rPr><w:color w:val="0F172A"/><w:sz w:val="20"/><w:szCs w:val="20"/></w:rPr><w:t xml:space="preserve">$90M to Clearing A (cutoff 15:00)</w:t></w:r></w:p></w:tc></w:tr><w:tr><w:tc><w:tcPr><w:tcW w:type="dxa" w:w="2160"/><w:shd w:fill="EFF6FF" w:val="clear"/><w:tcMar><w:top w:type="dxa" w:w="60"/><w:left w:type="dxa" w:w="120"/><w:bottom w:type="dxa" w:w="60"/><w:right w:type="dxa" w:w="120"/></w:tcMar></w:tcPr><w:p><w:r><w:rPr><w:b/><w:bCs/><w:color w:val="1E3A5F"/><w:sz w:val="20"/><w:szCs w:val="20"/></w:rPr><w:t xml:space="preserve">Payment B</w:t></w:r></w:p></w:tc><w:tc><w:tcPr><w:tcW w:type="dxa" w:w="7200"/><w:tcMar><w:top w:type="dxa" w:w="60"/><w:left w:type="dxa" w:w="120"/><w:bottom w:type="dxa" w:w="60"/><w:right w:type="dxa" w:w="120"/></w:tcMar></w:tcPr><w:p><w:r><w:rPr><w:color w:val="0F172A"/><w:sz w:val="20"/><w:szCs w:val="20"/></w:rPr><w:t xml:space="preserve">$65M to Settlement B (cutoff 16:00)</w:t></w:r></w:p></w:tc></w:tr><w:tr><w:tc><w:tcPr><w:tcW w:type="dxa" w:w="2160"/><w:shd w:fill="EFF6FF" w:val="clear"/><w:tcMar><w:top w:type="dxa" w:w="60"/><w:left w:type="dxa" w:w="120"/><w:bottom w:type="dxa" w:w="60"/><w:right w:type="dxa" w:w="120"/></w:tcMar></w:tcPr><w:p><w:r><w:rPr><w:b/><w:bCs/><w:color w:val="1E3A5F"/><w:sz w:val="20"/><w:szCs w:val="20"/></w:rPr><w:t xml:space="preserve">Rail 1</w:t></w:r></w:p></w:tc><w:tc><w:tcPr><w:tcW w:type="dxa" w:w="7200"/><w:tcMar><w:top w:type="dxa" w:w="60"/><w:left w:type="dxa" w:w="120"/><w:bottom w:type="dxa" w:w="60"/><w:right w:type="dxa" w:w="120"/></w:tcMar></w:tcPr><w:p><w:r><w:rPr><w:color w:val="0F172A"/><w:sz w:val="20"/><w:szCs w:val="20"/></w:rPr><w:t xml:space="preserve">Fedwire — 0.15 bps fee, $35 fixed, cutoff 17:00</w:t></w:r></w:p></w:tc></w:tr><w:tr><w:tc><w:tcPr><w:tcW w:type="dxa" w:w="2160"/><w:shd w:fill="EFF6FF" w:val="clear"/><w:tcMar><w:top w:type="dxa" w:w="60"/><w:left w:type="dxa" w:w="120"/><w:bottom w:type="dxa" w:w="60"/><w:right w:type="dxa" w:w="120"/></w:tcMar></w:tcPr><w:p><w:r><w:rPr><w:b/><w:bCs/><w:color w:val="1E3A5F"/><w:sz w:val="20"/><w:szCs w:val="20"/></w:rPr><w:t xml:space="preserve">Rail 2</w:t></w:r></w:p></w:tc><w:tc><w:tcPr><w:tcW w:type="dxa" w:w="7200"/><w:tcMar><w:top w:type="dxa" w:w="60"/><w:left w:type="dxa" w:w="120"/><w:bottom w:type="dxa" w:w="60"/><w:right w:type="dxa" w:w="120"/></w:tcMar></w:tcPr><w:p><w:r><w:rPr><w:color w:val="0F172A"/><w:sz w:val="20"/><w:szCs w:val="20"/></w:rPr><w:t xml:space="preserve">CHIPS — 0.08 bps fee, $20 fixed, cutoff 16:00</w:t></w:r></w:p></w:tc></w:tr><w:tr><w:tc><w:tcPr><w:tcW w:type="dxa" w:w="2160"/><w:shd w:fill="EFF6FF" w:val="clear"/><w:tcMar><w:top w:type="dxa" w:w="60"/><w:left w:type="dxa" w:w="120"/><w:bottom w:type="dxa" w:w="60"/><w:right w:type="dxa" w:w="120"/></w:tcMar></w:tcPr><w:p><w:r><w:rPr><w:b/><w:bCs/><w:color w:val="1E3A5F"/><w:sz w:val="20"/><w:szCs w:val="20"/></w:rPr><w:t xml:space="preserve">Materiality notional</w:t></w:r></w:p></w:tc><w:tc><w:tcPr><w:tcW w:type="dxa" w:w="7200"/><w:tcMar><w:top w:type="dxa" w:w="60"/><w:left w:type="dxa" w:w="120"/><w:bottom w:type="dxa" w:w="60"/><w:right w:type="dxa" w:w="120"/></w:tcMar></w:tcPr><w:p><w:r><w:rPr><w:color w:val="0F172A"/><w:sz w:val="20"/><w:szCs w:val="20"/></w:rPr><w:t xml:space="preserve">$155 million</w:t></w:r></w:p></w:tc></w:tr><w:tr><w:tc><w:tcPr><w:tcW w:type="dxa" w:w="2160"/><w:shd w:fill="EFF6FF" w:val="clear"/><w:tcMar><w:top w:type="dxa" w:w="60"/><w:left w:type="dxa" w:w="120"/><w:bottom w:type="dxa" w:w="60"/><w:right w:type="dxa" w:w="120"/></w:tcMar></w:tcPr><w:p><w:r><w:rPr><w:b/><w:bCs/><w:color w:val="1E3A5F"/><w:sz w:val="20"/><w:szCs w:val="20"/></w:rPr><w:t xml:space="preserve">Optimizer runtime</w:t></w:r></w:p></w:tc><w:tc><w:tcPr><w:tcW w:type="dxa" w:w="7200"/><w:tcMar><w:top w:type="dxa" w:w="60"/><w:left w:type="dxa" w:w="120"/><w:bottom w:type="dxa" w:w="60"/><w:right w:type="dxa" w:w="120"/></w:tcMar></w:tcPr><w:p><w:r><w:rPr><w:color w:val="0F172A"/><w:sz w:val="20"/><w:szCs w:val="20"/></w:rPr><w:t xml:space="preserve">Production adapter</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Treasury operations, payments, liquidity control, and settlement teams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4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treasury_cash_movement</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treasury_cash_movement_cutoff</w:t></w:r></w:p></w:tc></w:tr></w:tbl><w:p><w:pPr><w:spacing w:after="120"/></w:pPr><w:r><w:t xml:space="preserve"></w:t></w:r></w:p><w:p><w:pPr><w:pStyle w:val="Heading3"/></w:pPr><w:r><w:t xml:space="preserve">How to Run</w:t></w:r></w:p><w:p><w:pPr><w:spacing w:after="120"/></w:pPr><w:r><w:rPr><w:color w:val="0F172A"/><w:sz w:val="22"/><w:szCs w:val="22"/></w:rPr><w:t xml:space="preserve">Select &quot;Treasury Cash Movement Cutoff&quot; in the workflow selector. Run the workflow and export evidence to see transfer recommendations and remaining liquidity.</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Treasury workflow appears in the workflow selector</w:t></w:r></w:p><w:p><w:pPr><w:pStyle w:val="ListParagraph"/><w:numPr><w:ilvl w:val="0"/><w:numId w:val="1"/></w:numPr><w:spacing w:after="80"/></w:pPr><w:r><w:rPr><w:color w:val="0F172A"/><w:sz w:val="21"/><w:szCs w:val="21"/></w:rPr><w:t xml:space="preserve">Production adapter run completes with transfer recommendations</w:t></w:r></w:p><w:p><w:pPr><w:pStyle w:val="ListParagraph"/><w:numPr><w:ilvl w:val="0"/><w:numId w:val="1"/></w:numPr><w:spacing w:after="80"/></w:pPr><w:r><w:rPr><w:color w:val="0F172A"/><w:sz w:val="21"/><w:szCs w:val="21"/></w:rPr><w:t xml:space="preserve">Evidence export includes operational cash-movement rows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Start with two same-day funding requirements and two source cash pools</w:t></w:r></w:p><w:p><w:pPr><w:pStyle w:val="ListParagraph"/><w:numPr><w:ilvl w:val="0"/><w:numId w:val="1"/></w:numPr><w:spacing w:after="80"/></w:pPr><w:r><w:rPr><w:color w:val="0F172A"/><w:sz w:val="21"/><w:szCs w:val="21"/></w:rPr><w:t xml:space="preserve">Show how the adapter preserves minimum buffers while selecting feasible payment rails</w:t></w:r></w:p><w:p><w:pPr><w:pStyle w:val="ListParagraph"/><w:numPr><w:ilvl w:val="0"/><w:numId w:val="1"/></w:numPr><w:spacing w:after="80"/></w:pPr><w:r><w:rPr><w:color w:val="0F172A"/><w:sz w:val="21"/><w:szCs w:val="21"/></w:rPr><w:t xml:space="preserve">Export the recommendation as transfers, remaining liquidity, model lineage, and reproducibility evidence</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Margin Call Capacity Triage</w:t></w:r></w:p></w:tc><w:tc><w:tcPr><w:tcW w:type="dxa" w:w="1800"/><w:shd w:fill="B45309" w:val="clear"/><w:tcMar><w:top w:type="dxa" w:w="100"/><w:left w:type="dxa" w:w="80"/><w:bottom w:type="dxa" w:w="100"/><w:right w:type="dxa" w:w="80"/></w:tcMar><w:vAlign w:val="center"/></w:tcPr><w:p><w:pPr><w:jc w:val="center"/></w:pPr><w:r><w:rPr><w:b/><w:bCs/><w:color w:val="FFFFFF"/><w:sz w:val="19"/><w:szCs w:val="19"/></w:rPr><w:t xml:space="preserve">Operations — Production</w:t></w:r></w:p></w:tc></w:tr></w:tbl><w:p><w:pPr><w:spacing w:after="80"/></w:pPr><w:r><w:t xml:space="preserve"></w:t></w:r></w:p><w:p><w:pPr><w:spacing w:after="100"/></w:pPr><w:r><w:rPr><w:i/><w:iCs/><w:color w:val="64748B"/><w:sz w:val="22"/><w:szCs w:val="22"/></w:rPr><w:t xml:space="preserve">A production-adapter operations walkthrough showing a stressed margin-call queue prioritized inside a limited team-capacity window. The optimizer scores each call by exposure, SLA urgency, dispute probability, and counterparty risk tier, then assigns, defers, or escalates each call within the available operations minutes.</w:t></w:r></w:p><w:p><w:pPr><w:spacing w:after="80"/></w:pPr><w:r><w:t xml:space="preserve"></w:t></w:r></w:p><w:p><w:pPr><w:pStyle w:val="Heading3"/></w:pPr><w:r><w:t xml:space="preserve">Business Problem</w:t></w:r></w:p><w:p><w:pPr><w:spacing w:after="120"/></w:pPr><w:r><w:rPr><w:color w:val="0F172A"/><w:sz w:val="22"/><w:szCs w:val="22"/></w:rPr><w:t xml:space="preserve">Three margin calls arrive simultaneously totaling $125M. The operations team has 150 minutes of capacity. Call MC_B ($70M, CCP, 1-hour SLA) is critical; MC_A ($40M, Dealer, 5% dispute probability) is high; MC_C ($15M, Dealer, 60% dispute probability) is medium. The optimizer routes calls within capacity.</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Team capacity</w:t></w:r></w:p></w:tc><w:tc><w:tcPr><w:tcW w:type="dxa" w:w="7200"/><w:tcMar><w:top w:type="dxa" w:w="60"/><w:left w:type="dxa" w:w="120"/><w:bottom w:type="dxa" w:w="60"/><w:right w:type="dxa" w:w="120"/></w:tcMar></w:tcPr><w:p><w:r><w:rPr><w:color w:val="0F172A"/><w:sz w:val="20"/><w:szCs w:val="20"/></w:rPr><w:t xml:space="preserve">150 minutes</w:t></w:r></w:p></w:tc></w:tr><w:tr><w:tc><w:tcPr><w:tcW w:type="dxa" w:w="2160"/><w:shd w:fill="EFF6FF" w:val="clear"/><w:tcMar><w:top w:type="dxa" w:w="60"/><w:left w:type="dxa" w:w="120"/><w:bottom w:type="dxa" w:w="60"/><w:right w:type="dxa" w:w="120"/></w:tcMar></w:tcPr><w:p><w:r><w:rPr><w:b/><w:bCs/><w:color w:val="1E3A5F"/><w:sz w:val="20"/><w:szCs w:val="20"/></w:rPr><w:t xml:space="preserve">Materiality threshold</w:t></w:r></w:p></w:tc><w:tc><w:tcPr><w:tcW w:type="dxa" w:w="7200"/><w:tcMar><w:top w:type="dxa" w:w="60"/><w:left w:type="dxa" w:w="120"/><w:bottom w:type="dxa" w:w="60"/><w:right w:type="dxa" w:w="120"/></w:tcMar></w:tcPr><w:p><w:r><w:rPr><w:color w:val="0F172A"/><w:sz w:val="20"/><w:szCs w:val="20"/></w:rPr><w:t xml:space="preserve">$25 million</w:t></w:r></w:p></w:tc></w:tr><w:tr><w:tc><w:tcPr><w:tcW w:type="dxa" w:w="2160"/><w:shd w:fill="EFF6FF" w:val="clear"/><w:tcMar><w:top w:type="dxa" w:w="60"/><w:left w:type="dxa" w:w="120"/><w:bottom w:type="dxa" w:w="60"/><w:right w:type="dxa" w:w="120"/></w:tcMar></w:tcPr><w:p><w:r><w:rPr><w:b/><w:bCs/><w:color w:val="1E3A5F"/><w:sz w:val="20"/><w:szCs w:val="20"/></w:rPr><w:t xml:space="preserve">MC_A</w:t></w:r></w:p></w:tc><w:tc><w:tcPr><w:tcW w:type="dxa" w:w="7200"/><w:tcMar><w:top w:type="dxa" w:w="60"/><w:left w:type="dxa" w:w="120"/><w:bottom w:type="dxa" w:w="60"/><w:right w:type="dxa" w:w="120"/></w:tcMar></w:tcPr><w:p><w:r><w:rPr><w:color w:val="0F172A"/><w:sz w:val="20"/><w:szCs w:val="20"/></w:rPr><w:t xml:space="preserve">$40M — Dealer A — 2 hr SLA — 20% dispute — 80 min ops — High tier</w:t></w:r></w:p></w:tc></w:tr><w:tr><w:tc><w:tcPr><w:tcW w:type="dxa" w:w="2160"/><w:shd w:fill="EFF6FF" w:val="clear"/><w:tcMar><w:top w:type="dxa" w:w="60"/><w:left w:type="dxa" w:w="120"/><w:bottom w:type="dxa" w:w="60"/><w:right w:type="dxa" w:w="120"/></w:tcMar></w:tcPr><w:p><w:r><w:rPr><w:b/><w:bCs/><w:color w:val="1E3A5F"/><w:sz w:val="20"/><w:szCs w:val="20"/></w:rPr><w:t xml:space="preserve">MC_B</w:t></w:r></w:p></w:tc><w:tc><w:tcPr><w:tcW w:type="dxa" w:w="7200"/><w:tcMar><w:top w:type="dxa" w:w="60"/><w:left w:type="dxa" w:w="120"/><w:bottom w:type="dxa" w:w="60"/><w:right w:type="dxa" w:w="120"/></w:tcMar></w:tcPr><w:p><w:r><w:rPr><w:color w:val="0F172A"/><w:sz w:val="20"/><w:szCs w:val="20"/></w:rPr><w:t xml:space="preserve">$70M — CCP B — 1 hr SLA — 5% dispute — 70 min ops — Critical tier</w:t></w:r></w:p></w:tc></w:tr><w:tr><w:tc><w:tcPr><w:tcW w:type="dxa" w:w="2160"/><w:shd w:fill="EFF6FF" w:val="clear"/><w:tcMar><w:top w:type="dxa" w:w="60"/><w:left w:type="dxa" w:w="120"/><w:bottom w:type="dxa" w:w="60"/><w:right w:type="dxa" w:w="120"/></w:tcMar></w:tcPr><w:p><w:r><w:rPr><w:b/><w:bCs/><w:color w:val="1E3A5F"/><w:sz w:val="20"/><w:szCs w:val="20"/></w:rPr><w:t xml:space="preserve">MC_C</w:t></w:r></w:p></w:tc><w:tc><w:tcPr><w:tcW w:type="dxa" w:w="7200"/><w:tcMar><w:top w:type="dxa" w:w="60"/><w:left w:type="dxa" w:w="120"/><w:bottom w:type="dxa" w:w="60"/><w:right w:type="dxa" w:w="120"/></w:tcMar></w:tcPr><w:p><w:r><w:rPr><w:color w:val="0F172A"/><w:sz w:val="20"/><w:szCs w:val="20"/></w:rPr><w:t xml:space="preserve">$15M — Dealer C — 8 hr SLA — 60% dispute — 90 min ops — Medium tier</w:t></w:r></w:p></w:tc></w:tr><w:tr><w:tc><w:tcPr><w:tcW w:type="dxa" w:w="2160"/><w:shd w:fill="EFF6FF" w:val="clear"/><w:tcMar><w:top w:type="dxa" w:w="60"/><w:left w:type="dxa" w:w="120"/><w:bottom w:type="dxa" w:w="60"/><w:right w:type="dxa" w:w="120"/></w:tcMar></w:tcPr><w:p><w:r><w:rPr><w:b/><w:bCs/><w:color w:val="1E3A5F"/><w:sz w:val="20"/><w:szCs w:val="20"/></w:rPr><w:t xml:space="preserve">Optimizer runtime</w:t></w:r></w:p></w:tc><w:tc><w:tcPr><w:tcW w:type="dxa" w:w="7200"/><w:tcMar><w:top w:type="dxa" w:w="60"/><w:left w:type="dxa" w:w="120"/><w:bottom w:type="dxa" w:w="60"/><w:right w:type="dxa" w:w="120"/></w:tcMar></w:tcPr><w:p><w:r><w:rPr><w:color w:val="0F172A"/><w:sz w:val="20"/><w:szCs w:val="20"/></w:rPr><w:t xml:space="preserve">Production adapter</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Margin operations, collateral management, counterparty risk, and controls teams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4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margin_call_workflow</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margin_call_capacity_triage</w:t></w:r></w:p></w:tc></w:tr></w:tbl><w:p><w:pPr><w:spacing w:after="120"/></w:pPr><w:r><w:t xml:space="preserve"></w:t></w:r></w:p><w:p><w:pPr><w:pStyle w:val="Heading3"/></w:pPr><w:r><w:t xml:space="preserve">How to Run</w:t></w:r></w:p><w:p><w:pPr><w:spacing w:after="120"/></w:pPr><w:r><w:rPr><w:color w:val="0F172A"/><w:sz w:val="22"/><w:szCs w:val="22"/></w:rPr><w:t xml:space="preserve">Select &quot;Margin Call Capacity Triage&quot; in the workflow selector. Run the workflow and examine assigned vs deferred calls and escalation evidence.</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Margin workflow appears in the workflow selector</w:t></w:r></w:p><w:p><w:pPr><w:pStyle w:val="ListParagraph"/><w:numPr><w:ilvl w:val="0"/><w:numId w:val="1"/></w:numPr><w:spacing w:after="80"/></w:pPr><w:r><w:rPr><w:color w:val="0F172A"/><w:sz w:val="21"/><w:szCs w:val="21"/></w:rPr><w:t xml:space="preserve">Production adapter run completes with assigned and deferred call actions</w:t></w:r></w:p><w:p><w:pPr><w:pStyle w:val="ListParagraph"/><w:numPr><w:ilvl w:val="0"/><w:numId w:val="1"/></w:numPr><w:spacing w:after="80"/></w:pPr><w:r><w:rPr><w:color w:val="0F172A"/><w:sz w:val="21"/><w:szCs w:val="21"/></w:rPr><w:t xml:space="preserve">Evidence export includes operational margin queue rows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Start with a margin-call queue that exceeds available operations capacity</w:t></w:r></w:p><w:p><w:pPr><w:pStyle w:val="ListParagraph"/><w:numPr><w:ilvl w:val="0"/><w:numId w:val="1"/></w:numPr><w:spacing w:after="80"/></w:pPr><w:r><w:rPr><w:color w:val="0F172A"/><w:sz w:val="21"/><w:szCs w:val="21"/></w:rPr><w:t xml:space="preserve">Explain the priority score using exposure, SLA urgency, dispute probability, and counterparty tier</w:t></w:r></w:p><w:p><w:pPr><w:pStyle w:val="ListParagraph"/><w:numPr><w:ilvl w:val="0"/><w:numId w:val="1"/></w:numPr><w:spacing w:after="80"/></w:pPr><w:r><w:rPr><w:color w:val="0F172A"/><w:sz w:val="21"/><w:szCs w:val="21"/></w:rPr><w:t xml:space="preserve">Show assigned calls, deferred calls, and evidence for escalation or deferral</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Treasury MMF Policy Optimization</w:t></w:r></w:p></w:tc><w:tc><w:tcPr><w:tcW w:type="dxa" w:w="1800"/><w:shd w:fill="B45309" w:val="clear"/><w:tcMar><w:top w:type="dxa" w:w="100"/><w:left w:type="dxa" w:w="80"/><w:bottom w:type="dxa" w:w="100"/><w:right w:type="dxa" w:w="80"/></w:tcMar><w:vAlign w:val="center"/></w:tcPr><w:p><w:pPr><w:jc w:val="center"/></w:pPr><w:r><w:rPr><w:b/><w:bCs/><w:color w:val="FFFFFF"/><w:sz w:val="19"/><w:szCs w:val="19"/></w:rPr><w:t xml:space="preserve">Policy Ingestion</w:t></w:r></w:p></w:tc></w:tr></w:tbl><w:p><w:pPr><w:spacing w:after="80"/></w:pPr><w:r><w:t xml:space="preserve"></w:t></w:r></w:p><w:p><w:pPr><w:spacing w:after="100"/></w:pPr><w:r><w:rPr><w:i/><w:iCs/><w:color w:val="64748B"/><w:sz w:val="22"/><w:szCs w:val="22"/></w:rPr><w:t xml:space="preserve">A money-market desk walkthrough where a PDF policy document is uploaded and parsed to extract cash, liquidity, WAM, prime fraction, and concentration controls — which then become the live optimizer inputs. Demonstrates end-to-end policy-to-allocation automation.</w:t></w:r></w:p><w:p><w:pPr><w:spacing w:after="80"/></w:pPr><w:r><w:t xml:space="preserve"></w:t></w:r></w:p><w:p><w:pPr><w:pStyle w:val="Heading3"/></w:pPr><w:r><w:t xml:space="preserve">Business Problem</w:t></w:r></w:p><w:p><w:pPr><w:spacing w:after="120"/></w:pPr><w:r><w:rPr><w:color w:val="0F172A"/><w:sz w:val="22"/><w:szCs w:val="22"/></w:rPr><w:t xml:space="preserve">A money-market portfolio manager wants to run an optimization constrained by the desk&apos;s standing policy document rather than manually entering parameters. The ingestion pipeline extracts the constraints, flags them for review, and passes them to the optimizer.</w:t></w:r></w:p><w:p><w:pPr><w:spacing w:after="80"/></w:pPr><w:r><w:t xml:space="preserve"></w:t></w:r></w:p><w:p><w:pPr><w:pStyle w:val="Heading3"/></w:pPr><w:r><w:t xml:space="preserve">Key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Total cash</w:t></w:r></w:p></w:tc><w:tc><w:tcPr><w:tcW w:type="dxa" w:w="7200"/><w:tcMar><w:top w:type="dxa" w:w="60"/><w:left w:type="dxa" w:w="120"/><w:bottom w:type="dxa" w:w="60"/><w:right w:type="dxa" w:w="120"/></w:tcMar></w:tcPr><w:p><w:r><w:rPr><w:color w:val="0F172A"/><w:sz w:val="20"/><w:szCs w:val="20"/></w:rPr><w:t xml:space="preserve">$625 million</w:t></w:r></w:p></w:tc></w:tr><w:tr><w:tc><w:tcPr><w:tcW w:type="dxa" w:w="2160"/><w:shd w:fill="EFF6FF" w:val="clear"/><w:tcMar><w:top w:type="dxa" w:w="60"/><w:left w:type="dxa" w:w="120"/><w:bottom w:type="dxa" w:w="60"/><w:right w:type="dxa" w:w="120"/></w:tcMar></w:tcPr><w:p><w:r><w:rPr><w:b/><w:bCs/><w:color w:val="1E3A5F"/><w:sz w:val="20"/><w:szCs w:val="20"/></w:rPr><w:t xml:space="preserve">Daily liquidity</w:t></w:r></w:p></w:tc><w:tc><w:tcPr><w:tcW w:type="dxa" w:w="7200"/><w:tcMar><w:top w:type="dxa" w:w="60"/><w:left w:type="dxa" w:w="120"/><w:bottom w:type="dxa" w:w="60"/><w:right w:type="dxa" w:w="120"/></w:tcMar></w:tcPr><w:p><w:r><w:rPr><w:color w:val="0F172A"/><w:sz w:val="20"/><w:szCs w:val="20"/></w:rPr><w:t xml:space="preserve">32%</w:t></w:r></w:p></w:tc></w:tr><w:tr><w:tc><w:tcPr><w:tcW w:type="dxa" w:w="2160"/><w:shd w:fill="EFF6FF" w:val="clear"/><w:tcMar><w:top w:type="dxa" w:w="60"/><w:left w:type="dxa" w:w="120"/><w:bottom w:type="dxa" w:w="60"/><w:right w:type="dxa" w:w="120"/></w:tcMar></w:tcPr><w:p><w:r><w:rPr><w:b/><w:bCs/><w:color w:val="1E3A5F"/><w:sz w:val="20"/><w:szCs w:val="20"/></w:rPr><w:t xml:space="preserve">Weekly liquidity</w:t></w:r></w:p></w:tc><w:tc><w:tcPr><w:tcW w:type="dxa" w:w="7200"/><w:tcMar><w:top w:type="dxa" w:w="60"/><w:left w:type="dxa" w:w="120"/><w:bottom w:type="dxa" w:w="60"/><w:right w:type="dxa" w:w="120"/></w:tcMar></w:tcPr><w:p><w:r><w:rPr><w:color w:val="0F172A"/><w:sz w:val="20"/><w:szCs w:val="20"/></w:rPr><w:t xml:space="preserve">68%</w:t></w:r></w:p></w:tc></w:tr><w:tr><w:tc><w:tcPr><w:tcW w:type="dxa" w:w="2160"/><w:shd w:fill="EFF6FF" w:val="clear"/><w:tcMar><w:top w:type="dxa" w:w="60"/><w:left w:type="dxa" w:w="120"/><w:bottom w:type="dxa" w:w="60"/><w:right w:type="dxa" w:w="120"/></w:tcMar></w:tcPr><w:p><w:r><w:rPr><w:b/><w:bCs/><w:color w:val="1E3A5F"/><w:sz w:val="20"/><w:szCs w:val="20"/></w:rPr><w:t xml:space="preserve">Max prime fraction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Max WAM</w:t></w:r></w:p></w:tc><w:tc><w:tcPr><w:tcW w:type="dxa" w:w="7200"/><w:tcMar><w:top w:type="dxa" w:w="60"/><w:left w:type="dxa" w:w="120"/><w:bottom w:type="dxa" w:w="60"/><w:right w:type="dxa" w:w="120"/></w:tcMar></w:tcPr><w:p><w:r><w:rPr><w:color w:val="0F172A"/><w:sz w:val="20"/><w:szCs w:val="20"/></w:rPr><w:t xml:space="preserve">50 days</w:t></w:r></w:p></w:tc></w:tr><w:tr><w:tc><w:tcPr><w:tcW w:type="dxa" w:w="2160"/><w:shd w:fill="EFF6FF" w:val="clear"/><w:tcMar><w:top w:type="dxa" w:w="60"/><w:left w:type="dxa" w:w="120"/><w:bottom w:type="dxa" w:w="60"/><w:right w:type="dxa" w:w="120"/></w:tcMar></w:tcPr><w:p><w:r><w:rPr><w:b/><w:bCs/><w:color w:val="1E3A5F"/><w:sz w:val="20"/><w:szCs w:val="20"/></w:rPr><w:t xml:space="preserve">Max single fund</w:t></w:r></w:p></w:tc><w:tc><w:tcPr><w:tcW w:type="dxa" w:w="7200"/><w:tcMar><w:top w:type="dxa" w:w="60"/><w:left w:type="dxa" w:w="120"/><w:bottom w:type="dxa" w:w="60"/><w:right w:type="dxa" w:w="120"/></w:tcMar></w:tcPr><w:p><w:r><w:rPr><w:color w:val="0F172A"/><w:sz w:val="20"/><w:szCs w:val="20"/></w:rPr><w:t xml:space="preserve">40%</w:t></w:r></w:p></w:tc></w:tr><w:tr><w:tc><w:tcPr><w:tcW w:type="dxa" w:w="2160"/><w:shd w:fill="EFF6FF" w:val="clear"/><w:tcMar><w:top w:type="dxa" w:w="60"/><w:left w:type="dxa" w:w="120"/><w:bottom w:type="dxa" w:w="60"/><w:right w:type="dxa" w:w="120"/></w:tcMar></w:tcPr><w:p><w:r><w:rPr><w:b/><w:bCs/><w:color w:val="1E3A5F"/><w:sz w:val="20"/><w:szCs w:val="20"/></w:rPr><w:t xml:space="preserve">Max funds</w:t></w:r></w:p></w:tc><w:tc><w:tcPr><w:tcW w:type="dxa" w:w="7200"/><w:tcMar><w:top w:type="dxa" w:w="60"/><w:left w:type="dxa" w:w="120"/><w:bottom w:type="dxa" w:w="60"/><w:right w:type="dxa" w:w="120"/></w:tcMar></w:tcPr><w:p><w:r><w:rPr><w:color w:val="0F172A"/><w:sz w:val="20"/><w:szCs w:val="20"/></w:rPr><w:t xml:space="preserve">4</w:t></w:r></w:p></w:tc></w:tr><w:tr><w:tc><w:tcPr><w:tcW w:type="dxa" w:w="2160"/><w:shd w:fill="EFF6FF" w:val="clear"/><w:tcMar><w:top w:type="dxa" w:w="60"/><w:left w:type="dxa" w:w="120"/><w:bottom w:type="dxa" w:w="60"/><w:right w:type="dxa" w:w="120"/></w:tcMar></w:tcPr><w:p><w:r><w:rPr><w:b/><w:bCs/><w:color w:val="1E3A5F"/><w:sz w:val="20"/><w:szCs w:val="20"/></w:rPr><w:t xml:space="preserve">Min allocation per fund</w:t></w:r></w:p></w:tc><w:tc><w:tcPr><w:tcW w:type="dxa" w:w="7200"/><w:tcMar><w:top w:type="dxa" w:w="60"/><w:left w:type="dxa" w:w="120"/><w:bottom w:type="dxa" w:w="60"/><w:right w:type="dxa" w:w="120"/></w:tcMar></w:tcPr><w:p><w:r><w:rPr><w:color w:val="0F172A"/><w:sz w:val="20"/><w:szCs w:val="20"/></w:rPr><w:t xml:space="preserve">5%</w:t></w:r></w:p></w:tc></w:tr><w:tr><w:tc><w:tcPr><w:tcW w:type="dxa" w:w="2160"/><w:shd w:fill="EFF6FF" w:val="clear"/><w:tcMar><w:top w:type="dxa" w:w="60"/><w:left w:type="dxa" w:w="120"/><w:bottom w:type="dxa" w:w="60"/><w:right w:type="dxa" w:w="120"/></w:tcMar></w:tcPr><w:p><w:r><w:rPr><w:b/><w:bCs/><w:color w:val="1E3A5F"/><w:sz w:val="20"/><w:szCs w:val="20"/></w:rPr><w:t xml:space="preserve">Policy source</w:t></w:r></w:p></w:tc><w:tc><w:tcPr><w:tcW w:type="dxa" w:w="7200"/><w:tcMar><w:top w:type="dxa" w:w="60"/><w:left w:type="dxa" w:w="120"/><w:bottom w:type="dxa" w:w="60"/><w:right w:type="dxa" w:w="120"/></w:tcMar></w:tcPr><w:p><w:r><w:rPr><w:color w:val="0F172A"/><w:sz w:val="20"/><w:szCs w:val="20"/></w:rPr><w:t xml:space="preserve">examples/policies/sample_money_market_policy.pdf</w:t></w:r></w:p></w:tc></w:tr></w:tbl><w:p><w:pPr><w:spacing w:after="120"/></w:pPr><w:r><w:t xml:space="preserve"></w:t></w:r></w:p><w:p><w:pPr><w:pStyle w:val="Heading3"/></w:pPr><w:r><w:t xml:space="preserve">Audience &amp; Duration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Audience</w:t></w:r></w:p></w:tc><w:tc><w:tcPr><w:tcW w:type="dxa" w:w="7200"/><w:tcMar><w:top w:type="dxa" w:w="60"/><w:left w:type="dxa" w:w="120"/><w:bottom w:type="dxa" w:w="60"/><w:right w:type="dxa" w:w="120"/></w:tcMar></w:tcPr><w:p><w:r><w:rPr><w:color w:val="0F172A"/><w:sz w:val="20"/><w:szCs w:val="20"/></w:rPr><w:t xml:space="preserve">Treasury portfolio managers, liquidity risk, investment operations, and control teams</w:t></w:r></w:p></w:tc></w:tr><w:tr><w:tc><w:tcPr><w:tcW w:type="dxa" w:w="2160"/><w:shd w:fill="EFF6FF" w:val="clear"/><w:tcMar><w:top w:type="dxa" w:w="60"/><w:left w:type="dxa" w:w="120"/><w:bottom w:type="dxa" w:w="60"/><w:right w:type="dxa" w:w="120"/></w:tcMar></w:tcPr><w:p><w:r><w:rPr><w:b/><w:bCs/><w:color w:val="1E3A5F"/><w:sz w:val="20"/><w:szCs w:val="20"/></w:rPr><w:t xml:space="preserve">Duration</w:t></w:r></w:p></w:tc><w:tc><w:tcPr><w:tcW w:type="dxa" w:w="7200"/><w:tcMar><w:top w:type="dxa" w:w="60"/><w:left w:type="dxa" w:w="120"/><w:bottom w:type="dxa" w:w="60"/><w:right w:type="dxa" w:w="120"/></w:tcMar></w:tcPr><w:p><w:r><w:rPr><w:color w:val="0F172A"/><w:sz w:val="20"/><w:szCs w:val="20"/></w:rPr><w:t xml:space="preserve">5 minutes</w:t></w:r></w:p></w:tc></w:tr><w:tr><w:tc><w:tcPr><w:tcW w:type="dxa" w:w="2160"/><w:shd w:fill="EFF6FF" w:val="clear"/><w:tcMar><w:top w:type="dxa" w:w="60"/><w:left w:type="dxa" w:w="120"/><w:bottom w:type="dxa" w:w="60"/><w:right w:type="dxa" w:w="120"/></w:tcMar></w:tcPr><w:p><w:r><w:rPr><w:b/><w:bCs/><w:color w:val="1E3A5F"/><w:sz w:val="20"/><w:szCs w:val="20"/></w:rPr><w:t xml:space="preserve">Workflow ID</w:t></w:r></w:p></w:tc><w:tc><w:tcPr><w:tcW w:type="dxa" w:w="7200"/><w:tcMar><w:top w:type="dxa" w:w="60"/><w:left w:type="dxa" w:w="120"/><w:bottom w:type="dxa" w:w="60"/><w:right w:type="dxa" w:w="120"/></w:tcMar></w:tcPr><w:p><w:r><w:rPr><w:color w:val="0F172A"/><w:sz w:val="20"/><w:szCs w:val="20"/></w:rPr><w:t xml:space="preserve">money_market_policy_optimization</w:t></w:r></w:p></w:tc></w:tr><w:tr><w:tc><w:tcPr><w:tcW w:type="dxa" w:w="2160"/><w:shd w:fill="EFF6FF" w:val="clear"/><w:tcMar><w:top w:type="dxa" w:w="60"/><w:left w:type="dxa" w:w="120"/><w:bottom w:type="dxa" w:w="60"/><w:right w:type="dxa" w:w="120"/></w:tcMar></w:tcPr><w:p><w:r><w:rPr><w:b/><w:bCs/><w:color w:val="1E3A5F"/><w:sz w:val="20"/><w:szCs w:val="20"/></w:rPr><w:t xml:space="preserve">Preset ID</w:t></w:r></w:p></w:tc><w:tc><w:tcPr><w:tcW w:type="dxa" w:w="7200"/><w:tcMar><w:top w:type="dxa" w:w="60"/><w:left w:type="dxa" w:w="120"/><w:bottom w:type="dxa" w:w="60"/><w:right w:type="dxa" w:w="120"/></w:tcMar></w:tcPr><w:p><w:r><w:rPr><w:color w:val="0F172A"/><w:sz w:val="20"/><w:szCs w:val="20"/></w:rPr><w:t xml:space="preserve">treasury_mmf_policy_optimization</w:t></w:r></w:p></w:tc></w:tr></w:tbl><w:p><w:pPr><w:spacing w:after="120"/></w:pPr><w:r><w:t xml:space="preserve"></w:t></w:r></w:p><w:p><w:pPr><w:pStyle w:val="Heading3"/></w:pPr><w:r><w:t xml:space="preserve">How to Run</w:t></w:r></w:p><w:p><w:pPr><w:spacing w:after="120"/></w:pPr><w:r><w:rPr><w:color w:val="0F172A"/><w:sz w:val="22"/><w:szCs w:val="22"/></w:rPr><w:t xml:space="preserve">Select &quot;Treasury MMF Policy Optimization&quot;. Upload or reference the policy PDF. Review extracted fields and apply them to the workflow, then run.</w:t></w:r></w:p><w:p><w:pPr><w:spacing w:after="80"/></w:pPr><w:r><w:t xml:space="preserve"></w:t></w:r></w:p><w:p><w:pPr><w:pStyle w:val="Heading3"/></w:pPr><w:r><w:t xml:space="preserve">Success Criteria</w:t></w:r></w:p><w:p><w:pPr><w:pStyle w:val="ListParagraph"/><w:numPr><w:ilvl w:val="0"/><w:numId w:val="1"/></w:numPr><w:spacing w:after="80"/></w:pPr><w:r><w:rPr><w:color w:val="0F172A"/><w:sz w:val="21"/><w:szCs w:val="21"/></w:rPr><w:t xml:space="preserve">PDF policy fields extracted and mapped to money-market workflow inputs</w:t></w:r></w:p><w:p><w:pPr><w:pStyle w:val="ListParagraph"/><w:numPr><w:ilvl w:val="0"/><w:numId w:val="1"/></w:numPr><w:spacing w:after="80"/></w:pPr><w:r><w:rPr><w:color w:val="0F172A"/><w:sz w:val="21"/><w:szCs w:val="21"/></w:rPr><w:t xml:space="preserve">Money-market workflow completes with production adapter available</w:t></w:r></w:p><w:p><w:pPr><w:pStyle w:val="ListParagraph"/><w:numPr><w:ilvl w:val="0"/><w:numId w:val="1"/></w:numPr><w:spacing w:after="80"/></w:pPr><w:r><w:rPr><w:color w:val="0F172A"/><w:sz w:val="21"/><w:szCs w:val="21"/></w:rPr><w:t xml:space="preserve">Before/after analytics show yield, liquidity, WAM, prime, and allocation outputs</w:t></w:r></w:p><w:p><w:pPr><w:spacing w:after="80"/></w:pPr><w:r><w:t xml:space="preserve"></w:t></w:r></w:p><w:p><w:pPr><w:pStyle w:val="Heading3"/></w:pPr><w:r><w:t xml:space="preserve">Talking Points</w:t></w:r></w:p><w:p><w:pPr><w:pStyle w:val="ListParagraph"/><w:numPr><w:ilvl w:val="0"/><w:numId w:val="1"/></w:numPr><w:spacing w:after="80"/></w:pPr><w:r><w:rPr><w:color w:val="0F172A"/><w:sz w:val="21"/><w:szCs w:val="21"/></w:rPr><w:t xml:space="preserve">Upload the money-market portfolio PDF and ingest constraints</w:t></w:r></w:p><w:p><w:pPr><w:pStyle w:val="ListParagraph"/><w:numPr><w:ilvl w:val="0"/><w:numId w:val="1"/></w:numPr><w:spacing w:after="80"/></w:pPr><w:r><w:rPr><w:color w:val="0F172A"/><w:sz w:val="21"/><w:szCs w:val="21"/></w:rPr><w:t xml:space="preserve">Use local Ollama to explain the policy in plain English while deterministic validation keeps fields structured</w:t></w:r></w:p><w:p><w:pPr><w:pStyle w:val="ListParagraph"/><w:numPr><w:ilvl w:val="0"/><w:numId w:val="1"/></w:numPr><w:spacing w:after="80"/></w:pPr><w:r><w:rPr><w:color w:val="0F172A"/><w:sz w:val="21"/><w:szCs w:val="21"/></w:rPr><w:t xml:space="preserve">Compare baseline versus optimized yield, liquidity profile, WAM, and fund concentration</w:t></w:r></w:p><w:p><w:pPr><w:spacing w:after="160"/></w:pPr><w:r><w:t xml:space="preserve"></w:t></w:r></w:p><w:p><w:pPr><w:pBdr><w:bottom w:val="single" w:color="CBD5E1" w:sz="4" w:space="1"/></w:pBdr><w:spacing w:after="160"/></w:pPr><w:r><w:t xml:space="preserve"></w:t></w:r></w:p><w:p><w:pPr><w:spacing w:after="80"/></w:pPr><w:r><w:t xml:space="preserve"></w:t></w:r></w:p><w:p><w:r><w:br w:type="page"/></w:r></w:p><w:p><w:pPr><w:pStyle w:val="Heading1"/></w:pPr><w:r><w:t xml:space="preserve">Terminal Example Scripts</w:t></w:r></w:p><w:p><w:pPr><w:spacing w:after="120"/></w:pPr><w:r><w:rPr><w:color w:val="0F172A"/><w:sz w:val="22"/><w:szCs w:val="22"/></w:rPr><w:t xml:space="preserve">These Python scripts run from the repository root and require no browser or API server. They demonstrate specific platform capabilities in a deterministic, camera-ready terminal output.</w:t></w:r></w:p><w:p><w:pPr><w:spacing w:after="1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run_poc_video_demo.py — Presenter POC Demo</w:t></w:r></w:p></w:tc><w:tc><w:tcPr><w:tcW w:type="dxa" w:w="1800"/><w:shd w:fill="B45309" w:val="clear"/><w:tcMar><w:top w:type="dxa" w:w="100"/><w:left w:type="dxa" w:w="80"/><w:bottom w:type="dxa" w:w="100"/><w:right w:type="dxa" w:w="80"/></w:tcMar><w:vAlign w:val="center"/></w:tcPr><w:p><w:pPr><w:jc w:val="center"/></w:pPr><w:r><w:rPr><w:b/><w:bCs/><w:color w:val="FFFFFF"/><w:sz w:val="19"/><w:szCs w:val="19"/></w:rPr><w:t xml:space="preserve">Video Script</w:t></w:r></w:p></w:tc></w:tr></w:tbl><w:p><w:pPr><w:spacing w:after="80"/></w:pPr><w:r><w:t xml:space="preserve"></w:t></w:r></w:p><w:p><w:pPr><w:spacing w:after="120"/></w:pPr><w:r><w:rPr><w:color w:val="0F172A"/><w:sz w:val="22"/><w:szCs w:val="22"/></w:rPr><w:t xml:space="preserve">The primary proof-of-concept script. Walks through three acts in sequence: guided chat intake with MILP fund selection, solver backend comparison, and the executive sequential workflow with dependency propagation. Designed for a short presentation video.</w:t></w:r></w:p><w:p><w:pPr><w:spacing w:after="80"/></w:pPr><w:r><w:t xml:space="preserve"></w:t></w:r></w:p><w:p><w:pPr><w:pStyle w:val="Heading3"/></w:pPr><w:r><w:t xml:space="preserve">Act 1: Guided Chat Intake + MILP</w:t></w:r></w:p><w:p><w:pPr><w:spacing w:after="120"/></w:pPr><w:r><w:rPr><w:color w:val="0F172A"/><w:sz w:val="22"/><w:szCs w:val="22"/></w:rPr><w:t xml:space="preserve">A ChatSession is constructed and driven through a scripted conversation that collects all money-market parameters interactively — portfolio ID, notional, liquidity requirements, WAM, prime concentration, max funds, and solver backend. After all fields are collected, an OptimizationRequest is compiled and executed with the SciPy MILP solver. The terminal shows the compiled request and the resulting fund selection table.</w:t></w:r></w:p><w:p><w:pPr><w:pStyle w:val="ListParagraph"/><w:numPr><w:ilvl w:val="0"/><w:numId w:val="1"/></w:numPr><w:spacing w:after="80"/></w:pPr><w:r><w:rPr><w:color w:val="0F172A"/><w:sz w:val="21"/><w:szCs w:val="21"/></w:rPr><w:t xml:space="preserve">Input: 13 scripted conversation turns</w:t></w:r></w:p><w:p><w:pPr><w:pStyle w:val="ListParagraph"/><w:numPr><w:ilvl w:val="0"/><w:numId w:val="1"/></w:numPr><w:spacing w:after="80"/></w:pPr><w:r><w:rPr><w:color w:val="0F172A"/><w:sz w:val="21"/><w:szCs w:val="21"/></w:rPr><w:t xml:space="preserve">Output: Compiled OptimizationRequest table, MILP result panel with selected funds, fund-level allocations with yield and WAM</w:t></w:r></w:p><w:p><w:pPr><w:pStyle w:val="ListParagraph"/><w:numPr><w:ilvl w:val="0"/><w:numId w:val="1"/></w:numPr><w:spacing w:after="80"/></w:pPr><w:r><w:rPr><w:color w:val="0F172A"/><w:sz w:val="21"/><w:szCs w:val="21"/></w:rPr><w:t xml:space="preserve">Key proof point: The agent turns plain-language input into a structured, executable optimization request</w:t></w:r></w:p><w:p><w:pPr><w:spacing w:after="80"/></w:pPr><w:r><w:t xml:space="preserve"></w:t></w:r></w:p><w:p><w:pPr><w:pStyle w:val="Heading3"/></w:pPr><w:r><w:t xml:space="preserve">Act 2: Solver Backend Comparison</w:t></w:r></w:p><w:p><w:pPr><w:spacing w:after="120"/></w:pPr><w:r><w:rPr><w:color w:val="0F172A"/><w:sz w:val="22"/><w:szCs w:val="22"/></w:rPr><w:t xml:space="preserve">The same money-market problem is solved three times — SciPy LP, SciPy MILP (with max_funds=3 and min_allocation=10%), and CVXPY LP — and results are printed in a side-by-side comparison table. Shows that the solver layer is pluggable without changing the business problem formulation.</w:t></w:r></w:p><w:p><w:pPr><w:pStyle w:val="ListParagraph"/><w:numPr><w:ilvl w:val="0"/><w:numId w:val="1"/></w:numPr><w:spacing w:after="80"/></w:pPr><w:r><w:rPr><w:color w:val="0F172A"/><w:sz w:val="21"/><w:szCs w:val="21"/></w:rPr><w:t xml:space="preserve">Input: Identical money-market request sent to three backends</w:t></w:r></w:p><w:p><w:pPr><w:pStyle w:val="ListParagraph"/><w:numPr><w:ilvl w:val="0"/><w:numId w:val="1"/></w:numPr><w:spacing w:after="80"/></w:pPr><w:r><w:rPr><w:color w:val="0F172A"/><w:sz w:val="21"/><w:szCs w:val="21"/></w:rPr><w:t xml:space="preserve">Output: Comparison table showing status, solver, objective, improvement %, funds used, and top allocations</w:t></w:r></w:p><w:p><w:pPr><w:pStyle w:val="ListParagraph"/><w:numPr><w:ilvl w:val="0"/><w:numId w:val="1"/></w:numPr><w:spacing w:after="80"/></w:pPr><w:r><w:rPr><w:color w:val="0F172A"/><w:sz w:val="21"/><w:szCs w:val="21"/></w:rPr><w:t xml:space="preserve">Key proof point: Solver backend and problem type are explicit parameters, not hidden code paths</w:t></w:r></w:p><w:p><w:pPr><w:spacing w:after="80"/></w:pPr><w:r><w:t xml:space="preserve"></w:t></w:r></w:p><w:p><w:pPr><w:pStyle w:val="Heading3"/></w:pPr><w:r><w:t xml:space="preserve">Act 3: Executive Sequential Workflow</w:t></w:r></w:p><w:p><w:pPr><w:spacing w:after="120"/></w:pPr><w:r><w:rPr><w:color w:val="0F172A"/><w:sz w:val="22"/><w:szCs w:val="22"/></w:rPr><w:t xml:space="preserve">Loads the institutional_csv_liquidity_stress demo preset, builds the sequential workflow plan (Financing → Collateral → Money Market), runs all three steps, and prints the workflow timeline, dependency effects table, explanation report, and talking points from the preset YAML.</w:t></w:r></w:p><w:p><w:pPr><w:pStyle w:val="ListParagraph"/><w:numPr><w:ilvl w:val="0"/><w:numId w:val="1"/></w:numPr><w:spacing w:after="80"/></w:pPr><w:r><w:rPr><w:color w:val="0F172A"/><w:sz w:val="21"/><w:szCs w:val="21"/></w:rPr><w:t xml:space="preserve">Input: institutional_csv_liquidity_stress.yaml preset</w:t></w:r></w:p><w:p><w:pPr><w:pStyle w:val="ListParagraph"/><w:numPr><w:ilvl w:val="0"/><w:numId w:val="1"/></w:numPr><w:spacing w:after="80"/></w:pPr><w:r><w:rPr><w:color w:val="0F172A"/><w:sz w:val="21"/><w:szCs w:val="21"/></w:rPr><w:t xml:space="preserve">Output: Workflow timeline, dependency effects table, explanation summary, next actions, success criteria</w:t></w:r></w:p><w:p><w:pPr><w:pStyle w:val="ListParagraph"/><w:numPr><w:ilvl w:val="0"/><w:numId w:val="1"/></w:numPr><w:spacing w:after="80"/></w:pPr><w:r><w:rPr><w:color w:val="0F172A"/><w:sz w:val="21"/><w:szCs w:val="21"/></w:rPr><w:t xml:space="preserve">Key proof point: Sequential optimizer steps share state — upstream stress raises downstream constraints</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Run command</w:t></w:r></w:p></w:tc><w:tc><w:tcPr><w:tcW w:type="dxa" w:w="7200"/><w:tcMar><w:top w:type="dxa" w:w="60"/><w:left w:type="dxa" w:w="120"/><w:bottom w:type="dxa" w:w="60"/><w:right w:type="dxa" w:w="120"/></w:tcMar></w:tcPr><w:p><w:r><w:rPr><w:color w:val="0F172A"/><w:sz w:val="20"/><w:szCs w:val="20"/></w:rPr><w:t xml:space="preserve">python examples/run_poc_video_demo.py</w:t></w:r></w:p></w:tc></w:tr><w:tr><w:tc><w:tcPr><w:tcW w:type="dxa" w:w="2160"/><w:shd w:fill="EFF6FF" w:val="clear"/><w:tcMar><w:top w:type="dxa" w:w="60"/><w:left w:type="dxa" w:w="120"/><w:bottom w:type="dxa" w:w="60"/><w:right w:type="dxa" w:w="120"/></w:tcMar></w:tcPr><w:p><w:r><w:rPr><w:b/><w:bCs/><w:color w:val="1E3A5F"/><w:sz w:val="20"/><w:szCs w:val="20"/></w:rPr><w:t xml:space="preserve">Also via</w:t></w:r></w:p></w:tc><w:tc><w:tcPr><w:tcW w:type="dxa" w:w="7200"/><w:tcMar><w:top w:type="dxa" w:w="60"/><w:left w:type="dxa" w:w="120"/><w:bottom w:type="dxa" w:w="60"/><w:right w:type="dxa" w:w="120"/></w:tcMar></w:tcPr><w:p><w:r><w:rPr><w:color w:val="0F172A"/><w:sz w:val="20"/><w:szCs w:val="20"/></w:rPr><w:t xml:space="preserve">make demo-video</w:t></w:r></w:p></w:tc></w:tr><w:tr><w:tc><w:tcPr><w:tcW w:type="dxa" w:w="2160"/><w:shd w:fill="EFF6FF" w:val="clear"/><w:tcMar><w:top w:type="dxa" w:w="60"/><w:left w:type="dxa" w:w="120"/><w:bottom w:type="dxa" w:w="60"/><w:right w:type="dxa" w:w="120"/></w:tcMar></w:tcPr><w:p><w:r><w:rPr><w:b/><w:bCs/><w:color w:val="1E3A5F"/><w:sz w:val="20"/><w:szCs w:val="20"/></w:rPr><w:t xml:space="preserve">Runtime</w:t></w:r></w:p></w:tc><w:tc><w:tcPr><w:tcW w:type="dxa" w:w="7200"/><w:tcMar><w:top w:type="dxa" w:w="60"/><w:left w:type="dxa" w:w="120"/><w:bottom w:type="dxa" w:w="60"/><w:right w:type="dxa" w:w="120"/></w:tcMar></w:tcPr><w:p><w:r><w:rPr><w:color w:val="0F172A"/><w:sz w:val="20"/><w:szCs w:val="20"/></w:rPr><w:t xml:space="preserve">~2 minutes (deterministic, no network)</w:t></w:r></w:p></w:tc></w:tr><w:tr><w:tc><w:tcPr><w:tcW w:type="dxa" w:w="2160"/><w:shd w:fill="EFF6FF" w:val="clear"/><w:tcMar><w:top w:type="dxa" w:w="60"/><w:left w:type="dxa" w:w="120"/><w:bottom w:type="dxa" w:w="60"/><w:right w:type="dxa" w:w="120"/></w:tcMar></w:tcPr><w:p><w:r><w:rPr><w:b/><w:bCs/><w:color w:val="1E3A5F"/><w:sz w:val="20"/><w:szCs w:val="20"/></w:rPr><w:t xml:space="preserve">Requires</w:t></w:r></w:p></w:tc><w:tc><w:tcPr><w:tcW w:type="dxa" w:w="7200"/><w:tcMar><w:top w:type="dxa" w:w="60"/><w:left w:type="dxa" w:w="120"/><w:bottom w:type="dxa" w:w="60"/><w:right w:type="dxa" w:w="120"/></w:tcMar></w:tcPr><w:p><w:r><w:rPr><w:color w:val="0F172A"/><w:sz w:val="20"/><w:szCs w:val="20"/></w:rPr><w:t xml:space="preserve">pip install -e &quot;[dev]&quot;</w:t></w:r></w:p></w:tc></w:tr></w:tbl><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run_demo.py — Core Domain Demo</w:t></w:r></w:p></w:tc><w:tc><w:tcPr><w:tcW w:type="dxa" w:w="1800"/><w:shd w:fill="B45309" w:val="clear"/><w:tcMar><w:top w:type="dxa" w:w="100"/><w:left w:type="dxa" w:w="80"/><w:bottom w:type="dxa" w:w="100"/><w:right w:type="dxa" w:w="80"/></w:tcMar><w:vAlign w:val="center"/></w:tcPr><w:p><w:pPr><w:jc w:val="center"/></w:pPr><w:r><w:rPr><w:b/><w:bCs/><w:color w:val="FFFFFF"/><w:sz w:val="19"/><w:szCs w:val="19"/></w:rPr><w:t xml:space="preserve">Foundation</w:t></w:r></w:p></w:tc></w:tr></w:tbl><w:p><w:pPr><w:spacing w:after="80"/></w:pPr><w:r><w:t xml:space="preserve"></w:t></w:r></w:p><w:p><w:pPr><w:spacing w:after="120"/></w:pPr><w:r><w:rPr><w:color w:val="0F172A"/><w:sz w:val="22"/><w:szCs w:val="22"/></w:rPr><w:t xml:space="preserve">The foundational demonstration script. Runs the three original optimizer domains — Collateral, Money Market, and Financing — in sequence using simulated data. Each domain shows allocations, sensitivity analysis, and scenario results. No sequential workflow dependency propagation; each domain is solved independently.</w:t></w:r></w:p><w:p><w:pPr><w:spacing w:after="80"/></w:pPr><w:r><w:t xml:space="preserve"></w:t></w:r></w:p><w:p><w:pPr><w:pStyle w:val="Heading3"/></w:pPr><w:r><w:t xml:space="preserve">Collateral Domain</w:t></w:r></w:p><w:p><w:pPr><w:spacing w:after="120"/></w:pPr><w:r><w:rPr><w:color w:val="0F172A"/><w:sz w:val="22"/><w:szCs w:val="22"/></w:rPr><w:t xml:space="preserve">Minimizes funding cost across 20 simulated collateral assets against obligations. Runs two scenarios: a 50% obligation stress (stress_50pct) and an inventory squeeze (inventory_scale=0.7). Prints top allocations, shadow prices on key constraints, and scenario deltas.</w:t></w:r></w:p><w:p><w:pPr><w:pStyle w:val="Heading3"/></w:pPr><w:r><w:t xml:space="preserve">Money Market Domain</w:t></w:r></w:p><w:p><w:pPr><w:spacing w:after="120"/></w:pPr><w:r><w:rPr><w:color w:val="0F172A"/><w:sz w:val="22"/><w:szCs w:val="22"/></w:rPr><w:t xml:space="preserve">Maximizes net yield across 8 simulated money-market funds against liquidity, WAM, and concentration constraints. Shows top allocations, constraint sensitivity, and objective improvement over the equal-weight baseline.</w:t></w:r></w:p><w:p><w:pPr><w:pStyle w:val="Heading3"/></w:pPr><w:r><w:t xml:space="preserve">Financing Domain</w:t></w:r></w:p><w:p><w:pPr><w:spacing w:after="120"/></w:pPr><w:r><w:rPr><w:color w:val="0F172A"/><w:sz w:val="22"/><w:szCs w:val="22"/></w:rPr><w:t xml:space="preserve">Minimizes spread cost across 10 counterparties for a $300M funding need. Runs a credit stress scenario (spread_shift=1.5, capacity_scale=0.6). Shows counterparty allocations, shadow prices, and stress impact.</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Run command</w:t></w:r></w:p></w:tc><w:tc><w:tcPr><w:tcW w:type="dxa" w:w="7200"/><w:tcMar><w:top w:type="dxa" w:w="60"/><w:left w:type="dxa" w:w="120"/><w:bottom w:type="dxa" w:w="60"/><w:right w:type="dxa" w:w="120"/></w:tcMar></w:tcPr><w:p><w:r><w:rPr><w:color w:val="0F172A"/><w:sz w:val="20"/><w:szCs w:val="20"/></w:rPr><w:t xml:space="preserve">python examples/run_demo.py</w:t></w:r></w:p></w:tc></w:tr><w:tr><w:tc><w:tcPr><w:tcW w:type="dxa" w:w="2160"/><w:shd w:fill="EFF6FF" w:val="clear"/><w:tcMar><w:top w:type="dxa" w:w="60"/><w:left w:type="dxa" w:w="120"/><w:bottom w:type="dxa" w:w="60"/><w:right w:type="dxa" w:w="120"/></w:tcMar></w:tcPr><w:p><w:r><w:rPr><w:b/><w:bCs/><w:color w:val="1E3A5F"/><w:sz w:val="20"/><w:szCs w:val="20"/></w:rPr><w:t xml:space="preserve">Runtime</w:t></w:r></w:p></w:tc><w:tc><w:tcPr><w:tcW w:type="dxa" w:w="7200"/><w:tcMar><w:top w:type="dxa" w:w="60"/><w:left w:type="dxa" w:w="120"/><w:bottom w:type="dxa" w:w="60"/><w:right w:type="dxa" w:w="120"/></w:tcMar></w:tcPr><w:p><w:r><w:rPr><w:color w:val="0F172A"/><w:sz w:val="20"/><w:szCs w:val="20"/></w:rPr><w:t xml:space="preserve">&lt; 30 seconds</w:t></w:r></w:p></w:tc></w:tr><w:tr><w:tc><w:tcPr><w:tcW w:type="dxa" w:w="2160"/><w:shd w:fill="EFF6FF" w:val="clear"/><w:tcMar><w:top w:type="dxa" w:w="60"/><w:left w:type="dxa" w:w="120"/><w:bottom w:type="dxa" w:w="60"/><w:right w:type="dxa" w:w="120"/></w:tcMar></w:tcPr><w:p><w:r><w:rPr><w:b/><w:bCs/><w:color w:val="1E3A5F"/><w:sz w:val="20"/><w:szCs w:val="20"/></w:rPr><w:t xml:space="preserve">Data</w:t></w:r></w:p></w:tc><w:tc><w:tcPr><w:tcW w:type="dxa" w:w="7200"/><w:tcMar><w:top w:type="dxa" w:w="60"/><w:left w:type="dxa" w:w="120"/><w:bottom w:type="dxa" w:w="60"/><w:right w:type="dxa" w:w="120"/></w:tcMar></w:tcPr><w:p><w:r><w:rPr><w:color w:val="0F172A"/><w:sz w:val="20"/><w:szCs w:val="20"/></w:rPr><w:t xml:space="preserve">Simulated (reproducible seed=42)</w:t></w:r></w:p></w:tc></w:tr><w:tr><w:tc><w:tcPr><w:tcW w:type="dxa" w:w="2160"/><w:shd w:fill="EFF6FF" w:val="clear"/><w:tcMar><w:top w:type="dxa" w:w="60"/><w:left w:type="dxa" w:w="120"/><w:bottom w:type="dxa" w:w="60"/><w:right w:type="dxa" w:w="120"/></w:tcMar></w:tcPr><w:p><w:r><w:rPr><w:b/><w:bCs/><w:color w:val="1E3A5F"/><w:sz w:val="20"/><w:szCs w:val="20"/></w:rPr><w:t xml:space="preserve">Audit</w:t></w:r></w:p></w:tc><w:tc><w:tcPr><w:tcW w:type="dxa" w:w="7200"/><w:tcMar><w:top w:type="dxa" w:w="60"/><w:left w:type="dxa" w:w="120"/><w:bottom w:type="dxa" w:w="60"/><w:right w:type="dxa" w:w="120"/></w:tcMar></w:tcPr><w:p><w:r><w:rPr><w:color w:val="0F172A"/><w:sz w:val="20"/><w:szCs w:val="20"/></w:rPr><w:t xml:space="preserve">Audit log entry count printed at the end</w:t></w:r></w:p></w:tc></w:tr></w:tbl><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run_solver_demo.py — Solver Comparison</w:t></w:r></w:p></w:tc><w:tc><w:tcPr><w:tcW w:type="dxa" w:w="1800"/><w:shd w:fill="B45309" w:val="clear"/><w:tcMar><w:top w:type="dxa" w:w="100"/><w:left w:type="dxa" w:w="80"/><w:bottom w:type="dxa" w:w="100"/><w:right w:type="dxa" w:w="80"/></w:tcMar><w:vAlign w:val="center"/></w:tcPr><w:p><w:pPr><w:jc w:val="center"/></w:pPr><w:r><w:rPr><w:b/><w:bCs/><w:color w:val="FFFFFF"/><w:sz w:val="19"/><w:szCs w:val="19"/></w:rPr><w:t xml:space="preserve">Solver Deep-Dive</w:t></w:r></w:p></w:tc></w:tr></w:tbl><w:p><w:pPr><w:spacing w:after="80"/></w:pPr><w:r><w:t xml:space="preserve"></w:t></w:r></w:p><w:p><w:pPr><w:spacing w:after="120"/></w:pPr><w:r><w:rPr><w:color w:val="0F172A"/><w:sz w:val="22"/><w:szCs w:val="22"/></w:rPr><w:t xml:space="preserve">A focused solver-backend demonstration for the money-market optimizer. Runs the same problem through SciPy LP, SciPy MILP (max_funds=3, min_allocation=10%), and CVXPY LP, then renders a side-by-side comparison table. Use this when the audience needs to understand solver pluggability without the full video demo context.</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Run command</w:t></w:r></w:p></w:tc><w:tc><w:tcPr><w:tcW w:type="dxa" w:w="7200"/><w:tcMar><w:top w:type="dxa" w:w="60"/><w:left w:type="dxa" w:w="120"/><w:bottom w:type="dxa" w:w="60"/><w:right w:type="dxa" w:w="120"/></w:tcMar></w:tcPr><w:p><w:r><w:rPr><w:color w:val="0F172A"/><w:sz w:val="20"/><w:szCs w:val="20"/></w:rPr><w:t xml:space="preserve">python examples/run_solver_demo.py</w:t></w:r></w:p></w:tc></w:tr><w:tr><w:tc><w:tcPr><w:tcW w:type="dxa" w:w="2160"/><w:shd w:fill="EFF6FF" w:val="clear"/><w:tcMar><w:top w:type="dxa" w:w="60"/><w:left w:type="dxa" w:w="120"/><w:bottom w:type="dxa" w:w="60"/><w:right w:type="dxa" w:w="120"/></w:tcMar></w:tcPr><w:p><w:r><w:rPr><w:b/><w:bCs/><w:color w:val="1E3A5F"/><w:sz w:val="20"/><w:szCs w:val="20"/></w:rPr><w:t xml:space="preserve">Also via CLI</w:t></w:r></w:p></w:tc><w:tc><w:tcPr><w:tcW w:type="dxa" w:w="7200"/><w:tcMar><w:top w:type="dxa" w:w="60"/><w:left w:type="dxa" w:w="120"/><w:bottom w:type="dxa" w:w="60"/><w:right w:type="dxa" w:w="120"/></w:tcMar></w:tcPr><w:p><w:r><w:rPr><w:color w:val="0F172A"/><w:sz w:val="20"/><w:szCs w:val="20"/></w:rPr><w:t xml:space="preserve">di run money_market --solver scipy --problem-type milp</w:t></w:r></w:p></w:tc></w:tr><w:tr><w:tc><w:tcPr><w:tcW w:type="dxa" w:w="2160"/><w:shd w:fill="EFF6FF" w:val="clear"/><w:tcMar><w:top w:type="dxa" w:w="60"/><w:left w:type="dxa" w:w="120"/><w:bottom w:type="dxa" w:w="60"/><w:right w:type="dxa" w:w="120"/></w:tcMar></w:tcPr><w:p><w:r><w:rPr><w:b/><w:bCs/><w:color w:val="1E3A5F"/><w:sz w:val="20"/><w:szCs w:val="20"/></w:rPr><w:t xml:space="preserve">Runtime</w:t></w:r></w:p></w:tc><w:tc><w:tcPr><w:tcW w:type="dxa" w:w="7200"/><w:tcMar><w:top w:type="dxa" w:w="60"/><w:left w:type="dxa" w:w="120"/><w:bottom w:type="dxa" w:w="60"/><w:right w:type="dxa" w:w="120"/></w:tcMar></w:tcPr><w:p><w:r><w:rPr><w:color w:val="0F172A"/><w:sz w:val="20"/><w:szCs w:val="20"/></w:rPr><w:t xml:space="preserve">&lt; 15 seconds</w:t></w:r></w:p></w:tc></w:tr><w:tr><w:tc><w:tcPr><w:tcW w:type="dxa" w:w="2160"/><w:shd w:fill="EFF6FF" w:val="clear"/><w:tcMar><w:top w:type="dxa" w:w="60"/><w:left w:type="dxa" w:w="120"/><w:bottom w:type="dxa" w:w="60"/><w:right w:type="dxa" w:w="120"/></w:tcMar></w:tcPr><w:p><w:r><w:rPr><w:b/><w:bCs/><w:color w:val="1E3A5F"/><w:sz w:val="20"/><w:szCs w:val="20"/></w:rPr><w:t xml:space="preserve">Output</w:t></w:r></w:p></w:tc><w:tc><w:tcPr><w:tcW w:type="dxa" w:w="7200"/><w:tcMar><w:top w:type="dxa" w:w="60"/><w:left w:type="dxa" w:w="120"/><w:bottom w:type="dxa" w:w="60"/><w:right w:type="dxa" w:w="120"/></w:tcMar></w:tcPr><w:p><w:r><w:rPr><w:color w:val="0F172A"/><w:sz w:val="20"/><w:szCs w:val="20"/></w:rPr><w:t xml:space="preserve">Single comparison table: status, solver, objective, improvement, funds used, top 3 allocations</w:t></w:r></w:p></w:tc></w:tr></w:tbl><w:p><w:pPr><w:spacing w:after="80"/></w:pPr><w:r><w:t xml:space="preserve"></w:t></w:r></w:p><w:p><w:pPr><w:spacing w:after="120"/></w:pPr><w:r><w:rPr><w:color w:val="0F172A"/><w:sz w:val="22"/><w:szCs w:val="22"/></w:rPr><w:t xml:space="preserve">SciPy LP and CVXPY LP produce continuous allocations — all eligible funds may receive a nonzero weight. SciPy MILP adds binary fund-selection variables: exactly ≤ 3 funds are selected, each with ≥ 10% of total cash. The objective values differ because MILP is a more constrained problem.</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run_ips_ingestion_demo.py — IPS / Policy Ingestion</w:t></w:r></w:p></w:tc><w:tc><w:tcPr><w:tcW w:type="dxa" w:w="1800"/><w:shd w:fill="B45309" w:val="clear"/><w:tcMar><w:top w:type="dxa" w:w="100"/><w:left w:type="dxa" w:w="80"/><w:bottom w:type="dxa" w:w="100"/><w:right w:type="dxa" w:w="80"/></w:tcMar><w:vAlign w:val="center"/></w:tcPr><w:p><w:pPr><w:jc w:val="center"/></w:pPr><w:r><w:rPr><w:b/><w:bCs/><w:color w:val="FFFFFF"/><w:sz w:val="19"/><w:szCs w:val="19"/></w:rPr><w:t xml:space="preserve">Intake Agent</w:t></w:r></w:p></w:tc></w:tr></w:tbl><w:p><w:pPr><w:spacing w:after="80"/></w:pPr><w:r><w:t xml:space="preserve"></w:t></w:r></w:p><w:p><w:pPr><w:spacing w:after="120"/></w:pPr><w:r><w:rPr><w:color w:val="0F172A"/><w:sz w:val="22"/><w:szCs w:val="22"/></w:rPr><w:t xml:space="preserve">Demonstrates the Investment Policy Statement ingestion pipeline. Reads a policy text file, extracts structured fields (portfolio ID, notional, target return, risk aversion, concentration limits, governance flags), validates them, and prints a review-ready extraction table with evidence snippets.</w:t></w:r></w:p><w:p><w:pPr><w:spacing w:after="80"/></w:pPr><w:r><w:t xml:space="preserve"></w:t></w:r></w:p><w:p><w:pPr><w:pStyle w:val="Heading3"/></w:pPr><w:r><w:t xml:space="preserve">Sample Policy Files</w:t></w:r></w:p><w:p><w:pPr><w:pStyle w:val="ListParagraph"/><w:numPr><w:ilvl w:val="0"/><w:numId w:val="1"/></w:numPr><w:spacing w:after="80"/></w:pPr><w:r><w:rPr><w:b/><w:bCs/><w:color w:val="0F172A"/><w:sz w:val="21"/><w:szCs w:val="21"/></w:rPr><w:t xml:space="preserve">examples/policies/sample_mvo_ips.txt: </w:t></w:r><w:r><w:rPr><w:color w:val="0F172A"/><w:sz w:val="21"/><w:szCs w:val="21"/></w:rPr><w:t xml:space="preserve">MVO rebalance — $250M, 5.25% target return, λ=3.5, max 40% single asset</w:t></w:r></w:p><w:p><w:pPr><w:pStyle w:val="ListParagraph"/><w:numPr><w:ilvl w:val="0"/><w:numId w:val="1"/></w:numPr><w:spacing w:after="80"/></w:pPr><w:r><w:rPr><w:b/><w:bCs/><w:color w:val="0F172A"/><w:sz w:val="21"/><w:szCs w:val="21"/></w:rPr><w:t xml:space="preserve">examples/policies/sample_liquidity_ips.txt: </w:t></w:r><w:r><w:rPr><w:color w:val="0F172A"/><w:sz w:val="21"/><w:szCs w:val="21"/></w:rPr><w:t xml:space="preserve">Liquidity stress workflow — funding, collateral, and MM constraints</w:t></w:r></w:p><w:p><w:pPr><w:pStyle w:val="ListParagraph"/><w:numPr><w:ilvl w:val="0"/><w:numId w:val="1"/></w:numPr><w:spacing w:after="80"/></w:pPr><w:r><w:rPr><w:b/><w:bCs/><w:color w:val="0F172A"/><w:sz w:val="21"/><w:szCs w:val="21"/></w:rPr><w:t xml:space="preserve">examples/policies/sample_collateral_policy.txt: </w:t></w:r><w:r><w:rPr><w:color w:val="0F172A"/><w:sz w:val="21"/><w:szCs w:val="21"/></w:rPr><w:t xml:space="preserve">Collateral schedule — haircuts, eligibility, and concentration limits</w:t></w:r></w:p><w:p><w:pPr><w:pStyle w:val="ListParagraph"/><w:numPr><w:ilvl w:val="0"/><w:numId w:val="1"/></w:numPr><w:spacing w:after="80"/></w:pPr><w:r><w:rPr><w:b/><w:bCs/><w:color w:val="0F172A"/><w:sz w:val="21"/><w:szCs w:val="21"/></w:rPr><w:t xml:space="preserve">examples/policies/sample_full_ips.pdf: </w:t></w:r><w:r><w:rPr><w:color w:val="0F172A"/><w:sz w:val="21"/><w:szCs w:val="21"/></w:rPr><w:t xml:space="preserve">Full IPS as PDF — requires LLM backend for native extraction</w:t></w:r></w:p><w:p><w:pPr><w:spacing w:after="80"/></w:pPr><w:r><w:t xml:space="preserve"></w:t></w:r></w:p><w:p><w:pPr><w:pStyle w:val="Heading3"/></w:pPr><w:r><w:t xml:space="preserve">Extraction Modes</w:t></w:r></w:p><w:p><w:pPr><w:pStyle w:val="ListParagraph"/><w:numPr><w:ilvl w:val="0"/><w:numId w:val="1"/></w:numPr><w:spacing w:after="80"/></w:pPr><w:r><w:rPr><w:b/><w:bCs/><w:color w:val="0F172A"/><w:sz w:val="21"/><w:szCs w:val="21"/></w:rPr><w:t xml:space="preserve">deterministic: </w:t></w:r><w:r><w:rPr><w:color w:val="0F172A"/><w:sz w:val="21"/><w:szCs w:val="21"/></w:rPr><w:t xml:space="preserve">Regex/rule extraction + deterministic validator. Requires key phrases and numeric values in the same sentence. Offline, no LLM needed.</w:t></w:r></w:p><w:p><w:pPr><w:pStyle w:val="ListParagraph"/><w:numPr><w:ilvl w:val="0"/><w:numId w:val="1"/></w:numPr><w:spacing w:after="80"/></w:pPr><w:r><w:rPr><w:b/><w:bCs/><w:color w:val="0F172A"/><w:sz w:val="21"/><w:szCs w:val="21"/></w:rPr><w:t xml:space="preserve">llm: </w:t></w:r><w:r><w:rPr><w:color w:val="0F172A"/><w:sz w:val="21"/><w:szCs w:val="21"/></w:rPr><w:t xml:space="preserve">Passes text to a configured LLMProvider (Ollama, Anthropic, OpenAI). Handles messier policy language. Still validated by deterministic code.</w:t></w:r></w:p><w:p><w:pPr><w:pStyle w:val="ListParagraph"/><w:numPr><w:ilvl w:val="0"/><w:numId w:val="1"/></w:numPr><w:spacing w:after="80"/></w:pPr><w:r><w:rPr><w:b/><w:bCs/><w:color w:val="0F172A"/><w:sz w:val="21"/><w:szCs w:val="21"/></w:rPr><w:t xml:space="preserve">auto: </w:t></w:r><w:r><w:rPr><w:color w:val="0F172A"/><w:sz w:val="21"/><w:szCs w:val="21"/></w:rPr><w:t xml:space="preserve">Uses LLM if configured, falls back to deterministic. Recommended for environment-driven demos.</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Run (MVO sample)</w:t></w:r></w:p></w:tc><w:tc><w:tcPr><w:tcW w:type="dxa" w:w="7200"/><w:tcMar><w:top w:type="dxa" w:w="60"/><w:left w:type="dxa" w:w="120"/><w:bottom w:type="dxa" w:w="60"/><w:right w:type="dxa" w:w="120"/></w:tcMar></w:tcPr><w:p><w:r><w:rPr><w:color w:val="0F172A"/><w:sz w:val="20"/><w:szCs w:val="20"/></w:rPr><w:t xml:space="preserve">python examples/run_ips_ingestion_demo.py</w:t></w:r></w:p></w:tc></w:tr><w:tr><w:tc><w:tcPr><w:tcW w:type="dxa" w:w="2160"/><w:shd w:fill="EFF6FF" w:val="clear"/><w:tcMar><w:top w:type="dxa" w:w="60"/><w:left w:type="dxa" w:w="120"/><w:bottom w:type="dxa" w:w="60"/><w:right w:type="dxa" w:w="120"/></w:tcMar></w:tcPr><w:p><w:r><w:rPr><w:b/><w:bCs/><w:color w:val="1E3A5F"/><w:sz w:val="20"/><w:szCs w:val="20"/></w:rPr><w:t xml:space="preserve">Run (all samples)</w:t></w:r></w:p></w:tc><w:tc><w:tcPr><w:tcW w:type="dxa" w:w="7200"/><w:tcMar><w:top w:type="dxa" w:w="60"/><w:left w:type="dxa" w:w="120"/><w:bottom w:type="dxa" w:w="60"/><w:right w:type="dxa" w:w="120"/></w:tcMar></w:tcPr><w:p><w:r><w:rPr><w:color w:val="0F172A"/><w:sz w:val="20"/><w:szCs w:val="20"/></w:rPr><w:t xml:space="preserve">python examples/run_ips_ingestion_demo.py --all</w:t></w:r></w:p></w:tc></w:tr><w:tr><w:tc><w:tcPr><w:tcW w:type="dxa" w:w="2160"/><w:shd w:fill="EFF6FF" w:val="clear"/><w:tcMar><w:top w:type="dxa" w:w="60"/><w:left w:type="dxa" w:w="120"/><w:bottom w:type="dxa" w:w="60"/><w:right w:type="dxa" w:w="120"/></w:tcMar></w:tcPr><w:p><w:r><w:rPr><w:b/><w:bCs/><w:color w:val="1E3A5F"/><w:sz w:val="20"/><w:szCs w:val="20"/></w:rPr><w:t xml:space="preserve">Run (specific)</w:t></w:r></w:p></w:tc><w:tc><w:tcPr><w:tcW w:type="dxa" w:w="7200"/><w:tcMar><w:top w:type="dxa" w:w="60"/><w:left w:type="dxa" w:w="120"/><w:bottom w:type="dxa" w:w="60"/><w:right w:type="dxa" w:w="120"/></w:tcMar></w:tcPr><w:p><w:r><w:rPr><w:color w:val="0F172A"/><w:sz w:val="20"/><w:szCs w:val="20"/></w:rPr><w:t xml:space="preserve">python examples/run_ips_ingestion_demo.py --workflow liquidity_stress_funding_workflow examples/policies/sample_liquidity_ips.txt</w:t></w:r></w:p></w:tc></w:tr><w:tr><w:tc><w:tcPr><w:tcW w:type="dxa" w:w="2160"/><w:shd w:fill="EFF6FF" w:val="clear"/><w:tcMar><w:top w:type="dxa" w:w="60"/><w:left w:type="dxa" w:w="120"/><w:bottom w:type="dxa" w:w="60"/><w:right w:type="dxa" w:w="120"/></w:tcMar></w:tcPr><w:p><w:r><w:rPr><w:b/><w:bCs/><w:color w:val="1E3A5F"/><w:sz w:val="20"/><w:szCs w:val="20"/></w:rPr><w:t xml:space="preserve">JSON output</w:t></w:r></w:p></w:tc><w:tc><w:tcPr><w:tcW w:type="dxa" w:w="7200"/><w:tcMar><w:top w:type="dxa" w:w="60"/><w:left w:type="dxa" w:w="120"/><w:bottom w:type="dxa" w:w="60"/><w:right w:type="dxa" w:w="120"/></w:tcMar></w:tcPr><w:p><w:r><w:rPr><w:color w:val="0F172A"/><w:sz w:val="20"/><w:szCs w:val="20"/></w:rPr><w:t xml:space="preserve">python examples/run_ips_ingestion_demo.py --all --json</w:t></w:r></w:p></w:tc></w:tr></w:tbl><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run_ollama_ips_ingestion_demo.py — LLM-Assisted IPS Ingestion</w:t></w:r></w:p></w:tc><w:tc><w:tcPr><w:tcW w:type="dxa" w:w="1800"/><w:shd w:fill="B45309" w:val="clear"/><w:tcMar><w:top w:type="dxa" w:w="100"/><w:left w:type="dxa" w:w="80"/><w:bottom w:type="dxa" w:w="100"/><w:right w:type="dxa" w:w="80"/></w:tcMar><w:vAlign w:val="center"/></w:tcPr><w:p><w:pPr><w:jc w:val="center"/></w:pPr><w:r><w:rPr><w:b/><w:bCs/><w:color w:val="FFFFFF"/><w:sz w:val="19"/><w:szCs w:val="19"/></w:rPr><w:t xml:space="preserve">LLM Intake</w:t></w:r></w:p></w:tc></w:tr></w:tbl><w:p><w:pPr><w:spacing w:after="80"/></w:pPr><w:r><w:t xml:space="preserve"></w:t></w:r></w:p><w:p><w:pPr><w:spacing w:after="120"/></w:pPr><w:r><w:rPr><w:color w:val="0F172A"/><w:sz w:val="22"/><w:szCs w:val="22"/></w:rPr><w:t xml:space="preserve">Variant of the IPS ingestion demo that routes extraction through a local Ollama model. Requires Ollama running locally with a compatible model pulled. The LLM proposes extracted fields; deterministic validation still filters unsupported keys, coerces percentages and currencies, and rejects impossible values. The response is marked with backend: llm.</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Prerequisites</w:t></w:r></w:p></w:tc><w:tc><w:tcPr><w:tcW w:type="dxa" w:w="7200"/><w:tcMar><w:top w:type="dxa" w:w="60"/><w:left w:type="dxa" w:w="120"/><w:bottom w:type="dxa" w:w="60"/><w:right w:type="dxa" w:w="120"/></w:tcMar></w:tcPr><w:p><w:r><w:rPr><w:color w:val="0F172A"/><w:sz w:val="20"/><w:szCs w:val="20"/></w:rPr><w:t xml:space="preserve">ollama serve &amp;&amp; ollama pull llama3.1:8b</w:t></w:r></w:p></w:tc></w:tr><w:tr><w:tc><w:tcPr><w:tcW w:type="dxa" w:w="2160"/><w:shd w:fill="EFF6FF" w:val="clear"/><w:tcMar><w:top w:type="dxa" w:w="60"/><w:left w:type="dxa" w:w="120"/><w:bottom w:type="dxa" w:w="60"/><w:right w:type="dxa" w:w="120"/></w:tcMar></w:tcPr><w:p><w:r><w:rPr><w:b/><w:bCs/><w:color w:val="1E3A5F"/><w:sz w:val="20"/><w:szCs w:val="20"/></w:rPr><w:t xml:space="preserve">Run (text)</w:t></w:r></w:p></w:tc><w:tc><w:tcPr><w:tcW w:type="dxa" w:w="7200"/><w:tcMar><w:top w:type="dxa" w:w="60"/><w:left w:type="dxa" w:w="120"/><w:bottom w:type="dxa" w:w="60"/><w:right w:type="dxa" w:w="120"/></w:tcMar></w:tcPr><w:p><w:r><w:rPr><w:color w:val="0F172A"/><w:sz w:val="20"/><w:szCs w:val="20"/></w:rPr><w:t xml:space="preserve">python examples/run_ollama_ips_ingestion_demo.py --model llama3.1:8b examples/policies/sample_mvo_ips.txt</w:t></w:r></w:p></w:tc></w:tr><w:tr><w:tc><w:tcPr><w:tcW w:type="dxa" w:w="2160"/><w:shd w:fill="EFF6FF" w:val="clear"/><w:tcMar><w:top w:type="dxa" w:w="60"/><w:left w:type="dxa" w:w="120"/><w:bottom w:type="dxa" w:w="60"/><w:right w:type="dxa" w:w="120"/></w:tcMar></w:tcPr><w:p><w:r><w:rPr><w:b/><w:bCs/><w:color w:val="1E3A5F"/><w:sz w:val="20"/><w:szCs w:val="20"/></w:rPr><w:t xml:space="preserve">Run (PDF)</w:t></w:r></w:p></w:tc><w:tc><w:tcPr><w:tcW w:type="dxa" w:w="7200"/><w:tcMar><w:top w:type="dxa" w:w="60"/><w:left w:type="dxa" w:w="120"/><w:bottom w:type="dxa" w:w="60"/><w:right w:type="dxa" w:w="120"/></w:tcMar></w:tcPr><w:p><w:r><w:rPr><w:color w:val="0F172A"/><w:sz w:val="20"/><w:szCs w:val="20"/></w:rPr><w:t xml:space="preserve">python examples/run_ollama_ips_ingestion_demo.py --model llama3.1:8b --pdf examples/policies/sample_full_ips.pdf</w:t></w:r></w:p></w:tc></w:tr></w:tbl><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run_ollama_smoke.py — Ollama Smoke Test</w:t></w:r></w:p></w:tc><w:tc><w:tcPr><w:tcW w:type="dxa" w:w="1800"/><w:shd w:fill="B45309" w:val="clear"/><w:tcMar><w:top w:type="dxa" w:w="100"/><w:left w:type="dxa" w:w="80"/><w:bottom w:type="dxa" w:w="100"/><w:right w:type="dxa" w:w="80"/></w:tcMar><w:vAlign w:val="center"/></w:tcPr><w:p><w:pPr><w:jc w:val="center"/></w:pPr><w:r><w:rPr><w:b/><w:bCs/><w:color w:val="FFFFFF"/><w:sz w:val="19"/><w:szCs w:val="19"/></w:rPr><w:t xml:space="preserve">Infrastructure Check</w:t></w:r></w:p></w:tc></w:tr></w:tbl><w:p><w:pPr><w:spacing w:after="80"/></w:pPr><w:r><w:t xml:space="preserve"></w:t></w:r></w:p><w:p><w:pPr><w:spacing w:after="120"/></w:pPr><w:r><w:rPr><w:color w:val="0F172A"/><w:sz w:val="22"/><w:szCs w:val="22"/></w:rPr><w:t xml:space="preserve">A lightweight integration check that verifies Ollama is reachable, picks an available lightweight model, runs LLM PDF ingestion as a dry run, and routes the mapped request through the optimizer. If Ollama or optional packages are unavailable the test skips cleanly. Use --strict when Ollama is expected to be installed and failures should be fatal.</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Run command</w:t></w:r></w:p></w:tc><w:tc><w:tcPr><w:tcW w:type="dxa" w:w="7200"/><w:tcMar><w:top w:type="dxa" w:w="60"/><w:left w:type="dxa" w:w="120"/><w:bottom w:type="dxa" w:w="60"/><w:right w:type="dxa" w:w="120"/></w:tcMar></w:tcPr><w:p><w:r><w:rPr><w:color w:val="0F172A"/><w:sz w:val="20"/><w:szCs w:val="20"/></w:rPr><w:t xml:space="preserve">python examples/run_ollama_smoke.py</w:t></w:r></w:p></w:tc></w:tr><w:tr><w:tc><w:tcPr><w:tcW w:type="dxa" w:w="2160"/><w:shd w:fill="EFF6FF" w:val="clear"/><w:tcMar><w:top w:type="dxa" w:w="60"/><w:left w:type="dxa" w:w="120"/><w:bottom w:type="dxa" w:w="60"/><w:right w:type="dxa" w:w="120"/></w:tcMar></w:tcPr><w:p><w:r><w:rPr><w:b/><w:bCs/><w:color w:val="1E3A5F"/><w:sz w:val="20"/><w:szCs w:val="20"/></w:rPr><w:t xml:space="preserve">Run (strict)</w:t></w:r></w:p></w:tc><w:tc><w:tcPr><w:tcW w:type="dxa" w:w="7200"/><w:tcMar><w:top w:type="dxa" w:w="60"/><w:left w:type="dxa" w:w="120"/><w:bottom w:type="dxa" w:w="60"/><w:right w:type="dxa" w:w="120"/></w:tcMar></w:tcPr><w:p><w:r><w:rPr><w:color w:val="0F172A"/><w:sz w:val="20"/><w:szCs w:val="20"/></w:rPr><w:t xml:space="preserve">python examples/run_ollama_smoke.py --strict</w:t></w:r></w:p></w:tc></w:tr><w:tr><w:tc><w:tcPr><w:tcW w:type="dxa" w:w="2160"/><w:shd w:fill="EFF6FF" w:val="clear"/><w:tcMar><w:top w:type="dxa" w:w="60"/><w:left w:type="dxa" w:w="120"/><w:bottom w:type="dxa" w:w="60"/><w:right w:type="dxa" w:w="120"/></w:tcMar></w:tcPr><w:p><w:r><w:rPr><w:b/><w:bCs/><w:color w:val="1E3A5F"/><w:sz w:val="20"/><w:szCs w:val="20"/></w:rPr><w:t xml:space="preserve">Purpose</w:t></w:r></w:p></w:tc><w:tc><w:tcPr><w:tcW w:type="dxa" w:w="7200"/><w:tcMar><w:top w:type="dxa" w:w="60"/><w:left w:type="dxa" w:w="120"/><w:bottom w:type="dxa" w:w="60"/><w:right w:type="dxa" w:w="120"/></w:tcMar></w:tcPr><w:p><w:r><w:rPr><w:color w:val="0F172A"/><w:sz w:val="20"/><w:szCs w:val="20"/></w:rPr><w:t xml:space="preserve">Verify local LLM integration before a demo or CI check</w:t></w:r></w:p></w:tc></w:tr></w:tbl><w:p><w:pPr><w:spacing w:after="160"/></w:pPr><w:r><w:t xml:space="preserve"></w:t></w:r></w:p><w:p><w:pPr><w:pBdr><w:bottom w:val="single" w:color="CBD5E1" w:sz="4" w:space="1"/></w:pBdr><w:spacing w:after="160"/></w:pPr><w:r><w:t xml:space="preserve"></w:t></w:r></w:p><w:p><w:pPr><w:spacing w:after="80"/></w:pPr><w:r><w:t xml:space="preserve"></w:t></w:r></w:p><w:p><w:r><w:br w:type="page"/></w:r></w:p><w:p><w:pPr><w:pStyle w:val="Heading1"/></w:pPr><w:r><w:t xml:space="preserve">Operational Video Walkthroughs</w:t></w:r></w:p><w:p><w:pPr><w:spacing w:after="120"/></w:pPr><w:r><w:rPr><w:color w:val="0F172A"/><w:sz w:val="22"/><w:szCs w:val="22"/></w:rPr><w:t xml:space="preserve">These walkthroughs correspond to recorded video clips and the presenter terminal demo. They combine browser UI actions with terminal commands to form a cohesive proof-of-concept narrative.</w:t></w:r></w:p><w:p><w:pPr><w:spacing w:after="1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POC Video Demo — Full Story (make demo-video)</w:t></w:r></w:p></w:tc><w:tc><w:tcPr><w:tcW w:type="dxa" w:w="1800"/><w:shd w:fill="B45309" w:val="clear"/><w:tcMar><w:top w:type="dxa" w:w="100"/><w:left w:type="dxa" w:w="80"/><w:bottom w:type="dxa" w:w="100"/><w:right w:type="dxa" w:w="80"/></w:tcMar><w:vAlign w:val="center"/></w:tcPr><w:p><w:pPr><w:jc w:val="center"/></w:pPr><w:r><w:rPr><w:b/><w:bCs/><w:color w:val="FFFFFF"/><w:sz w:val="19"/><w:szCs w:val="19"/></w:rPr><w:t xml:space="preserve">Primary Recording</w:t></w:r></w:p></w:tc></w:tr></w:tbl><w:p><w:pPr><w:spacing w:after="80"/></w:pPr><w:r><w:t xml:space="preserve"></w:t></w:r></w:p><w:p><w:pPr><w:spacing w:after="120"/></w:pPr><w:r><w:rPr><w:color w:val="0F172A"/><w:sz w:val="22"/><w:szCs w:val="22"/></w:rPr><w:t xml:space="preserve">The primary video recording path. Three acts in sequence, covering the full platform story from agent-guided intake through sequential workflow execution. Fully deterministic — no network access, no external credentials required.</w:t></w:r></w:p><w:p><w:pPr><w:spacing w:after="80"/></w:pPr><w:r><w:t xml:space="preserve"></w:t></w:r></w:p><w:p><w:pPr><w:pStyle w:val="Heading3"/></w:pPr><w:r><w:t xml:space="preserve">Recommended Recording Flow</w:t></w:r></w:p><w:p><w:pPr><w:pStyle w:val="ListParagraph"/><w:numPr><w:ilvl w:val="0"/><w:numId w:val="1"/></w:numPr><w:spacing w:after="80"/></w:pPr><w:r><w:rPr><w:color w:val="0F172A"/><w:sz w:val="21"/><w:szCs w:val="21"/></w:rPr><w:t xml:space="preserve">Start the browser UI: make demo-ui, open http://127.0.0.1:5173/</w:t></w:r></w:p><w:p><w:pPr><w:pStyle w:val="ListParagraph"/><w:numPr><w:ilvl w:val="0"/><w:numId w:val="1"/></w:numPr><w:spacing w:after="80"/></w:pPr><w:r><w:rPr><w:color w:val="0F172A"/><w:sz w:val="21"/><w:szCs w:val="21"/></w:rPr><w:t xml:space="preserve">Load the Institutional CSV Liquidity Base Case first — run as a calmer comparison</w:t></w:r></w:p><w:p><w:pPr><w:pStyle w:val="ListParagraph"/><w:numPr><w:ilvl w:val="0"/><w:numId w:val="1"/></w:numPr><w:spacing w:after="80"/></w:pPr><w:r><w:rPr><w:color w:val="0F172A"/><w:sz w:val="21"/><w:szCs w:val="21"/></w:rPr><w:t xml:space="preserve">Switch to Institutional CSV Liquidity Stress or click Load POC Path — run the primary story</w:t></w:r></w:p><w:p><w:pPr><w:pStyle w:val="ListParagraph"/><w:numPr><w:ilvl w:val="0"/><w:numId w:val="1"/></w:numPr><w:spacing w:after="80"/></w:pPr><w:r><w:rPr><w:color w:val="0F172A"/><w:sz w:val="21"/><w:szCs w:val="21"/></w:rPr><w:t xml:space="preserve">After the workflow completes, open Evidence Room to show the proof chain live</w:t></w:r></w:p><w:p><w:pPr><w:pStyle w:val="ListParagraph"/><w:numPr><w:ilvl w:val="0"/><w:numId w:val="1"/></w:numPr><w:spacing w:after="80"/></w:pPr><w:r><w:rPr><w:color w:val="0F172A"/><w:sz w:val="21"/><w:szCs w:val="21"/></w:rPr><w:t xml:space="preserve">Click Export Evidence to download JSON and PDF artifacts</w:t></w:r></w:p><w:p><w:pPr><w:pStyle w:val="ListParagraph"/><w:numPr><w:ilvl w:val="0"/><w:numId w:val="1"/></w:numPr><w:spacing w:after="80"/></w:pPr><w:r><w:rPr><w:color w:val="0F172A"/><w:sz w:val="21"/><w:szCs w:val="21"/></w:rPr><w:t xml:space="preserve">For production adapter proof: choose Balanced MVO Rebalance, switch to Production, show model/config versions and reproducibility fingerprint</w:t></w:r></w:p><w:p><w:pPr><w:pStyle w:val="ListParagraph"/><w:numPr><w:ilvl w:val="0"/><w:numId w:val="1"/></w:numPr><w:spacing w:after="80"/></w:pPr><w:r><w:rPr><w:color w:val="0F172A"/><w:sz w:val="21"/><w:szCs w:val="21"/></w:rPr><w:t xml:space="preserve">Then run the terminal proof: make demo-video (or python examples/run_poc_video_demo.py)</w:t></w:r></w:p><w:p><w:pPr><w:spacing w:after="80"/></w:pPr><w:r><w:t xml:space="preserve"></w:t></w:r></w:p><w:p><w:pPr><w:pStyle w:val="Heading3"/></w:pPr><w:r><w:t xml:space="preserve">Shot 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Shot 1</w:t></w:r></w:p></w:tc><w:tc><w:tcPr><w:tcW w:type="dxa" w:w="7200"/><w:tcMar><w:top w:type="dxa" w:w="60"/><w:left w:type="dxa" w:w="120"/><w:bottom w:type="dxa" w:w="60"/><w:right w:type="dxa" w:w="120"/></w:tcMar></w:tcPr><w:p><w:r><w:rPr><w:color w:val="0F172A"/><w:sz w:val="20"/><w:szCs w:val="20"/></w:rPr><w:t xml:space="preserve">README or browser home — one-command local demo and repeatable presets</w:t></w:r></w:p></w:tc></w:tr><w:tr><w:tc><w:tcPr><w:tcW w:type="dxa" w:w="2160"/><w:shd w:fill="EFF6FF" w:val="clear"/><w:tcMar><w:top w:type="dxa" w:w="60"/><w:left w:type="dxa" w:w="120"/><w:bottom w:type="dxa" w:w="60"/><w:right w:type="dxa" w:w="120"/></w:tcMar></w:tcPr><w:p><w:r><w:rPr><w:b/><w:bCs/><w:color w:val="1E3A5F"/><w:sz w:val="20"/><w:szCs w:val="20"/></w:rPr><w:t xml:space="preserve">Shot 2</w:t></w:r></w:p></w:tc><w:tc><w:tcPr><w:tcW w:type="dxa" w:w="7200"/><w:tcMar><w:top w:type="dxa" w:w="60"/><w:left w:type="dxa" w:w="120"/><w:bottom w:type="dxa" w:w="60"/><w:right w:type="dxa" w:w="120"/></w:tcMar></w:tcPr><w:p><w:r><w:rPr><w:color w:val="0F172A"/><w:sz w:val="20"/><w:szCs w:val="20"/></w:rPr><w:t xml:space="preserve">Browser workflow selector — multiple domains and workflows wired</w:t></w:r></w:p></w:tc></w:tr><w:tr><w:tc><w:tcPr><w:tcW w:type="dxa" w:w="2160"/><w:shd w:fill="EFF6FF" w:val="clear"/><w:tcMar><w:top w:type="dxa" w:w="60"/><w:left w:type="dxa" w:w="120"/><w:bottom w:type="dxa" w:w="60"/><w:right w:type="dxa" w:w="120"/></w:tcMar></w:tcPr><w:p><w:r><w:rPr><w:b/><w:bCs/><w:color w:val="1E3A5F"/><w:sz w:val="20"/><w:szCs w:val="20"/></w:rPr><w:t xml:space="preserve">Shot 3</w:t></w:r></w:p></w:tc><w:tc><w:tcPr><w:tcW w:type="dxa" w:w="7200"/><w:tcMar><w:top w:type="dxa" w:w="60"/><w:left w:type="dxa" w:w="120"/><w:bottom w:type="dxa" w:w="60"/><w:right w:type="dxa" w:w="120"/></w:tcMar></w:tcPr><w:p><w:r><w:rPr><w:color w:val="0F172A"/><w:sz w:val="20"/><w:szCs w:val="20"/></w:rPr><w:t xml:space="preserve">make demo-video terminal — deterministic, camera-ready proof path</w:t></w:r></w:p></w:tc></w:tr><w:tr><w:tc><w:tcPr><w:tcW w:type="dxa" w:w="2160"/><w:shd w:fill="EFF6FF" w:val="clear"/><w:tcMar><w:top w:type="dxa" w:w="60"/><w:left w:type="dxa" w:w="120"/><w:bottom w:type="dxa" w:w="60"/><w:right w:type="dxa" w:w="120"/></w:tcMar></w:tcPr><w:p><w:r><w:rPr><w:b/><w:bCs/><w:color w:val="1E3A5F"/><w:sz w:val="20"/><w:szCs w:val="20"/></w:rPr><w:t xml:space="preserve">Shot 4</w:t></w:r></w:p></w:tc><w:tc><w:tcPr><w:tcW w:type="dxa" w:w="7200"/><w:tcMar><w:top w:type="dxa" w:w="60"/><w:left w:type="dxa" w:w="120"/><w:bottom w:type="dxa" w:w="60"/><w:right w:type="dxa" w:w="120"/></w:tcMar></w:tcPr><w:p><w:r><w:rPr><w:color w:val="0F172A"/><w:sz w:val="20"/><w:szCs w:val="20"/></w:rPr><w:t xml:space="preserve">Guided chat section — agent collects missing data, not just text completion</w:t></w:r></w:p></w:tc></w:tr><w:tr><w:tc><w:tcPr><w:tcW w:type="dxa" w:w="2160"/><w:shd w:fill="EFF6FF" w:val="clear"/><w:tcMar><w:top w:type="dxa" w:w="60"/><w:left w:type="dxa" w:w="120"/><w:bottom w:type="dxa" w:w="60"/><w:right w:type="dxa" w:w="120"/></w:tcMar></w:tcPr><w:p><w:r><w:rPr><w:b/><w:bCs/><w:color w:val="1E3A5F"/><w:sz w:val="20"/><w:szCs w:val="20"/></w:rPr><w:t xml:space="preserve">Shot 5</w:t></w:r></w:p></w:tc><w:tc><w:tcPr><w:tcW w:type="dxa" w:w="7200"/><w:tcMar><w:top w:type="dxa" w:w="60"/><w:left w:type="dxa" w:w="120"/><w:bottom w:type="dxa" w:w="60"/><w:right w:type="dxa" w:w="120"/></w:tcMar></w:tcPr><w:p><w:r><w:rPr><w:color w:val="0F172A"/><w:sz w:val="20"/><w:szCs w:val="20"/></w:rPr><w:t xml:space="preserve">MILP proof panel — true optimization model with selected funds</w:t></w:r></w:p></w:tc></w:tr><w:tr><w:tc><w:tcPr><w:tcW w:type="dxa" w:w="2160"/><w:shd w:fill="EFF6FF" w:val="clear"/><w:tcMar><w:top w:type="dxa" w:w="60"/><w:left w:type="dxa" w:w="120"/><w:bottom w:type="dxa" w:w="60"/><w:right w:type="dxa" w:w="120"/></w:tcMar></w:tcPr><w:p><w:r><w:rPr><w:b/><w:bCs/><w:color w:val="1E3A5F"/><w:sz w:val="20"/><w:szCs w:val="20"/></w:rPr><w:t xml:space="preserve">Shot 6</w:t></w:r></w:p></w:tc><w:tc><w:tcPr><w:tcW w:type="dxa" w:w="7200"/><w:tcMar><w:top w:type="dxa" w:w="60"/><w:left w:type="dxa" w:w="120"/><w:bottom w:type="dxa" w:w="60"/><w:right w:type="dxa" w:w="120"/></w:tcMar></w:tcPr><w:p><w:r><w:rPr><w:color w:val="0F172A"/><w:sz w:val="20"/><w:szCs w:val="20"/></w:rPr><w:t xml:space="preserve">Solver comparison — solver backend and problem type are user-selectable</w:t></w:r></w:p></w:tc></w:tr><w:tr><w:tc><w:tcPr><w:tcW w:type="dxa" w:w="2160"/><w:shd w:fill="EFF6FF" w:val="clear"/><w:tcMar><w:top w:type="dxa" w:w="60"/><w:left w:type="dxa" w:w="120"/><w:bottom w:type="dxa" w:w="60"/><w:right w:type="dxa" w:w="120"/></w:tcMar></w:tcPr><w:p><w:r><w:rPr><w:b/><w:bCs/><w:color w:val="1E3A5F"/><w:sz w:val="20"/><w:szCs w:val="20"/></w:rPr><w:t xml:space="preserve">Shot 7</w:t></w:r></w:p></w:tc><w:tc><w:tcPr><w:tcW w:type="dxa" w:w="7200"/><w:tcMar><w:top w:type="dxa" w:w="60"/><w:left w:type="dxa" w:w="120"/><w:bottom w:type="dxa" w:w="60"/><w:right w:type="dxa" w:w="120"/></w:tcMar></w:tcPr><w:p><w:r><w:rPr><w:color w:val="0F172A"/><w:sz w:val="20"/><w:szCs w:val="20"/></w:rPr><w:t xml:space="preserve">Data packet panel — CSV files backing each optimizer step</w:t></w:r></w:p></w:tc></w:tr><w:tr><w:tc><w:tcPr><w:tcW w:type="dxa" w:w="2160"/><w:shd w:fill="EFF6FF" w:val="clear"/><w:tcMar><w:top w:type="dxa" w:w="60"/><w:left w:type="dxa" w:w="120"/><w:bottom w:type="dxa" w:w="60"/><w:right w:type="dxa" w:w="120"/></w:tcMar></w:tcPr><w:p><w:r><w:rPr><w:b/><w:bCs/><w:color w:val="1E3A5F"/><w:sz w:val="20"/><w:szCs w:val="20"/></w:rPr><w:t xml:space="preserve">Shot 8</w:t></w:r></w:p></w:tc><w:tc><w:tcPr><w:tcW w:type="dxa" w:w="7200"/><w:tcMar><w:top w:type="dxa" w:w="60"/><w:left w:type="dxa" w:w="120"/><w:bottom w:type="dxa" w:w="60"/><w:right w:type="dxa" w:w="120"/></w:tcMar></w:tcPr><w:p><w:r><w:rPr><w:color w:val="0F172A"/><w:sz w:val="20"/><w:szCs w:val="20"/></w:rPr><w:t xml:space="preserve">Executive workflow timeline — Financing, Collateral, Money Market chain</w:t></w:r></w:p></w:tc></w:tr><w:tr><w:tc><w:tcPr><w:tcW w:type="dxa" w:w="2160"/><w:shd w:fill="EFF6FF" w:val="clear"/><w:tcMar><w:top w:type="dxa" w:w="60"/><w:left w:type="dxa" w:w="120"/><w:bottom w:type="dxa" w:w="60"/><w:right w:type="dxa" w:w="120"/></w:tcMar></w:tcPr><w:p><w:r><w:rPr><w:b/><w:bCs/><w:color w:val="1E3A5F"/><w:sz w:val="20"/><w:szCs w:val="20"/></w:rPr><w:t xml:space="preserve">Shot 9</w:t></w:r></w:p></w:tc><w:tc><w:tcPr><w:tcW w:type="dxa" w:w="7200"/><w:tcMar><w:top w:type="dxa" w:w="60"/><w:left w:type="dxa" w:w="120"/><w:bottom w:type="dxa" w:w="60"/><w:right w:type="dxa" w:w="120"/></w:tcMar></w:tcPr><w:p><w:r><w:rPr><w:color w:val="0F172A"/><w:sz w:val="20"/><w:szCs w:val="20"/></w:rPr><w:t xml:space="preserve">Dependency effects table — upstream stress changes downstream constraints</w:t></w:r></w:p></w:tc></w:tr><w:tr><w:tc><w:tcPr><w:tcW w:type="dxa" w:w="2160"/><w:shd w:fill="EFF6FF" w:val="clear"/><w:tcMar><w:top w:type="dxa" w:w="60"/><w:left w:type="dxa" w:w="120"/><w:bottom w:type="dxa" w:w="60"/><w:right w:type="dxa" w:w="120"/></w:tcMar></w:tcPr><w:p><w:r><w:rPr><w:b/><w:bCs/><w:color w:val="1E3A5F"/><w:sz w:val="20"/><w:szCs w:val="20"/></w:rPr><w:t xml:space="preserve">Shot 10</w:t></w:r></w:p></w:tc><w:tc><w:tcPr><w:tcW w:type="dxa" w:w="7200"/><w:tcMar><w:top w:type="dxa" w:w="60"/><w:left w:type="dxa" w:w="120"/><w:bottom w:type="dxa" w:w="60"/><w:right w:type="dxa" w:w="120"/></w:tcMar></w:tcPr><w:p><w:r><w:rPr><w:color w:val="0F172A"/><w:sz w:val="20"/><w:szCs w:val="20"/></w:rPr><w:t xml:space="preserve">Export Evidence button — JSON and PDF proof packet from the completed run</w:t></w:r></w:p></w:tc></w:tr><w:tr><w:tc><w:tcPr><w:tcW w:type="dxa" w:w="2160"/><w:shd w:fill="EFF6FF" w:val="clear"/><w:tcMar><w:top w:type="dxa" w:w="60"/><w:left w:type="dxa" w:w="120"/><w:bottom w:type="dxa" w:w="60"/><w:right w:type="dxa" w:w="120"/></w:tcMar></w:tcPr><w:p><w:r><w:rPr><w:b/><w:bCs/><w:color w:val="1E3A5F"/><w:sz w:val="20"/><w:szCs w:val="20"/></w:rPr><w:t xml:space="preserve">Shot 11</w:t></w:r></w:p></w:tc><w:tc><w:tcPr><w:tcW w:type="dxa" w:w="7200"/><w:tcMar><w:top w:type="dxa" w:w="60"/><w:left w:type="dxa" w:w="120"/><w:bottom w:type="dxa" w:w="60"/><w:right w:type="dxa" w:w="120"/></w:tcMar></w:tcPr><w:p><w:r><w:rPr><w:color w:val="0F172A"/><w:sz w:val="20"/><w:szCs w:val="20"/></w:rPr><w:t xml:space="preserve">Explanation and next actions — recommendation is explainable and auditable</w:t></w:r></w:p></w:tc></w:tr><w:tr><w:tc><w:tcPr><w:tcW w:type="dxa" w:w="2160"/><w:shd w:fill="EFF6FF" w:val="clear"/><w:tcMar><w:top w:type="dxa" w:w="60"/><w:left w:type="dxa" w:w="120"/><w:bottom w:type="dxa" w:w="60"/><w:right w:type="dxa" w:w="120"/></w:tcMar></w:tcPr><w:p><w:r><w:rPr><w:b/><w:bCs/><w:color w:val="1E3A5F"/><w:sz w:val="20"/><w:szCs w:val="20"/></w:rPr><w:t xml:space="preserve">Shot 12</w:t></w:r></w:p></w:tc><w:tc><w:tcPr><w:tcW w:type="dxa" w:w="7200"/><w:tcMar><w:top w:type="dxa" w:w="60"/><w:left w:type="dxa" w:w="120"/><w:bottom w:type="dxa" w:w="60"/><w:right w:type="dxa" w:w="120"/></w:tcMar></w:tcPr><w:p><w:r><w:rPr><w:color w:val="0F172A"/><w:sz w:val="20"/><w:szCs w:val="20"/></w:rPr><w:t xml:space="preserve">Collateral schedule clip — haircuts and concentration limits become optimizer controls</w:t></w:r></w:p></w:tc></w:tr><w:tr><w:tc><w:tcPr><w:tcW w:type="dxa" w:w="2160"/><w:shd w:fill="EFF6FF" w:val="clear"/><w:tcMar><w:top w:type="dxa" w:w="60"/><w:left w:type="dxa" w:w="120"/><w:bottom w:type="dxa" w:w="60"/><w:right w:type="dxa" w:w="120"/></w:tcMar></w:tcPr><w:p><w:r><w:rPr><w:b/><w:bCs/><w:color w:val="1E3A5F"/><w:sz w:val="20"/><w:szCs w:val="20"/></w:rPr><w:t xml:space="preserve">Shot 13</w:t></w:r></w:p></w:tc><w:tc><w:tcPr><w:tcW w:type="dxa" w:w="7200"/><w:tcMar><w:top w:type="dxa" w:w="60"/><w:left w:type="dxa" w:w="120"/><w:bottom w:type="dxa" w:w="60"/><w:right w:type="dxa" w:w="120"/></w:tcMar></w:tcPr><w:p><w:r><w:rPr><w:color w:val="0F172A"/><w:sz w:val="20"/><w:szCs w:val="20"/></w:rPr><w:t xml:space="preserve">Collateral HQLA clip — before/after liquidity and HQLA tier exposure under stress</w:t></w:r></w:p></w:tc></w:tr></w:tbl><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Collateral HQLA Orchestration Walkthrough</w:t></w:r></w:p></w:tc><w:tc><w:tcPr><w:tcW w:type="dxa" w:w="1800"/><w:shd w:fill="B45309" w:val="clear"/><w:tcMar><w:top w:type="dxa" w:w="100"/><w:left w:type="dxa" w:w="80"/><w:bottom w:type="dxa" w:w="100"/><w:right w:type="dxa" w:w="80"/></w:tcMar><w:vAlign w:val="center"/></w:tcPr><w:p><w:pPr><w:jc w:val="center"/></w:pPr><w:r><w:rPr><w:b/><w:bCs/><w:color w:val="FFFFFF"/><w:sz w:val="19"/><w:szCs w:val="19"/></w:rPr><w:t xml:space="preserve">Collateral Video</w:t></w:r></w:p></w:tc></w:tr></w:tbl><w:p><w:pPr><w:spacing w:after="80"/></w:pPr><w:r><w:t xml:space="preserve"></w:t></w:r></w:p><w:p><w:pPr><w:spacing w:after="120"/></w:pPr><w:r><w:rPr><w:color w:val="0F172A"/><w:sz w:val="22"/><w:szCs w:val="22"/></w:rPr><w:t xml:space="preserve">Corresponds to the video clip: collateral-liquidity-hqla-orchestration-example.mp4. Markets-facing proof path showing schedule ingestion, collateral optimization under stress, and downstream liquidity impact.</w:t></w:r></w:p><w:p><w:pPr><w:spacing w:after="80"/></w:pPr><w:r><w:t xml:space="preserve"></w:t></w:r></w:p><w:p><w:pPr><w:pStyle w:val="Heading3"/></w:pPr><w:r><w:t xml:space="preserve">Browser Steps</w:t></w:r></w:p><w:p><w:pPr><w:pStyle w:val="ListParagraph"/><w:numPr><w:ilvl w:val="0"/><w:numId w:val="1"/></w:numPr><w:spacing w:after="80"/></w:pPr><w:r><w:rPr><w:color w:val="0F172A"/><w:sz w:val="21"/><w:szCs w:val="21"/></w:rPr><w:t xml:space="preserve">Start the demo with make demo-ui</w:t></w:r></w:p><w:p><w:pPr><w:pStyle w:val="ListParagraph"/><w:numPr><w:ilvl w:val="0"/><w:numId w:val="1"/></w:numPr><w:spacing w:after="80"/></w:pPr><w:r><w:rPr><w:color w:val="0F172A"/><w:sz w:val="21"/><w:szCs w:val="21"/></w:rPr><w:t xml:space="preserve">Click Load Collateral HQLA in the video path panel, or choose Collateral in guided chat quick actions</w:t></w:r></w:p><w:p><w:pPr><w:pStyle w:val="ListParagraph"/><w:numPr><w:ilvl w:val="0"/><w:numId w:val="1"/></w:numPr><w:spacing w:after="80"/></w:pPr><w:r><w:rPr><w:color w:val="0F172A"/><w:sz w:val="21"/><w:szCs w:val="21"/></w:rPr><w:t xml:space="preserve">In Schedule Intake, click Load Sample, then Ingest Schedule</w:t></w:r></w:p><w:p><w:pPr><w:pStyle w:val="ListParagraph"/><w:numPr><w:ilvl w:val="0"/><w:numId w:val="1"/></w:numPr><w:spacing w:after="80"/></w:pPr><w:r><w:rPr><w:color w:val="0F172A"/><w:sz w:val="21"/><w:szCs w:val="21"/></w:rPr><w:t xml:space="preserve">Optionally switch the intake backend to Ollama assisted or Auto when local Ollama is running</w:t></w:r></w:p><w:p><w:pPr><w:pStyle w:val="ListParagraph"/><w:numPr><w:ilvl w:val="0"/><w:numId w:val="1"/></w:numPr><w:spacing w:after="80"/></w:pPr><w:r><w:rPr><w:color w:val="0F172A"/><w:sz w:val="21"/><w:szCs w:val="21"/></w:rPr><w:t xml:space="preserve">Ask Ollama Chat to explain how the schedule changes the workflow</w:t></w:r></w:p><w:p><w:pPr><w:pStyle w:val="ListParagraph"/><w:numPr><w:ilvl w:val="0"/><w:numId w:val="1"/></w:numPr><w:spacing w:after="80"/></w:pPr><w:r><w:rPr><w:color w:val="0F172A"/><w:sz w:val="21"/><w:szCs w:val="21"/></w:rPr><w:t xml:space="preserve">Click Review &amp; Run, then run the collateral liquidity workflow</w:t></w:r></w:p><w:p><w:pPr><w:pStyle w:val="ListParagraph"/><w:numPr><w:ilvl w:val="0"/><w:numId w:val="1"/></w:numPr><w:spacing w:after="80"/></w:pPr><w:r><w:rPr><w:color w:val="0F172A"/><w:sz w:val="21"/><w:szCs w:val="21"/></w:rPr><w:t xml:space="preserve">Use Collateral HQLA Analytics to show before/after liquidity profile, Fed HQLA tier exposure, concentration usage, allocation counts, dependency effects, and governance evidence</w:t></w:r></w:p><w:p><w:pPr><w:spacing w:after="80"/></w:pPr><w:r><w:t xml:space="preserve"></w:t></w:r></w:p><w:p><w:pPr><w:pStyle w:val="Heading3"/></w:pPr><w:r><w:t xml:space="preserve">Suggested Narration</w:t></w:r></w:p><w:p><w:pPr><w:spacing w:after="100"/></w:pPr><w:r><w:rPr><w:i/><w:iCs/><w:color w:val="64748B"/><w:sz w:val="22"/><w:szCs w:val="22"/></w:rPr><w:t xml:space="preserve">&quot;This collateral example starts with the controls that actually govern the desk: haircuts, eligibility, and concentration limits from a collateral schedule. The agent guides the review, the deterministic optimizer allocates scarce collateral under stress, and the output is shown as before/after liquidity, HQLA tier exposure, and reviewer-ready evidence.&quot;</w:t></w:r></w:p><w:p><w:pPr><w:spacing w:after="80"/></w:pPr><w:r><w:t xml:space="preserve"></w:t></w:r></w:p><w:p><w:pPr><w:pStyle w:val="Heading3"/></w:pPr><w:r><w:t xml:space="preserve">Key Call-Outs</w:t></w:r></w:p><w:p><w:pPr><w:pStyle w:val="ListParagraph"/><w:numPr><w:ilvl w:val="0"/><w:numId w:val="1"/></w:numPr><w:spacing w:after="80"/></w:pPr><w:r><w:rPr><w:color w:val="0F172A"/><w:sz w:val="21"/><w:szCs w:val="21"/></w:rPr><w:t xml:space="preserve">Haircuts and concentration caps are treated as model inputs, not slide notes</w:t></w:r></w:p><w:p><w:pPr><w:pStyle w:val="ListParagraph"/><w:numPr><w:ilvl w:val="0"/><w:numId w:val="1"/></w:numPr><w:spacing w:after="80"/></w:pPr><w:r><w:rPr><w:color w:val="0F172A"/><w:sz w:val="21"/><w:szCs w:val="21"/></w:rPr><w:t xml:space="preserve">Preflight validation blocks missing inventory, obligations, or eligibility</w:t></w:r></w:p><w:p><w:pPr><w:pStyle w:val="ListParagraph"/><w:numPr><w:ilvl w:val="0"/><w:numId w:val="1"/></w:numPr><w:spacing w:after="80"/></w:pPr><w:r><w:rPr><w:color w:val="0F172A"/><w:sz w:val="21"/><w:szCs w:val="21"/></w:rPr><w:t xml:space="preserve">The collateral optimizer preserves higher-quality liquidity where possible</w:t></w:r></w:p><w:p><w:pPr><w:pStyle w:val="ListParagraph"/><w:numPr><w:ilvl w:val="0"/><w:numId w:val="1"/></w:numPr><w:spacing w:after="80"/></w:pPr><w:r><w:rPr><w:color w:val="0F172A"/><w:sz w:val="21"/><w:szCs w:val="21"/></w:rPr><w:t xml:space="preserve">HQLA and capital-tier exposure make the result legible to treasury and risk</w:t></w:r></w:p><w:p><w:pPr><w:pStyle w:val="ListParagraph"/><w:numPr><w:ilvl w:val="0"/><w:numId w:val="1"/></w:numPr><w:spacing w:after="80"/></w:pPr><w:r><w:rPr><w:color w:val="0F172A"/><w:sz w:val="21"/><w:szCs w:val="21"/></w:rPr><w:t xml:space="preserve">Governance and export evidence are visible before the recommendation becomes an action</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Collateral Schedule Ingestion Stress Walkthrough</w:t></w:r></w:p></w:tc><w:tc><w:tcPr><w:tcW w:type="dxa" w:w="1800"/><w:shd w:fill="B45309" w:val="clear"/><w:tcMar><w:top w:type="dxa" w:w="100"/><w:left w:type="dxa" w:w="80"/><w:bottom w:type="dxa" w:w="100"/><w:right w:type="dxa" w:w="80"/></w:tcMar><w:vAlign w:val="center"/></w:tcPr><w:p><w:pPr><w:jc w:val="center"/></w:pPr><w:r><w:rPr><w:b/><w:bCs/><w:color w:val="FFFFFF"/><w:sz w:val="19"/><w:szCs w:val="19"/></w:rPr><w:t xml:space="preserve">Collateral Video</w:t></w:r></w:p></w:tc></w:tr></w:tbl><w:p><w:pPr><w:spacing w:after="80"/></w:pPr><w:r><w:t xml:space="preserve"></w:t></w:r></w:p><w:p><w:pPr><w:spacing w:after="120"/></w:pPr><w:r><w:rPr><w:color w:val="0F172A"/><w:sz w:val="22"/><w:szCs w:val="22"/></w:rPr><w:t xml:space="preserve">Corresponds to the video clip: collateral-schedule-ingestion-stress-example.mp4. Focused on the schedule ingestion side: showing how a collateral schedule document (haircuts, eligibility, concentration caps) flows into the optimizer as live model inputs rather than static configuration.</w:t></w:r></w:p><w:p><w:pPr><w:spacing w:after="80"/></w:pPr><w:r><w:t xml:space="preserve"></w:t></w:r></w:p><w:p><w:pPr><w:pStyle w:val="Heading3"/></w:pPr><w:r><w:t xml:space="preserve">Key Proof Points</w:t></w:r></w:p><w:p><w:pPr><w:pStyle w:val="ListParagraph"/><w:numPr><w:ilvl w:val="0"/><w:numId w:val="1"/></w:numPr><w:spacing w:after="80"/></w:pPr><w:r><w:rPr><w:color w:val="0F172A"/><w:sz w:val="21"/><w:szCs w:val="21"/></w:rPr><w:t xml:space="preserve">The ingestion pipeline reads haircut fractions, eligible asset classes, and counterparty-level concentration limits from a policy document</w:t></w:r></w:p><w:p><w:pPr><w:pStyle w:val="ListParagraph"/><w:numPr><w:ilvl w:val="0"/><w:numId w:val="1"/></w:numPr><w:spacing w:after="80"/></w:pPr><w:r><w:rPr><w:color w:val="0F172A"/><w:sz w:val="21"/><w:szCs w:val="21"/></w:rPr><w:t xml:space="preserve">Extracted fields are shown in a review table with evidence snippets before being applied to the optimizer</w:t></w:r></w:p><w:p><w:pPr><w:pStyle w:val="ListParagraph"/><w:numPr><w:ilvl w:val="0"/><w:numId w:val="1"/></w:numPr><w:spacing w:after="80"/></w:pPr><w:r><w:rPr><w:color w:val="0F172A"/><w:sz w:val="21"/><w:szCs w:val="21"/></w:rPr><w:t xml:space="preserve">Stress the obligation scale (1.85×) to show which assets remain eligible after the haircut and coverage filters</w:t></w:r></w:p><w:p><w:pPr><w:pStyle w:val="ListParagraph"/><w:numPr><w:ilvl w:val="0"/><w:numId w:val="1"/></w:numPr><w:spacing w:after="80"/></w:pPr><w:r><w:rPr><w:color w:val="0F172A"/><w:sz w:val="21"/><w:szCs w:val="21"/></w:rPr><w:t xml:space="preserve">The optimizer minimizes funding cost subject to the ingested constraints — not hard-coded model values</w:t></w:r></w:p><w:p><w:pPr><w:spacing w:after="160"/></w:pPr><w:r><w:t xml:space="preserve"></w:t></w:r></w:p><w:p><w:pPr><w:pBdr><w:bottom w:val="single" w:color="CBD5E1" w:sz="4" w:space="1"/></w:pBdr><w:spacing w:after="160"/></w:pPr><w:r><w:t xml:space="preserve"></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560"/><w:gridCol w:w="1800"/></w:tblGrid><w:tr><w:tc><w:tcPr><w:tcW w:type="dxa" w:w="7560"/><w:shd w:fill="1E3A5F" w:val="clear"/><w:tcMar><w:top w:type="dxa" w:w="100"/><w:left w:type="dxa" w:w="160"/><w:bottom w:type="dxa" w:w="100"/><w:right w:type="dxa" w:w="80"/></w:tcMar><w:vAlign w:val="center"/></w:tcPr><w:p><w:r><w:rPr><w:b/><w:bCs/><w:color w:val="FFFFFF"/><w:sz w:val="26"/><w:szCs w:val="26"/></w:rPr><w:t xml:space="preserve">IPS Ingestion Demo Walkthrough</w:t></w:r></w:p></w:tc><w:tc><w:tcPr><w:tcW w:type="dxa" w:w="1800"/><w:shd w:fill="B45309" w:val="clear"/><w:tcMar><w:top w:type="dxa" w:w="100"/><w:left w:type="dxa" w:w="80"/><w:bottom w:type="dxa" w:w="100"/><w:right w:type="dxa" w:w="80"/></w:tcMar><w:vAlign w:val="center"/></w:tcPr><w:p><w:pPr><w:jc w:val="center"/></w:pPr><w:r><w:rPr><w:b/><w:bCs/><w:color w:val="FFFFFF"/><w:sz w:val="19"/><w:szCs w:val="19"/></w:rPr><w:t xml:space="preserve">Intake Agent</w:t></w:r></w:p></w:tc></w:tr></w:tbl><w:p><w:pPr><w:spacing w:after="80"/></w:pPr><w:r><w:t xml:space="preserve"></w:t></w:r></w:p><w:p><w:pPr><w:spacing w:after="120"/></w:pPr><w:r><w:rPr><w:color w:val="0F172A"/><w:sz w:val="22"/><w:szCs w:val="22"/></w:rPr><w:t xml:space="preserve">Corresponds to examples/run_ips_ingestion_demo.py and the browser IPS upload panel. Shows how a nontechnical policy statement populates optimizer inputs and can be reviewed before execution.</w:t></w:r></w:p><w:p><w:pPr><w:spacing w:after="80"/></w:pPr><w:r><w:t xml:space="preserve"></w:t></w:r></w:p><w:p><w:pPr><w:pStyle w:val="Heading3"/></w:pPr><w:r><w:t xml:space="preserve">MVO IPS Story — Recommended Primary</w:t></w:r></w:p><w:p><w:pPr><w:spacing w:after="120"/></w:pPr><w:r><w:rPr><w:color w:val="0F172A"/><w:sz w:val="22"/><w:szCs w:val="22"/></w:rPr><w:t xml:space="preserve">Use examples/policies/sample_mvo_ips.txt. The policy language includes portfolio notional ($250M), target annual return (5.25%), risk aversion lambda (3.5), single asset cap (40%), cash floor (3%), and a governance production constraint change flag. The extraction maps all of these to typed optimizer inputs.</w:t></w:r></w:p><w:p><w:pPr><w:spacing w:after="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160"/><w:gridCol w:w="7200"/></w:tblGrid><w:tr><w:tc><w:tcPr><w:tcW w:type="dxa" w:w="2160"/><w:shd w:fill="EFF6FF" w:val="clear"/><w:tcMar><w:top w:type="dxa" w:w="60"/><w:left w:type="dxa" w:w="120"/><w:bottom w:type="dxa" w:w="60"/><w:right w:type="dxa" w:w="120"/></w:tcMar></w:tcPr><w:p><w:r><w:rPr><w:b/><w:bCs/><w:color w:val="1E3A5F"/><w:sz w:val="20"/><w:szCs w:val="20"/></w:rPr><w:t xml:space="preserve">portfolio_id</w:t></w:r></w:p></w:tc><w:tc><w:tcPr><w:tcW w:type="dxa" w:w="7200"/><w:tcMar><w:top w:type="dxa" w:w="60"/><w:left w:type="dxa" w:w="120"/><w:bottom w:type="dxa" w:w="60"/><w:right w:type="dxa" w:w="120"/></w:tcMar></w:tcPr><w:p><w:r><w:rPr><w:color w:val="0F172A"/><w:sz w:val="20"/><w:szCs w:val="20"/></w:rPr><w:t xml:space="preserve">PORT_MVO_900</w:t></w:r></w:p></w:tc></w:tr><w:tr><w:tc><w:tcPr><w:tcW w:type="dxa" w:w="2160"/><w:shd w:fill="EFF6FF" w:val="clear"/><w:tcMar><w:top w:type="dxa" w:w="60"/><w:left w:type="dxa" w:w="120"/><w:bottom w:type="dxa" w:w="60"/><w:right w:type="dxa" w:w="120"/></w:tcMar></w:tcPr><w:p><w:r><w:rPr><w:b/><w:bCs/><w:color w:val="1E3A5F"/><w:sz w:val="20"/><w:szCs w:val="20"/></w:rPr><w:t xml:space="preserve">portfolio_notional</w:t></w:r></w:p></w:tc><w:tc><w:tcPr><w:tcW w:type="dxa" w:w="7200"/><w:tcMar><w:top w:type="dxa" w:w="60"/><w:left w:type="dxa" w:w="120"/><w:bottom w:type="dxa" w:w="60"/><w:right w:type="dxa" w:w="120"/></w:tcMar></w:tcPr><w:p><w:r><w:rPr><w:color w:val="0F172A"/><w:sz w:val="20"/><w:szCs w:val="20"/></w:rPr><w:t xml:space="preserve">$250,000,000</w:t></w:r></w:p></w:tc></w:tr><w:tr><w:tc><w:tcPr><w:tcW w:type="dxa" w:w="2160"/><w:shd w:fill="EFF6FF" w:val="clear"/><w:tcMar><w:top w:type="dxa" w:w="60"/><w:left w:type="dxa" w:w="120"/><w:bottom w:type="dxa" w:w="60"/><w:right w:type="dxa" w:w="120"/></w:tcMar></w:tcPr><w:p><w:r><w:rPr><w:b/><w:bCs/><w:color w:val="1E3A5F"/><w:sz w:val="20"/><w:szCs w:val="20"/></w:rPr><w:t xml:space="preserve">target_return</w:t></w:r></w:p></w:tc><w:tc><w:tcPr><w:tcW w:type="dxa" w:w="7200"/><w:tcMar><w:top w:type="dxa" w:w="60"/><w:left w:type="dxa" w:w="120"/><w:bottom w:type="dxa" w:w="60"/><w:right w:type="dxa" w:w="120"/></w:tcMar></w:tcPr><w:p><w:r><w:rPr><w:color w:val="0F172A"/><w:sz w:val="20"/><w:szCs w:val="20"/></w:rPr><w:t xml:space="preserve">5.25%</w:t></w:r></w:p></w:tc></w:tr><w:tr><w:tc><w:tcPr><w:tcW w:type="dxa" w:w="2160"/><w:shd w:fill="EFF6FF" w:val="clear"/><w:tcMar><w:top w:type="dxa" w:w="60"/><w:left w:type="dxa" w:w="120"/><w:bottom w:type="dxa" w:w="60"/><w:right w:type="dxa" w:w="120"/></w:tcMar></w:tcPr><w:p><w:r><w:rPr><w:b/><w:bCs/><w:color w:val="1E3A5F"/><w:sz w:val="20"/><w:szCs w:val="20"/></w:rPr><w:t xml:space="preserve">risk_aversion</w:t></w:r></w:p></w:tc><w:tc><w:tcPr><w:tcW w:type="dxa" w:w="7200"/><w:tcMar><w:top w:type="dxa" w:w="60"/><w:left w:type="dxa" w:w="120"/><w:bottom w:type="dxa" w:w="60"/><w:right w:type="dxa" w:w="120"/></w:tcMar></w:tcPr><w:p><w:r><w:rPr><w:color w:val="0F172A"/><w:sz w:val="20"/><w:szCs w:val="20"/></w:rPr><w:t xml:space="preserve">3.5</w:t></w:r></w:p></w:tc></w:tr><w:tr><w:tc><w:tcPr><w:tcW w:type="dxa" w:w="2160"/><w:shd w:fill="EFF6FF" w:val="clear"/><w:tcMar><w:top w:type="dxa" w:w="60"/><w:left w:type="dxa" w:w="120"/><w:bottom w:type="dxa" w:w="60"/><w:right w:type="dxa" w:w="120"/></w:tcMar></w:tcPr><w:p><w:r><w:rPr><w:b/><w:bCs/><w:color w:val="1E3A5F"/><w:sz w:val="20"/><w:szCs w:val="20"/></w:rPr><w:t xml:space="preserve">max_single_asset_weight</w:t></w:r></w:p></w:tc><w:tc><w:tcPr><w:tcW w:type="dxa" w:w="7200"/><w:tcMar><w:top w:type="dxa" w:w="60"/><w:left w:type="dxa" w:w="120"/><w:bottom w:type="dxa" w:w="60"/><w:right w:type="dxa" w:w="120"/></w:tcMar></w:tcPr><w:p><w:r><w:rPr><w:color w:val="0F172A"/><w:sz w:val="20"/><w:szCs w:val="20"/></w:rPr><w:t xml:space="preserve">40%</w:t></w:r></w:p></w:tc></w:tr><w:tr><w:tc><w:tcPr><w:tcW w:type="dxa" w:w="2160"/><w:shd w:fill="EFF6FF" w:val="clear"/><w:tcMar><w:top w:type="dxa" w:w="60"/><w:left w:type="dxa" w:w="120"/><w:bottom w:type="dxa" w:w="60"/><w:right w:type="dxa" w:w="120"/></w:tcMar></w:tcPr><w:p><w:r><w:rPr><w:b/><w:bCs/><w:color w:val="1E3A5F"/><w:sz w:val="20"/><w:szCs w:val="20"/></w:rPr><w:t xml:space="preserve">min_cash_weight</w:t></w:r></w:p></w:tc><w:tc><w:tcPr><w:tcW w:type="dxa" w:w="7200"/><w:tcMar><w:top w:type="dxa" w:w="60"/><w:left w:type="dxa" w:w="120"/><w:bottom w:type="dxa" w:w="60"/><w:right w:type="dxa" w:w="120"/></w:tcMar></w:tcPr><w:p><w:r><w:rPr><w:color w:val="0F172A"/><w:sz w:val="20"/><w:szCs w:val="20"/></w:rPr><w:t xml:space="preserve">3%</w:t></w:r></w:p></w:tc></w:tr><w:tr><w:tc><w:tcPr><w:tcW w:type="dxa" w:w="2160"/><w:shd w:fill="EFF6FF" w:val="clear"/><w:tcMar><w:top w:type="dxa" w:w="60"/><w:left w:type="dxa" w:w="120"/><w:bottom w:type="dxa" w:w="60"/><w:right w:type="dxa" w:w="120"/></w:tcMar></w:tcPr><w:p><w:r><w:rPr><w:b/><w:bCs/><w:color w:val="1E3A5F"/><w:sz w:val="20"/><w:szCs w:val="20"/></w:rPr><w:t xml:space="preserve">materiality_notional</w:t></w:r></w:p></w:tc><w:tc><w:tcPr><w:tcW w:type="dxa" w:w="7200"/><w:tcMar><w:top w:type="dxa" w:w="60"/><w:left w:type="dxa" w:w="120"/><w:bottom w:type="dxa" w:w="60"/><w:right w:type="dxa" w:w="120"/></w:tcMar></w:tcPr><w:p><w:r><w:rPr><w:color w:val="0F172A"/><w:sz w:val="20"/><w:szCs w:val="20"/></w:rPr><w:t xml:space="preserve">$250,000,000</w:t></w:r></w:p></w:tc></w:tr><w:tr><w:tc><w:tcPr><w:tcW w:type="dxa" w:w="2160"/><w:shd w:fill="EFF6FF" w:val="clear"/><w:tcMar><w:top w:type="dxa" w:w="60"/><w:left w:type="dxa" w:w="120"/><w:bottom w:type="dxa" w:w="60"/><w:right w:type="dxa" w:w="120"/></w:tcMar></w:tcPr><w:p><w:r><w:rPr><w:b/><w:bCs/><w:color w:val="1E3A5F"/><w:sz w:val="20"/><w:szCs w:val="20"/></w:rPr><w:t xml:space="preserve">production_constraint_change</w:t></w:r></w:p></w:tc><w:tc><w:tcPr><w:tcW w:type="dxa" w:w="7200"/><w:tcMar><w:top w:type="dxa" w:w="60"/><w:left w:type="dxa" w:w="120"/><w:bottom w:type="dxa" w:w="60"/><w:right w:type="dxa" w:w="120"/></w:tcMar></w:tcPr><w:p><w:r><w:rPr><w:color w:val="0F172A"/><w:sz w:val="20"/><w:szCs w:val="20"/></w:rPr><w:t xml:space="preserve">true → triggers Tier 5 governance</w:t></w:r></w:p></w:tc></w:tr></w:tbl><w:p><w:pPr><w:spacing w:after="80"/></w:pPr><w:r><w:t xml:space="preserve"></w:t></w:r></w:p><w:p><w:pPr><w:pStyle w:val="Heading3"/></w:pPr><w:r><w:t xml:space="preserve">Browser Talk Track</w:t></w:r></w:p><w:p><w:pPr><w:pStyle w:val="ListParagraph"/><w:numPr><w:ilvl w:val="0"/><w:numId w:val="1"/></w:numPr><w:spacing w:after="80"/></w:pPr><w:r><w:rPr><w:color w:val="0F172A"/><w:sz w:val="21"/><w:szCs w:val="21"/></w:rPr><w:t xml:space="preserve">Open the workflow selector and choose Balanced MVO Rebalance</w:t></w:r></w:p><w:p><w:pPr><w:pStyle w:val="ListParagraph"/><w:numPr><w:ilvl w:val="0"/><w:numId w:val="1"/></w:numPr><w:spacing w:after="80"/></w:pPr><w:r><w:rPr><w:color w:val="0F172A"/><w:sz w:val="21"/><w:szCs w:val="21"/></w:rPr><w:t xml:space="preserve">Say: &quot;Instead of typing these constraints manually, I can ingest the IPS&quot;</w:t></w:r></w:p><w:p><w:pPr><w:pStyle w:val="ListParagraph"/><w:numPr><w:ilvl w:val="0"/><w:numId w:val="1"/></w:numPr><w:spacing w:after="80"/></w:pPr><w:r><w:rPr><w:color w:val="0F172A"/><w:sz w:val="21"/><w:szCs w:val="21"/></w:rPr><w:t xml:space="preserve">Show examples/policies/sample_mvo_ips.txt</w:t></w:r></w:p><w:p><w:pPr><w:pStyle w:val="ListParagraph"/><w:numPr><w:ilvl w:val="0"/><w:numId w:val="1"/></w:numPr><w:spacing w:after="80"/></w:pPr><w:r><w:rPr><w:color w:val="0F172A"/><w:sz w:val="21"/><w:szCs w:val="21"/></w:rPr><w:t xml:space="preserve">Run the terminal or API ingestion command</w:t></w:r></w:p><w:p><w:pPr><w:pStyle w:val="ListParagraph"/><w:numPr><w:ilvl w:val="0"/><w:numId w:val="1"/></w:numPr><w:spacing w:after="80"/></w:pPr><w:r><w:rPr><w:color w:val="0F172A"/><w:sz w:val="21"/><w:szCs w:val="21"/></w:rPr><w:t xml:space="preserve">Point to the extracted field table and evidence snippets</w:t></w:r></w:p><w:p><w:pPr><w:pStyle w:val="ListParagraph"/><w:numPr><w:ilvl w:val="0"/><w:numId w:val="1"/></w:numPr><w:spacing w:after="80"/></w:pPr><w:r><w:rPr><w:color w:val="0F172A"/><w:sz w:val="21"/><w:szCs w:val="21"/></w:rPr><w:t xml:space="preserve">Say: &quot;These values become the workflow context patch, but they are still reviewable before the optimization runs&quot;</w:t></w:r></w:p><w:p><w:pPr><w:pStyle w:val="ListParagraph"/><w:numPr><w:ilvl w:val="0"/><w:numId w:val="1"/></w:numPr><w:spacing w:after="80"/></w:pPr><w:r><w:rPr><w:color w:val="0F172A"/><w:sz w:val="21"/><w:szCs w:val="21"/></w:rPr><w:t xml:space="preserve">Apply the values to the UI preset fields and run the workflow</w:t></w:r></w:p><w:p><w:pPr><w:pStyle w:val="ListParagraph"/><w:numPr><w:ilvl w:val="0"/><w:numId w:val="1"/></w:numPr><w:spacing w:after="80"/></w:pPr><w:r><w:rPr><w:color w:val="0F172A"/><w:sz w:val="21"/><w:szCs w:val="21"/></w:rPr><w:t xml:space="preserve">Point to governance tiering caused by the production constraint change</w:t></w:r></w:p><w:p><w:pPr><w:spacing w:after="160"/></w:pPr><w:r><w:t xml:space="preserve"></w:t></w:r></w:p><w:p><w:pPr><w:pBdr><w:bottom w:val="single" w:color="CBD5E1" w:sz="4" w:space="1"/></w:pBdr><w:spacing w:after="160"/></w:pPr><w:r><w:t xml:space="preserve"></w:t></w:r></w:p><w:p><w:pPr><w:spacing w:after="80"/></w:pPr><w:r><w:t xml:space="preserve"></w:t></w:r></w:p><w:p><w:r><w:br w:type="page"/></w:r></w:p><w:p><w:pPr><w:pStyle w:val="Heading1"/></w:pPr><w:r><w:t xml:space="preserve">Governance Tier Reference</w:t></w:r></w:p><w:p><w:pPr><w:spacing w:after="120"/></w:pPr><w:r><w:rPr><w:color w:val="0F172A"/><w:sz w:val="22"/><w:szCs w:val="22"/></w:rPr><w:t xml:space="preserve">Every request carries an execution mode that maps to a human-approval tier. The optimization math runs identically in all modes; governance controls whether the implied action may proceed.</w:t></w:r></w:p><w:p><w:pPr><w:spacing w:after="1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w:gridCol w:w="1872"/><w:gridCol w:w="2340"/><w:gridCol w:w="2340"/><w:gridCol w:w="1872"/></w:tblGrid><w:tr><0/></w:tr><w:tr><w:tc><w:tcPr><w:tcW w:type="dxa" w:w="936"/><w:shd w:fill="FFFFFF" w:val="clear"/><w:tcMar><w:top w:type="dxa" w:w="60"/><w:left w:type="dxa" w:w="100"/><w:bottom w:type="dxa" w:w="60"/><w:right w:type="dxa" w:w="100"/></w:tcMar></w:tcPr><w:p><w:r><w:rPr><w:color w:val="0F172A"/><w:sz w:val="19"/><w:szCs w:val="19"/></w:rPr><w:t xml:space="preserve">0</w:t></w:r></w:p></w:tc><w:tc><w:tcPr><w:tcW w:type="dxa" w:w="1872"/><w:shd w:fill="FFFFFF" w:val="clear"/><w:tcMar><w:top w:type="dxa" w:w="60"/><w:left w:type="dxa" w:w="100"/><w:bottom w:type="dxa" w:w="60"/><w:right w:type="dxa" w:w="100"/></w:tcMar></w:tcPr><w:p><w:r><w:rPr><w:color w:val="0F172A"/><w:sz w:val="19"/><w:szCs w:val="19"/></w:rPr><w:t xml:space="preserve">explain</w:t></w:r></w:p></w:tc><w:tc><w:tcPr><w:tcW w:type="dxa" w:w="2340"/><w:shd w:fill="FFFFFF" w:val="clear"/><w:tcMar><w:top w:type="dxa" w:w="60"/><w:left w:type="dxa" w:w="100"/><w:bottom w:type="dxa" w:w="60"/><w:right w:type="dxa" w:w="100"/></w:tcMar></w:tcPr><w:p><w:r><w:rPr><w:color w:val="0F172A"/><w:sz w:val="19"/><w:szCs w:val="19"/></w:rPr><w:t xml:space="preserve">Analysis only</w:t></w:r></w:p></w:tc><w:tc><w:tcPr><w:tcW w:type="dxa" w:w="2340"/><w:shd w:fill="FFFFFF" w:val="clear"/><w:tcMar><w:top w:type="dxa" w:w="60"/><w:left w:type="dxa" w:w="100"/><w:bottom w:type="dxa" w:w="60"/><w:right w:type="dxa" w:w="100"/></w:tcMar></w:tcPr><w:p><w:r><w:rPr><w:color w:val="0F172A"/><w:sz w:val="19"/><w:szCs w:val="19"/></w:rPr><w:t xml:space="preserve">Auto-allowed</w:t></w:r></w:p></w:tc><w:tc><w:tcPr><w:tcW w:type="dxa" w:w="1872"/><w:shd w:fill="FFFFFF" w:val="clear"/><w:tcMar><w:top w:type="dxa" w:w="60"/><w:left w:type="dxa" w:w="100"/><w:bottom w:type="dxa" w:w="60"/><w:right w:type="dxa" w:w="100"/></w:tcMar></w:tcPr><w:p><w:r><w:rPr><w:color w:val="0F172A"/><w:sz w:val="19"/><w:szCs w:val="19"/></w:rPr><w:t xml:space="preserve">—</w:t></w:r></w:p></w:tc></w:tr><w:tr><w:tc><w:tcPr><w:tcW w:type="dxa" w:w="936"/><w:shd w:fill="EFF6FF" w:val="clear"/><w:tcMar><w:top w:type="dxa" w:w="60"/><w:left w:type="dxa" w:w="100"/><w:bottom w:type="dxa" w:w="60"/><w:right w:type="dxa" w:w="100"/></w:tcMar></w:tcPr><w:p><w:r><w:rPr><w:color w:val="0F172A"/><w:sz w:val="19"/><w:szCs w:val="19"/></w:rPr><w:t xml:space="preserve">1</w:t></w:r></w:p></w:tc><w:tc><w:tcPr><w:tcW w:type="dxa" w:w="1872"/><w:shd w:fill="EFF6FF" w:val="clear"/><w:tcMar><w:top w:type="dxa" w:w="60"/><w:left w:type="dxa" w:w="100"/><w:bottom w:type="dxa" w:w="60"/><w:right w:type="dxa" w:w="100"/></w:tcMar></w:tcPr><w:p><w:r><w:rPr><w:color w:val="0F172A"/><w:sz w:val="19"/><w:szCs w:val="19"/></w:rPr><w:t xml:space="preserve">scenario_analysis</w:t></w:r></w:p></w:tc><w:tc><w:tcPr><w:tcW w:type="dxa" w:w="2340"/><w:shd w:fill="EFF6FF" w:val="clear"/><w:tcMar><w:top w:type="dxa" w:w="60"/><w:left w:type="dxa" w:w="100"/><w:bottom w:type="dxa" w:w="60"/><w:right w:type="dxa" w:w="100"/></w:tcMar></w:tcPr><w:p><w:r><w:rPr><w:color w:val="0F172A"/><w:sz w:val="19"/><w:szCs w:val="19"/></w:rPr><w:t xml:space="preserve">What-if analysis</w:t></w:r></w:p></w:tc><w:tc><w:tcPr><w:tcW w:type="dxa" w:w="2340"/><w:shd w:fill="EFF6FF" w:val="clear"/><w:tcMar><w:top w:type="dxa" w:w="60"/><w:left w:type="dxa" w:w="100"/><w:bottom w:type="dxa" w:w="60"/><w:right w:type="dxa" w:w="100"/></w:tcMar></w:tcPr><w:p><w:r><w:rPr><w:color w:val="0F172A"/><w:sz w:val="19"/><w:szCs w:val="19"/></w:rPr><w:t xml:space="preserve">Auto-allowed</w:t></w:r></w:p></w:tc><w:tc><w:tcPr><w:tcW w:type="dxa" w:w="1872"/><w:shd w:fill="EFF6FF" w:val="clear"/><w:tcMar><w:top w:type="dxa" w:w="60"/><w:left w:type="dxa" w:w="100"/><w:bottom w:type="dxa" w:w="60"/><w:right w:type="dxa" w:w="100"/></w:tcMar></w:tcPr><w:p><w:r><w:rPr><w:color w:val="0F172A"/><w:sz w:val="19"/><w:szCs w:val="19"/></w:rPr><w:t xml:space="preserve">—</w:t></w:r></w:p></w:tc></w:tr><w:tr><w:tc><w:tcPr><w:tcW w:type="dxa" w:w="936"/><w:shd w:fill="FFFFFF" w:val="clear"/><w:tcMar><w:top w:type="dxa" w:w="60"/><w:left w:type="dxa" w:w="100"/><w:bottom w:type="dxa" w:w="60"/><w:right w:type="dxa" w:w="100"/></w:tcMar></w:tcPr><w:p><w:r><w:rPr><w:color w:val="0F172A"/><w:sz w:val="19"/><w:szCs w:val="19"/></w:rPr><w:t xml:space="preserve">2</w:t></w:r></w:p></w:tc><w:tc><w:tcPr><w:tcW w:type="dxa" w:w="1872"/><w:shd w:fill="FFFFFF" w:val="clear"/><w:tcMar><w:top w:type="dxa" w:w="60"/><w:left w:type="dxa" w:w="100"/><w:bottom w:type="dxa" w:w="60"/><w:right w:type="dxa" w:w="100"/></w:tcMar></w:tcPr><w:p><w:r><w:rPr><w:color w:val="0F172A"/><w:sz w:val="19"/><w:szCs w:val="19"/></w:rPr><w:t xml:space="preserve">recommendation</w:t></w:r></w:p></w:tc><w:tc><w:tcPr><w:tcW w:type="dxa" w:w="2340"/><w:shd w:fill="FFFFFF" w:val="clear"/><w:tcMar><w:top w:type="dxa" w:w="60"/><w:left w:type="dxa" w:w="100"/><w:bottom w:type="dxa" w:w="60"/><w:right w:type="dxa" w:w="100"/></w:tcMar></w:tcPr><w:p><w:r><w:rPr><w:color w:val="0F172A"/><w:sz w:val="19"/><w:szCs w:val="19"/></w:rPr><w:t xml:space="preserve">Produce recommendation</w:t></w:r></w:p></w:tc><w:tc><w:tcPr><w:tcW w:type="dxa" w:w="2340"/><w:shd w:fill="FFFFFF" w:val="clear"/><w:tcMar><w:top w:type="dxa" w:w="60"/><w:left w:type="dxa" w:w="100"/><w:bottom w:type="dxa" w:w="60"/><w:right w:type="dxa" w:w="100"/></w:tcMar></w:tcPr><w:p><w:r><w:rPr><w:color w:val="0F172A"/><w:sz w:val="19"/><w:szCs w:val="19"/></w:rPr><w:t xml:space="preserve">Auto-allowed</w:t></w:r></w:p></w:tc><w:tc><w:tcPr><w:tcW w:type="dxa" w:w="1872"/><w:shd w:fill="FFFFFF" w:val="clear"/><w:tcMar><w:top w:type="dxa" w:w="60"/><w:left w:type="dxa" w:w="100"/><w:bottom w:type="dxa" w:w="60"/><w:right w:type="dxa" w:w="100"/></w:tcMar></w:tcPr><w:p><w:r><w:rPr><w:color w:val="0F172A"/><w:sz w:val="19"/><w:szCs w:val="19"/></w:rPr><w:t xml:space="preserve">Governed Recommendation Baseline</w:t></w:r></w:p></w:tc></w:tr><w:tr><w:tc><w:tcPr><w:tcW w:type="dxa" w:w="936"/><w:shd w:fill="EFF6FF" w:val="clear"/><w:tcMar><w:top w:type="dxa" w:w="60"/><w:left w:type="dxa" w:w="100"/><w:bottom w:type="dxa" w:w="60"/><w:right w:type="dxa" w:w="100"/></w:tcMar></w:tcPr><w:p><w:r><w:rPr><w:color w:val="0F172A"/><w:sz w:val="19"/><w:szCs w:val="19"/></w:rPr><w:t xml:space="preserve">3</w:t></w:r></w:p></w:tc><w:tc><w:tcPr><w:tcW w:type="dxa" w:w="1872"/><w:shd w:fill="EFF6FF" w:val="clear"/><w:tcMar><w:top w:type="dxa" w:w="60"/><w:left w:type="dxa" w:w="100"/><w:bottom w:type="dxa" w:w="60"/><w:right w:type="dxa" w:w="100"/></w:tcMar></w:tcPr><w:p><w:r><w:rPr><w:color w:val="0F172A"/><w:sz w:val="19"/><w:szCs w:val="19"/></w:rPr><w:t xml:space="preserve">stage</w:t></w:r></w:p></w:tc><w:tc><w:tcPr><w:tcW w:type="dxa" w:w="2340"/><w:shd w:fill="EFF6FF" w:val="clear"/><w:tcMar><w:top w:type="dxa" w:w="60"/><w:left w:type="dxa" w:w="100"/><w:bottom w:type="dxa" w:w="60"/><w:right w:type="dxa" w:w="100"/></w:tcMar></w:tcPr><w:p><w:r><w:rPr><w:color w:val="0F172A"/><w:sz w:val="19"/><w:szCs w:val="19"/></w:rPr><w:t xml:space="preserve">Stage a transaction</w:t></w:r></w:p></w:tc><w:tc><w:tcPr><w:tcW w:type="dxa" w:w="2340"/><w:shd w:fill="EFF6FF" w:val="clear"/><w:tcMar><w:top w:type="dxa" w:w="60"/><w:left w:type="dxa" w:w="100"/><w:bottom w:type="dxa" w:w="60"/><w:right w:type="dxa" w:w="100"/></w:tcMar></w:tcPr><w:p><w:r><w:rPr><w:color w:val="0F172A"/><w:sz w:val="19"/><w:szCs w:val="19"/></w:rPr><w:t xml:space="preserve">Approval required</w:t></w:r></w:p></w:tc><w:tc><w:tcPr><w:tcW w:type="dxa" w:w="1872"/><w:shd w:fill="EFF6FF" w:val="clear"/><w:tcMar><w:top w:type="dxa" w:w="60"/><w:left w:type="dxa" w:w="100"/><w:bottom w:type="dxa" w:w="60"/><w:right w:type="dxa" w:w="100"/></w:tcMar></w:tcPr><w:p><w:r><w:rPr><w:color w:val="0F172A"/><w:sz w:val="19"/><w:szCs w:val="19"/></w:rPr><w:t xml:space="preserve">—</w:t></w:r></w:p></w:tc></w:tr><w:tr><w:tc><w:tcPr><w:tcW w:type="dxa" w:w="936"/><w:shd w:fill="FFFFFF" w:val="clear"/><w:tcMar><w:top w:type="dxa" w:w="60"/><w:left w:type="dxa" w:w="100"/><w:bottom w:type="dxa" w:w="60"/><w:right w:type="dxa" w:w="100"/></w:tcMar></w:tcPr><w:p><w:r><w:rPr><w:color w:val="0F172A"/><w:sz w:val="19"/><w:szCs w:val="19"/></w:rPr><w:t xml:space="preserve">4</w:t></w:r></w:p></w:tc><w:tc><w:tcPr><w:tcW w:type="dxa" w:w="1872"/><w:shd w:fill="FFFFFF" w:val="clear"/><w:tcMar><w:top w:type="dxa" w:w="60"/><w:left w:type="dxa" w:w="100"/><w:bottom w:type="dxa" w:w="60"/><w:right w:type="dxa" w:w="100"/></w:tcMar></w:tcPr><w:p><w:r><w:rPr><w:color w:val="0F172A"/><w:sz w:val="19"/><w:szCs w:val="19"/></w:rPr><w:t xml:space="preserve">execute + high notional</w:t></w:r></w:p></w:tc><w:tc><w:tcPr><w:tcW w:type="dxa" w:w="2340"/><w:shd w:fill="FFFFFF" w:val="clear"/><w:tcMar><w:top w:type="dxa" w:w="60"/><w:left w:type="dxa" w:w="100"/><w:bottom w:type="dxa" w:w="60"/><w:right w:type="dxa" w:w="100"/></w:tcMar></w:tcPr><w:p><w:r><w:rPr><w:color w:val="0F172A"/><w:sz w:val="19"/><w:szCs w:val="19"/></w:rPr><w:t xml:space="preserve">Execute transaction</w:t></w:r></w:p></w:tc><w:tc><w:tcPr><w:tcW w:type="dxa" w:w="2340"/><w:shd w:fill="FFFFFF" w:val="clear"/><w:tcMar><w:top w:type="dxa" w:w="60"/><w:left w:type="dxa" w:w="100"/><w:bottom w:type="dxa" w:w="60"/><w:right w:type="dxa" w:w="100"/></w:tcMar></w:tcPr><w:p><w:r><w:rPr><w:color w:val="0F172A"/><w:sz w:val="19"/><w:szCs w:val="19"/></w:rPr><w:t xml:space="preserve">Approval required</w:t></w:r></w:p></w:tc><w:tc><w:tcPr><w:tcW w:type="dxa" w:w="1872"/><w:shd w:fill="FFFFFF" w:val="clear"/><w:tcMar><w:top w:type="dxa" w:w="60"/><w:left w:type="dxa" w:w="100"/><w:bottom w:type="dxa" w:w="60"/><w:right w:type="dxa" w:w="100"/></w:tcMar></w:tcPr><w:p><w:r><w:rPr><w:color w:val="0F172A"/><w:sz w:val="19"/><w:szCs w:val="19"/></w:rPr><w:t xml:space="preserve">Large Notional Approval Review</w:t></w:r></w:p></w:tc></w:tr><w:tr><w:tc><w:tcPr><w:tcW w:type="dxa" w:w="936"/><w:shd w:fill="EFF6FF" w:val="clear"/><w:tcMar><w:top w:type="dxa" w:w="60"/><w:left w:type="dxa" w:w="100"/><w:bottom w:type="dxa" w:w="60"/><w:right w:type="dxa" w:w="100"/></w:tcMar></w:tcPr><w:p><w:r><w:rPr><w:color w:val="0F172A"/><w:sz w:val="19"/><w:szCs w:val="19"/></w:rPr><w:t xml:space="preserve">5</w:t></w:r></w:p></w:tc><w:tc><w:tcPr><w:tcW w:type="dxa" w:w="1872"/><w:shd w:fill="EFF6FF" w:val="clear"/><w:tcMar><w:top w:type="dxa" w:w="60"/><w:left w:type="dxa" w:w="100"/><w:bottom w:type="dxa" w:w="60"/><w:right w:type="dxa" w:w="100"/></w:tcMar></w:tcPr><w:p><w:r><w:rPr><w:color w:val="0F172A"/><w:sz w:val="19"/><w:szCs w:val="19"/></w:rPr><w:t xml:space="preserve">Any + constraint change</w:t></w:r></w:p></w:tc><w:tc><w:tcPr><w:tcW w:type="dxa" w:w="2340"/><w:shd w:fill="EFF6FF" w:val="clear"/><w:tcMar><w:top w:type="dxa" w:w="60"/><w:left w:type="dxa" w:w="100"/><w:bottom w:type="dxa" w:w="60"/><w:right w:type="dxa" w:w="100"/></w:tcMar></w:tcPr><w:p><w:r><w:rPr><w:color w:val="0F172A"/><w:sz w:val="19"/><w:szCs w:val="19"/></w:rPr><w:t xml:space="preserve">Model governance</w:t></w:r></w:p></w:tc><w:tc><w:tcPr><w:tcW w:type="dxa" w:w="2340"/><w:shd w:fill="EFF6FF" w:val="clear"/><w:tcMar><w:top w:type="dxa" w:w="60"/><w:left w:type="dxa" w:w="100"/><w:bottom w:type="dxa" w:w="60"/><w:right w:type="dxa" w:w="100"/></w:tcMar></w:tcPr><w:p><w:r><w:rPr><w:color w:val="0F172A"/><w:sz w:val="19"/><w:szCs w:val="19"/></w:rPr><w:t xml:space="preserve">Approval required</w:t></w:r></w:p></w:tc><w:tc><w:tcPr><w:tcW w:type="dxa" w:w="1872"/><w:shd w:fill="EFF6FF" w:val="clear"/><w:tcMar><w:top w:type="dxa" w:w="60"/><w:left w:type="dxa" w:w="100"/><w:bottom w:type="dxa" w:w="60"/><w:right w:type="dxa" w:w="100"/></w:tcMar></w:tcPr><w:p><w:r><w:rPr><w:color w:val="0F172A"/><w:sz w:val="19"/><w:szCs w:val="19"/></w:rPr><w:t xml:space="preserve">Production Constraint Change Review</w:t></w:r></w:p></w:tc></w:tr></w:tbl><w:p><w:pPr><w:spacing w:after="160"/></w:pPr><w:r><w:t xml:space="preserve"></w:t></w:r></w:p><w:p><w:pPr><w:spacing w:after="120"/></w:pPr><w:r><w:rPr><w:color w:val="0F172A"/><w:sz w:val="22"/><w:szCs w:val="22"/></w:rPr><w:t xml:space="preserve">The GovernanceController auto-routes each request based on execution_mode, estimated_pnl_impact vs materiality_notional, and the production_constraint_change flag. A two-phase flow (submit_decision then re-run) is supported for API-style approvals.</w:t></w:r></w:p><w:p><w:pPr><w:spacing w:after="160"/></w:pPr><w:r><w:t xml:space="preserve"></w:t></w:r></w:p><w:sectPr><w:footerReference w:type="default" r:id="rId7"/><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Decision Intelligence Platform — Scenario Reference Guide   |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Calibri" w:cs="Calibri" w:eastAsia="Calibri" w:hAnsi="Calibri"/>
      <w:sz w:val="22"/>
      <w:szCs w:val="22"/>
    </w:rPr>
  </w:style>
  <w:style w:type="paragraph" w:styleId="Heading1">
    <w:name w:val="Heading 1"/>
    <w:basedOn w:val="Normal"/>
    <w:next w:val="Normal"/>
    <w:pPr>
      <w:spacing w:after="160" w:before="320"/>
      <w:outlineLvl w:val="0"/>
    </w:pPr>
    <w:rPr>
      <w:rFonts w:ascii="Calibri" w:cs="Calibri" w:eastAsia="Calibri" w:hAnsi="Calibri"/>
      <w:b/>
      <w:bCs/>
      <w:color w:val="1E3A5F"/>
      <w:sz w:val="32"/>
      <w:szCs w:val="32"/>
    </w:rPr>
  </w:style>
  <w:style w:type="paragraph" w:styleId="Heading2">
    <w:name w:val="Heading 2"/>
    <w:basedOn w:val="Normal"/>
    <w:next w:val="Normal"/>
    <w:pPr>
      <w:spacing w:after="120" w:before="240"/>
      <w:outlineLvl w:val="1"/>
    </w:pPr>
    <w:rPr>
      <w:rFonts w:ascii="Calibri" w:cs="Calibri" w:eastAsia="Calibri" w:hAnsi="Calibri"/>
      <w:b/>
      <w:bCs/>
      <w:color w:val="2563EB"/>
      <w:sz w:val="26"/>
      <w:szCs w:val="26"/>
    </w:rPr>
  </w:style>
  <w:style w:type="paragraph" w:styleId="Heading3">
    <w:name w:val="Heading 3"/>
    <w:basedOn w:val="Normal"/>
    <w:next w:val="Normal"/>
    <w:pPr>
      <w:spacing w:after="80" w:before="160"/>
      <w:outlineLvl w:val="2"/>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2026-07-20T14:05:19.530Z</dcterms:created>
  <dcterms:modified xsi:type="dcterms:W3CDTF">2026-07-20T14:05:19.530Z</dcterms:modified>
</cp:coreProperties>
</file>

<file path=docProps/custom.xml><?xml version="1.0" encoding="utf-8"?>
<Properties xmlns="http://schemas.openxmlformats.org/officeDocument/2006/custom-properties" xmlns:vt="http://schemas.openxmlformats.org/officeDocument/2006/docPropsVTypes"/>
</file>