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B845C5E" w:rsidR="00370623" w:rsidRPr="00831029" w:rsidRDefault="000F2F37" w:rsidP="009673E5">
      <w:pPr>
        <w:pStyle w:val="Body2"/>
        <w:tabs>
          <w:tab w:val="clear" w:pos="2400"/>
          <w:tab w:val="left" w:pos="990"/>
        </w:tabs>
        <w:ind w:left="990" w:hanging="960"/>
      </w:pPr>
      <w:r w:rsidRPr="00831029">
        <w:rPr>
          <w:rStyle w:val="Gray0"/>
          <w:b/>
          <w:color w:val="000000"/>
        </w:rPr>
        <w:t>Software Engineer, Allscripts; Raleigh, NC – February 2019–</w:t>
      </w:r>
      <w:r w:rsidR="00CE7084">
        <w:rPr>
          <w:rStyle w:val="Gray0"/>
          <w:b/>
          <w:color w:val="000000"/>
        </w:rPr>
        <w:t>Present</w:t>
      </w:r>
    </w:p>
    <w:p w14:paraId="1C8DC57E" w14:textId="02516DF0"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CMS was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xml:space="preserve">.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 xml:space="preserve">I developed a </w:t>
      </w:r>
      <w:proofErr w:type="spellStart"/>
      <w:r w:rsidR="006853BE" w:rsidRPr="006853BE">
        <w:t>golang</w:t>
      </w:r>
      <w:proofErr w:type="spellEnd"/>
      <w:r w:rsidR="006853BE" w:rsidRPr="006853BE">
        <w:t xml:space="preserve"> container that applies constant rate of http calls (up to 200 </w:t>
      </w:r>
      <w:proofErr w:type="spellStart"/>
      <w:r w:rsidR="006853BE" w:rsidRPr="006853BE">
        <w:t>rps</w:t>
      </w:r>
      <w:proofErr w:type="spellEnd"/>
      <w:r w:rsidR="006853BE" w:rsidRPr="006853BE">
        <w:t xml:space="preserve">) to a system-under-test which then displayed the real-time performance results in Datadog and deployed the load generator into a </w:t>
      </w:r>
      <w:proofErr w:type="spellStart"/>
      <w:r w:rsidR="006853BE" w:rsidRPr="006853BE">
        <w:t>kubernetes</w:t>
      </w:r>
      <w:proofErr w:type="spellEnd"/>
      <w:r w:rsidR="006853BE" w:rsidRPr="006853BE">
        <w:t xml:space="preserve">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w:t>
      </w:r>
      <w:r w:rsidR="00153197">
        <w:t>,</w:t>
      </w:r>
      <w:r w:rsidR="001376DD">
        <w:t xml:space="preserve"> and client credential grant.</w:t>
      </w:r>
    </w:p>
    <w:p w14:paraId="5F30273D" w14:textId="30608C99"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w:t>
      </w:r>
      <w:r w:rsidR="00017137">
        <w:t>I reduced the platform’s overall security vulnerability by developing</w:t>
      </w:r>
      <w:r>
        <w:t xml:space="preserve"> and deploy</w:t>
      </w:r>
      <w:r w:rsidR="00017137">
        <w:t xml:space="preserve">ing </w:t>
      </w:r>
      <w:r>
        <w:t xml:space="preserve">an isomorphic </w:t>
      </w:r>
      <w:proofErr w:type="spellStart"/>
      <w:r>
        <w:t>reactjs</w:t>
      </w:r>
      <w:proofErr w:type="spellEnd"/>
      <w:r>
        <w:t xml:space="preserve"> app</w:t>
      </w:r>
      <w:r w:rsidR="007A4698">
        <w:t xml:space="preserve"> as a docker container</w:t>
      </w:r>
      <w:r>
        <w:t xml:space="preserve"> </w:t>
      </w:r>
      <w:r w:rsidR="00017137">
        <w:t>which eliminated the platforms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lastRenderedPageBreak/>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1B55CE" w:rsidRPr="00831029">
        <w:rPr>
          <w:rStyle w:val="Gray"/>
          <w:color w:val="000000"/>
        </w:rPr>
        <w:t>eXtend</w:t>
      </w:r>
      <w:r w:rsidR="00605281" w:rsidRPr="00831029">
        <w:rPr>
          <w:rStyle w:val="Gray"/>
          <w:color w:val="000000"/>
        </w:rPr>
        <w:t>ed</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24 x 7 high availability and disaster recovery of 85+ vSphere VMs 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 xml:space="preserve">Project ICON’s goal is to </w:t>
      </w:r>
      <w:r w:rsidR="007C670B" w:rsidRPr="00831029">
        <w:lastRenderedPageBreak/>
        <w:t>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677739B6" w:rsidR="00AE26EA" w:rsidRPr="00831029" w:rsidRDefault="0064608B" w:rsidP="0064608B">
      <w:pPr>
        <w:pStyle w:val="Subsection"/>
        <w:spacing w:before="100"/>
      </w:pPr>
      <w:r w:rsidRPr="00831029">
        <w:t>B</w:t>
      </w:r>
      <w:r w:rsidR="00AE26EA" w:rsidRPr="00831029">
        <w:t>achelor of</w:t>
      </w:r>
      <w:r w:rsidRPr="00831029">
        <w:t xml:space="preserve"> 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671D" w14:textId="77777777" w:rsidR="003F2CB2" w:rsidRDefault="003F2CB2">
      <w:r>
        <w:separator/>
      </w:r>
    </w:p>
  </w:endnote>
  <w:endnote w:type="continuationSeparator" w:id="0">
    <w:p w14:paraId="73145FDB" w14:textId="77777777" w:rsidR="003F2CB2" w:rsidRDefault="003F2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C8F55" w14:textId="77777777" w:rsidR="003F2CB2" w:rsidRDefault="003F2CB2">
      <w:r>
        <w:separator/>
      </w:r>
    </w:p>
  </w:footnote>
  <w:footnote w:type="continuationSeparator" w:id="0">
    <w:p w14:paraId="34C89EBA" w14:textId="77777777" w:rsidR="003F2CB2" w:rsidRDefault="003F2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EndPr>
      <w:rPr>
        <w:rStyle w:val="PageNumber"/>
      </w:rPr>
    </w:sdtEnd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EndPr>
      <w:rPr>
        <w:rStyle w:val="PageNumber"/>
      </w:rPr>
    </w:sdtEnd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6EEA"/>
    <w:rsid w:val="00087A0B"/>
    <w:rsid w:val="000B675F"/>
    <w:rsid w:val="000B6D54"/>
    <w:rsid w:val="000D00B3"/>
    <w:rsid w:val="000D28D0"/>
    <w:rsid w:val="000F1F9E"/>
    <w:rsid w:val="000F2F37"/>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D8F"/>
    <w:rsid w:val="004D1FF3"/>
    <w:rsid w:val="00525F8E"/>
    <w:rsid w:val="00526A6A"/>
    <w:rsid w:val="00533150"/>
    <w:rsid w:val="005432BC"/>
    <w:rsid w:val="00572FBE"/>
    <w:rsid w:val="00573A4E"/>
    <w:rsid w:val="005915C7"/>
    <w:rsid w:val="00594DAB"/>
    <w:rsid w:val="005A51A3"/>
    <w:rsid w:val="005B22B4"/>
    <w:rsid w:val="005C3F7A"/>
    <w:rsid w:val="005C5196"/>
    <w:rsid w:val="005C56B3"/>
    <w:rsid w:val="005D4EEA"/>
    <w:rsid w:val="005E2975"/>
    <w:rsid w:val="005E556A"/>
    <w:rsid w:val="005F1B65"/>
    <w:rsid w:val="00600D8C"/>
    <w:rsid w:val="0060188B"/>
    <w:rsid w:val="00604233"/>
    <w:rsid w:val="00605281"/>
    <w:rsid w:val="006110F5"/>
    <w:rsid w:val="00612CFC"/>
    <w:rsid w:val="00630293"/>
    <w:rsid w:val="006323BE"/>
    <w:rsid w:val="006404CB"/>
    <w:rsid w:val="0064608B"/>
    <w:rsid w:val="00646FEA"/>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449"/>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6088C"/>
    <w:rsid w:val="00A625F3"/>
    <w:rsid w:val="00A63E37"/>
    <w:rsid w:val="00A672D8"/>
    <w:rsid w:val="00A81D43"/>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1460</Words>
  <Characters>8137</Characters>
  <Application>Microsoft Office Word</Application>
  <DocSecurity>0</DocSecurity>
  <Lines>111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145</cp:revision>
  <dcterms:created xsi:type="dcterms:W3CDTF">2018-10-09T02:55:00Z</dcterms:created>
  <dcterms:modified xsi:type="dcterms:W3CDTF">2022-04-28T22:26:00Z</dcterms:modified>
</cp:coreProperties>
</file>