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864"/>
          <w:sz w:val="40"/>
          <w:szCs w:val="40"/>
        </w:rPr>
        <w:t xml:space="preserve">Metric reliability analysis for the negative-steering pipeline</w:t>
      </w:r>
    </w:p>
    <w:p>
      <w:pPr>
        <w:spacing w:after="80"/>
        <w:jc w:val="center"/>
      </w:pPr>
      <w:r>
        <w:rPr>
          <w:rFonts w:ascii="Calibri" w:cs="Calibri" w:eastAsia="Calibri" w:hAnsi="Calibri"/>
          <w:i/>
          <w:iCs/>
          <w:color w:val="595959"/>
          <w:sz w:val="24"/>
          <w:szCs w:val="24"/>
        </w:rPr>
        <w:t xml:space="preserve">Boltz-2 confidence metrics on RFDiffusion-designed NLR-HMA binder interfaces</w:t>
      </w:r>
    </w:p>
    <w:p>
      <w:pPr>
        <w:spacing w:after="240"/>
        <w:jc w:val="center"/>
      </w:pPr>
      <w:r>
        <w:rPr>
          <w:rFonts w:ascii="Calibri" w:cs="Calibri" w:eastAsia="Calibri" w:hAnsi="Calibri"/>
          <w:color w:val="7F7F7F"/>
          <w:sz w:val="22"/>
          <w:szCs w:val="22"/>
        </w:rPr>
        <w:t xml:space="preserve">Research memo · 17 April 2026 · revised with review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How to read this revised memo</w:t>
            </w:r>
          </w:p>
          <w:p>
            <w:pPr>
              <w:spacing w:after="80" w:line="280"/>
              <w:jc w:val="both"/>
            </w:pPr>
            <w:r>
              <w:rPr>
                <w:rFonts w:ascii="Calibri" w:cs="Calibri" w:eastAsia="Calibri" w:hAnsi="Calibri"/>
                <w:color w:val="4A2E00"/>
                <w:sz w:val="20"/>
                <w:szCs w:val="20"/>
              </w:rPr>
              <w:t xml:space="preserve">This memo now carries inline review annotations in </w:t>
            </w:r>
            <w:r>
              <w:rPr>
                <w:rFonts w:ascii="Calibri" w:cs="Calibri" w:eastAsia="Calibri" w:hAnsi="Calibri"/>
                <w:b/>
                <w:bCs/>
                <w:color w:val="4A2E00"/>
                <w:sz w:val="20"/>
                <w:szCs w:val="20"/>
              </w:rPr>
              <w:t xml:space="preserve">amber-tinted blocks</w:t>
            </w:r>
            <w:r>
              <w:rPr>
                <w:rFonts w:ascii="Calibri" w:cs="Calibri" w:eastAsia="Calibri" w:hAnsi="Calibri"/>
                <w:color w:val="4A2E00"/>
                <w:sz w:val="20"/>
                <w:szCs w:val="20"/>
              </w:rPr>
              <w:t xml:space="preserve"> that respond to a detailed review of the first draft. The original prose is preserved verbatim; each annotation is anchored to the section it concerns. Where the reviewer's point overturns or materially modifies the original recommendation, the annotation says so explicitly rather than quietly amending upstream text.</w:t>
            </w:r>
          </w:p>
          <w:p>
            <w:pPr>
              <w:spacing w:after="80" w:line="280"/>
              <w:jc w:val="both"/>
            </w:pPr>
            <w:r>
              <w:rPr>
                <w:rFonts w:ascii="Calibri" w:cs="Calibri" w:eastAsia="Calibri" w:hAnsi="Calibri"/>
                <w:color w:val="4A2E00"/>
                <w:sz w:val="20"/>
                <w:szCs w:val="20"/>
              </w:rPr>
              <w:t xml:space="preserve">The biggest structural change is </w:t>
            </w:r>
            <w:r>
              <w:rPr>
                <w:rFonts w:ascii="Calibri" w:cs="Calibri" w:eastAsia="Calibri" w:hAnsi="Calibri"/>
                <w:b/>
                <w:bCs/>
                <w:color w:val="4A2E00"/>
                <w:sz w:val="20"/>
                <w:szCs w:val="20"/>
              </w:rPr>
              <w:t xml:space="preserve">a new Section 0 </w:t>
            </w:r>
            <w:r>
              <w:rPr>
                <w:rFonts w:ascii="Calibri" w:cs="Calibri" w:eastAsia="Calibri" w:hAnsi="Calibri"/>
                <w:color w:val="4A2E00"/>
                <w:sz w:val="20"/>
                <w:szCs w:val="20"/>
              </w:rPr>
              <w:t xml:space="preserve">reframing the entire analysis for the actual deployment scenario: ~100 MPNN sequences per design task, one seed each for the steering pipeline, selecting ~10 to carry forward to wet lab, across multiple design tasks per experiment. The single-sequence design_3 case the first draft leaned on is a development vehicle, not a representative run.</w:t>
            </w:r>
          </w:p>
        </w:tc>
      </w:tr>
    </w:tbl>
    <w:p>
      <w:pPr>
        <w:pStyle w:val="Heading1"/>
        <w:spacing w:after="160" w:before="360"/>
      </w:pPr>
      <w:r>
        <w:rPr>
          <w:rFonts w:ascii="Calibri" w:cs="Calibri" w:eastAsia="Calibri" w:hAnsi="Calibri"/>
          <w:b/>
          <w:bCs/>
          <w:color w:val="1F3864"/>
          <w:sz w:val="32"/>
          <w:szCs w:val="32"/>
        </w:rPr>
        <w:t xml:space="preserve">Executive summary</w:t>
      </w:r>
    </w:p>
    <w:p>
      <w:pPr>
        <w:spacing w:after="120" w:line="300"/>
        <w:jc w:val="both"/>
      </w:pPr>
      <w:r>
        <w:rPr>
          <w:rFonts w:ascii="Calibri" w:cs="Calibri" w:eastAsia="Calibri" w:hAnsi="Calibri"/>
          <w:sz w:val="22"/>
          <w:szCs w:val="22"/>
        </w:rPr>
        <w:t xml:space="preserve">This memo investigates which metrics should be used to rank surviving designs in the negative-steering pipeline, with particular attention to whether ipSAE reliably distinguishes correct from incorrect effector placement on RFDiffusion-designed, ProteinMPNN-sequenced NLR-HMA binders predicted by Boltz-2. The investigation combines a literature review of confidence-metric calibration for designed interfaces with quantitative analysis of the v4 pipeline output, a 10-seed validation of design_24, and the 200-seed variance test of the wild-type receptor sequence reported in notes 8.</w:t>
      </w:r>
    </w:p>
    <w:p>
      <w:pPr>
        <w:spacing w:after="120" w:line="300"/>
        <w:jc w:val="both"/>
      </w:pPr>
      <w:r>
        <w:rPr>
          <w:rFonts w:ascii="Calibri" w:cs="Calibri" w:eastAsia="Calibri" w:hAnsi="Calibri"/>
          <w:sz w:val="22"/>
          <w:szCs w:val="22"/>
        </w:rPr>
        <w:t xml:space="preserve">The central finding is that ipSAE and iPTM are anti-informative for this ranking task on this system. The wild-type MPNN receptor, which places the effector on the wrong surface in 100/100 predictions, has a higher mean ipSAE (0.787 ± 0.055) than design_24, which places the effector correctly in 10/10 predictions (0.755 ± 0.055). The separation has the wrong sign with Cohen's d = −0.58 for ipSAE and −1.54 for iPTM. Simulated AUROC for distinguishing correct from wrong interface comes out at 0.33 for ipSAE and 0.15 for iPTM — both worse than random. This reproduces, in microcosm on a single system, the calibration failure documented on 3,766 designed binders by Overath et al. (2025) and the nanobody-antigen discrimination failure on 106 cognate + 11,342 shuffled pairs reported in the Boltz-2 / AF3 / Chai-1 benchmark.</w:t>
      </w:r>
    </w:p>
    <w:p>
      <w:pPr>
        <w:spacing w:after="120" w:line="300"/>
        <w:jc w:val="both"/>
      </w:pPr>
      <w:r>
        <w:rPr>
          <w:rFonts w:ascii="Calibri" w:cs="Calibri" w:eastAsia="Calibri" w:hAnsi="Calibri"/>
          <w:sz w:val="22"/>
          <w:szCs w:val="22"/>
        </w:rPr>
        <w:t xml:space="preserve">The recommendation is to rank surviving designs by a structure-first composite — true_jaccard − wrong_jaccard − 0.1·ra_eff, computed as a median over at least three independent seeds — demote ipSAE/iPTM/pLDDT to permissive pass/fail filters, and add DockQ (or at minimum iRMSD + fnat) plus orthogonal physics-based descriptors (interface buried surface area, shape complementarity, Rosetta ΔΔG) to align the pipeline with the Bennett lab and Overath et al. practices for de-novo binder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Reframed bottom line</w:t>
            </w:r>
          </w:p>
          <w:p>
            <w:pPr>
              <w:spacing w:after="80" w:line="280"/>
              <w:jc w:val="both"/>
            </w:pPr>
            <w:r>
              <w:rPr>
                <w:rFonts w:ascii="Calibri" w:cs="Calibri" w:eastAsia="Calibri" w:hAnsi="Calibri"/>
                <w:b/>
                <w:bCs/>
                <w:color w:val="4A2E00"/>
                <w:sz w:val="20"/>
                <w:szCs w:val="20"/>
              </w:rPr>
              <w:t xml:space="preserve">The recommendation above is partially superseded.</w:t>
            </w:r>
            <w:r>
              <w:rPr>
                <w:rFonts w:ascii="Calibri" w:cs="Calibri" w:eastAsia="Calibri" w:hAnsi="Calibri"/>
                <w:color w:val="4A2E00"/>
                <w:sz w:val="20"/>
                <w:szCs w:val="20"/>
              </w:rPr>
              <w:t xml:space="preserve"> Four points from the review materially change it:</w:t>
            </w:r>
          </w:p>
          <w:p>
            <w:pPr>
              <w:pStyle w:val="ListParagraph"/>
              <w:numPr>
                <w:ilvl w:val="0"/>
                <w:numId w:val="2"/>
              </w:numPr>
              <w:spacing w:after="60" w:line="280"/>
              <w:jc w:val="left"/>
            </w:pPr>
            <w:r>
              <w:rPr>
                <w:rFonts w:ascii="Calibri" w:cs="Calibri" w:eastAsia="Calibri" w:hAnsi="Calibri"/>
                <w:b/>
                <w:bCs/>
                <w:color w:val="4A2E00"/>
                <w:sz w:val="20"/>
                <w:szCs w:val="20"/>
              </w:rPr>
              <w:t xml:space="preserve">wrong_jaccard is dropped from the composite. </w:t>
            </w:r>
            <w:r>
              <w:rPr>
                <w:rFonts w:ascii="Calibri" w:cs="Calibri" w:eastAsia="Calibri" w:hAnsi="Calibri"/>
                <w:color w:val="4A2E00"/>
                <w:sz w:val="20"/>
                <w:szCs w:val="20"/>
              </w:rPr>
              <w:t xml:space="preserve">The wrong interface can be immediately adjacent to the correct one on this small receptor, so a high wrong_jaccard does not mean "bad design" — it can mean "the correct interface shares residues with a neighbouring interface". Subtracting wrong_jaccard can actively penalise good designs. The revised primary ranker is therefore </w:t>
            </w:r>
            <w:r>
              <w:rPr>
                <w:rFonts w:ascii="Calibri" w:cs="Calibri" w:eastAsia="Calibri" w:hAnsi="Calibri"/>
                <w:b/>
                <w:bCs/>
                <w:color w:val="4A2E00"/>
                <w:sz w:val="20"/>
                <w:szCs w:val="20"/>
              </w:rPr>
              <w:t xml:space="preserve">true_jaccard − 0.05 · ra_eff</w:t>
            </w:r>
            <w:r>
              <w:rPr>
                <w:rFonts w:ascii="Calibri" w:cs="Calibri" w:eastAsia="Calibri" w:hAnsi="Calibri"/>
                <w:color w:val="4A2E00"/>
                <w:sz w:val="20"/>
                <w:szCs w:val="20"/>
              </w:rPr>
              <w:t xml:space="preserve"> on the single seed that the steering pipeline produces.</w:t>
            </w:r>
          </w:p>
          <w:p>
            <w:pPr>
              <w:pStyle w:val="ListParagraph"/>
              <w:numPr>
                <w:ilvl w:val="0"/>
                <w:numId w:val="2"/>
              </w:numPr>
              <w:spacing w:after="60" w:line="280"/>
              <w:jc w:val="left"/>
            </w:pPr>
            <w:r>
              <w:rPr>
                <w:rFonts w:ascii="Calibri" w:cs="Calibri" w:eastAsia="Calibri" w:hAnsi="Calibri"/>
                <w:b/>
                <w:bCs/>
                <w:color w:val="4A2E00"/>
                <w:sz w:val="20"/>
                <w:szCs w:val="20"/>
              </w:rPr>
              <w:t xml:space="preserve">The ra_eff coefficient is reduced from 0.1 to 0.05. </w:t>
            </w:r>
            <w:r>
              <w:rPr>
                <w:rFonts w:ascii="Calibri" w:cs="Calibri" w:eastAsia="Calibri" w:hAnsi="Calibri"/>
                <w:color w:val="4A2E00"/>
                <w:sz w:val="20"/>
                <w:szCs w:val="20"/>
              </w:rPr>
              <w:t xml:space="preserve">The reviewer notes that 1–4 Å differences in ra_eff are inside the Boltz-2 noise floor plus RFDiffusion backbone-geometry imprecision, so ra_eff should contribute to the composite but not dominate it. Its main role is to gate against the 30 Å wrong-interface case, not to separate 2.2 Å from 2.7 Å.</w:t>
            </w:r>
          </w:p>
          <w:p>
            <w:pPr>
              <w:pStyle w:val="ListParagraph"/>
              <w:numPr>
                <w:ilvl w:val="0"/>
                <w:numId w:val="2"/>
              </w:numPr>
              <w:spacing w:after="60" w:line="280"/>
              <w:jc w:val="left"/>
            </w:pPr>
            <w:r>
              <w:rPr>
                <w:rFonts w:ascii="Calibri" w:cs="Calibri" w:eastAsia="Calibri" w:hAnsi="Calibri"/>
                <w:b/>
                <w:bCs/>
                <w:color w:val="4A2E00"/>
                <w:sz w:val="20"/>
                <w:szCs w:val="20"/>
              </w:rPr>
              <w:t xml:space="preserve">Median-across-seeds is not feasible in the steering run itself. </w:t>
            </w:r>
            <w:r>
              <w:rPr>
                <w:rFonts w:ascii="Calibri" w:cs="Calibri" w:eastAsia="Calibri" w:hAnsi="Calibri"/>
                <w:color w:val="4A2E00"/>
                <w:sz w:val="20"/>
                <w:szCs w:val="20"/>
              </w:rPr>
              <w:t xml:space="preserve">With ~100 sequences per experiment across multiple design tasks, the GPU budget does not admit ≥3 seeds per sequence. Multi-seeding is therefore reserved for the top ~10 that are shortlisted after ranking, as a post-hoc validation step via </w:t>
            </w:r>
            <w:r>
              <w:rPr>
                <w:rFonts w:ascii="Calibri" w:cs="Calibri" w:eastAsia="Calibri" w:hAnsi="Calibri"/>
                <w:b/>
                <w:bCs/>
                <w:color w:val="4A2E00"/>
                <w:sz w:val="20"/>
                <w:szCs w:val="20"/>
              </w:rPr>
              <w:t xml:space="default">submit_final_validation.sh</w:t>
            </w:r>
            <w:r>
              <w:rPr>
                <w:rFonts w:ascii="Calibri" w:cs="Calibri" w:eastAsia="Calibri" w:hAnsi="Calibri"/>
                <w:color w:val="4A2E00"/>
                <w:sz w:val="20"/>
                <w:szCs w:val="20"/>
              </w:rPr>
              <w:t xml:space="preserve">. The primary ranker must work on one-seed data.</w:t>
            </w:r>
          </w:p>
          <w:p>
            <w:pPr>
              <w:pStyle w:val="ListParagraph"/>
              <w:numPr>
                <w:ilvl w:val="0"/>
                <w:numId w:val="2"/>
              </w:numPr>
              <w:spacing w:after="60" w:line="280"/>
              <w:jc w:val="left"/>
            </w:pPr>
            <w:r>
              <w:rPr>
                <w:rFonts w:ascii="Calibri" w:cs="Calibri" w:eastAsia="Calibri" w:hAnsi="Calibri"/>
                <w:b/>
                <w:bCs/>
                <w:color w:val="4A2E00"/>
                <w:sz w:val="20"/>
                <w:szCs w:val="20"/>
              </w:rPr>
              <w:t xml:space="preserve">ipSAE / iPTM / pLDDT / ipae retain their role as pass/fail filters, </w:t>
            </w:r>
            <w:r>
              <w:rPr>
                <w:rFonts w:ascii="Calibri" w:cs="Calibri" w:eastAsia="Calibri" w:hAnsi="Calibri"/>
                <w:color w:val="4A2E00"/>
                <w:sz w:val="20"/>
                <w:szCs w:val="20"/>
              </w:rPr>
              <w:t xml:space="preserve">not rankers. Nothing in the revision changes this — the anti-informative direction finding stands, and the reviewer accepts the interpretation that Boltz is correctly less confident on the designed interface because the designed interface is the one Boltz did not find on its own cold-start.</w:t>
            </w:r>
          </w:p>
          <w:p>
            <w:pPr>
              <w:spacing w:after="80" w:line="280"/>
              <w:jc w:val="both"/>
            </w:pPr>
            <w:r>
              <w:rPr>
                <w:rFonts w:ascii="Calibri" w:cs="Calibri" w:eastAsia="Calibri" w:hAnsi="Calibri"/>
                <w:color w:val="4A2E00"/>
                <w:sz w:val="20"/>
                <w:szCs w:val="20"/>
              </w:rPr>
              <w:t xml:space="preserve">Details are in §9 (revised) and the framing section below.</w:t>
            </w:r>
          </w:p>
        </w:tc>
      </w:tr>
    </w:tbl>
    <w:p>
      <w:pPr>
        <w:pStyle w:val="Heading2"/>
        <w:spacing w:after="140" w:before="280"/>
      </w:pPr>
      <w:r>
        <w:rPr>
          <w:rFonts w:ascii="Calibri" w:cs="Calibri" w:eastAsia="Calibri" w:hAnsi="Calibri"/>
          <w:b/>
          <w:bCs/>
          <w:color w:val="1F3864"/>
          <w:sz w:val="26"/>
          <w:szCs w:val="26"/>
        </w:rPr>
        <w:t xml:space="preserve">Contents</w:t>
      </w:r>
    </w:p>
    <w:p>
      <w:pPr>
        <w:pStyle w:val="ListParagraph"/>
        <w:numPr>
          <w:ilvl w:val="0"/>
          <w:numId w:val="3"/>
        </w:numPr>
        <w:spacing w:after="80" w:line="280"/>
      </w:pPr>
      <w:r>
        <w:rPr>
          <w:rFonts w:ascii="Calibri" w:cs="Calibri" w:eastAsia="Calibri" w:hAnsi="Calibri"/>
          <w:sz w:val="22"/>
          <w:szCs w:val="22"/>
        </w:rPr>
        <w:t xml:space="preserve">0. Deployment-scenario framing (added in revision)</w:t>
      </w:r>
    </w:p>
    <w:p>
      <w:pPr>
        <w:pStyle w:val="ListParagraph"/>
        <w:numPr>
          <w:ilvl w:val="0"/>
          <w:numId w:val="3"/>
        </w:numPr>
        <w:spacing w:after="80" w:line="280"/>
      </w:pPr>
      <w:r>
        <w:rPr>
          <w:rFonts w:ascii="Calibri" w:cs="Calibri" w:eastAsia="Calibri" w:hAnsi="Calibri"/>
          <w:sz w:val="22"/>
          <w:szCs w:val="22"/>
        </w:rPr>
        <w:t xml:space="preserve">1. Literature findings</w:t>
      </w:r>
    </w:p>
    <w:p>
      <w:pPr>
        <w:pStyle w:val="ListParagraph"/>
        <w:numPr>
          <w:ilvl w:val="0"/>
          <w:numId w:val="3"/>
        </w:numPr>
        <w:spacing w:after="80" w:line="280"/>
      </w:pPr>
      <w:r>
        <w:rPr>
          <w:rFonts w:ascii="Calibri" w:cs="Calibri" w:eastAsia="Calibri" w:hAnsi="Calibri"/>
          <w:sz w:val="22"/>
          <w:szCs w:val="22"/>
        </w:rPr>
        <w:t xml:space="preserve">2. Quantitative analysis of pipeline data</w:t>
      </w:r>
    </w:p>
    <w:p>
      <w:pPr>
        <w:pStyle w:val="ListParagraph"/>
        <w:numPr>
          <w:ilvl w:val="0"/>
          <w:numId w:val="3"/>
        </w:numPr>
        <w:spacing w:after="80" w:line="280"/>
      </w:pPr>
      <w:r>
        <w:rPr>
          <w:rFonts w:ascii="Calibri" w:cs="Calibri" w:eastAsia="Calibri" w:hAnsi="Calibri"/>
          <w:sz w:val="22"/>
          <w:szCs w:val="22"/>
        </w:rPr>
        <w:t xml:space="preserve">3. Is ipSAE useful as a relative rather than absolute ranker?</w:t>
      </w:r>
    </w:p>
    <w:p>
      <w:pPr>
        <w:pStyle w:val="ListParagraph"/>
        <w:numPr>
          <w:ilvl w:val="0"/>
          <w:numId w:val="3"/>
        </w:numPr>
        <w:spacing w:after="80" w:line="280"/>
      </w:pPr>
      <w:r>
        <w:rPr>
          <w:rFonts w:ascii="Calibri" w:cs="Calibri" w:eastAsia="Calibri" w:hAnsi="Calibri"/>
          <w:sz w:val="22"/>
          <w:szCs w:val="22"/>
        </w:rPr>
        <w:t xml:space="preserve">4. Seed variance — which prediction to use?</w:t>
      </w:r>
    </w:p>
    <w:p>
      <w:pPr>
        <w:pStyle w:val="ListParagraph"/>
        <w:numPr>
          <w:ilvl w:val="0"/>
          <w:numId w:val="3"/>
        </w:numPr>
        <w:spacing w:after="80" w:line="280"/>
      </w:pPr>
      <w:r>
        <w:rPr>
          <w:rFonts w:ascii="Calibri" w:cs="Calibri" w:eastAsia="Calibri" w:hAnsi="Calibri"/>
          <w:sz w:val="22"/>
          <w:szCs w:val="22"/>
        </w:rPr>
        <w:t xml:space="preserve">5. Random selection among near-tied RMSD designs</w:t>
      </w:r>
    </w:p>
    <w:p>
      <w:pPr>
        <w:pStyle w:val="ListParagraph"/>
        <w:numPr>
          <w:ilvl w:val="0"/>
          <w:numId w:val="3"/>
        </w:numPr>
        <w:spacing w:after="80" w:line="280"/>
      </w:pPr>
      <w:r>
        <w:rPr>
          <w:rFonts w:ascii="Calibri" w:cs="Calibri" w:eastAsia="Calibri" w:hAnsi="Calibri"/>
          <w:sz w:val="22"/>
          <w:szCs w:val="22"/>
        </w:rPr>
        <w:t xml:space="preserve">6. Has negative steering been used before?</w:t>
      </w:r>
    </w:p>
    <w:p>
      <w:pPr>
        <w:pStyle w:val="ListParagraph"/>
        <w:numPr>
          <w:ilvl w:val="0"/>
          <w:numId w:val="3"/>
        </w:numPr>
        <w:spacing w:after="80" w:line="280"/>
      </w:pPr>
      <w:r>
        <w:rPr>
          <w:rFonts w:ascii="Calibri" w:cs="Calibri" w:eastAsia="Calibri" w:hAnsi="Calibri"/>
          <w:sz w:val="22"/>
          <w:szCs w:val="22"/>
        </w:rPr>
        <w:t xml:space="preserve">7. Computational experiments that would increase metric confidence</w:t>
      </w:r>
    </w:p>
    <w:p>
      <w:pPr>
        <w:pStyle w:val="ListParagraph"/>
        <w:numPr>
          <w:ilvl w:val="0"/>
          <w:numId w:val="3"/>
        </w:numPr>
        <w:spacing w:after="80" w:line="280"/>
      </w:pPr>
      <w:r>
        <w:rPr>
          <w:rFonts w:ascii="Calibri" w:cs="Calibri" w:eastAsia="Calibri" w:hAnsi="Calibri"/>
          <w:sz w:val="22"/>
          <w:szCs w:val="22"/>
        </w:rPr>
        <w:t xml:space="preserve">8. Wet-lab experiments that would validate metric choices</w:t>
      </w:r>
    </w:p>
    <w:p>
      <w:pPr>
        <w:pStyle w:val="ListParagraph"/>
        <w:numPr>
          <w:ilvl w:val="0"/>
          <w:numId w:val="3"/>
        </w:numPr>
        <w:spacing w:after="80" w:line="280"/>
      </w:pPr>
      <w:r>
        <w:rPr>
          <w:rFonts w:ascii="Calibri" w:cs="Calibri" w:eastAsia="Calibri" w:hAnsi="Calibri"/>
          <w:sz w:val="22"/>
          <w:szCs w:val="22"/>
        </w:rPr>
        <w:t xml:space="preserve">9. Concrete recommendations</w:t>
      </w:r>
    </w:p>
    <w:p>
      <w:pPr>
        <w:pStyle w:val="ListParagraph"/>
        <w:numPr>
          <w:ilvl w:val="0"/>
          <w:numId w:val="3"/>
        </w:numPr>
        <w:spacing w:after="80" w:line="280"/>
      </w:pPr>
      <w:r>
        <w:rPr>
          <w:rFonts w:ascii="Calibri" w:cs="Calibri" w:eastAsia="Calibri" w:hAnsi="Calibri"/>
          <w:sz w:val="22"/>
          <w:szCs w:val="22"/>
        </w:rPr>
        <w:t xml:space="preserve">10. Summary table: metric → action</w:t>
      </w:r>
    </w:p>
    <w:p>
      <w:pPr>
        <w:pStyle w:val="ListParagraph"/>
        <w:numPr>
          <w:ilvl w:val="0"/>
          <w:numId w:val="3"/>
        </w:numPr>
        <w:spacing w:after="80" w:line="280"/>
      </w:pPr>
      <w:r>
        <w:rPr>
          <w:rFonts w:ascii="Calibri" w:cs="Calibri" w:eastAsia="Calibri" w:hAnsi="Calibri"/>
          <w:sz w:val="22"/>
          <w:szCs w:val="22"/>
        </w:rPr>
        <w:t xml:space="preserve">11.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New section 0 — added in revision</w:t>
            </w:r>
          </w:p>
          <w:p>
            <w:pPr>
              <w:spacing w:after="80" w:line="280"/>
              <w:jc w:val="both"/>
            </w:pPr>
            <w:r>
              <w:rPr>
                <w:rFonts w:ascii="Calibri" w:cs="Calibri" w:eastAsia="Calibri" w:hAnsi="Calibri"/>
                <w:color w:val="4A2E00"/>
                <w:sz w:val="20"/>
                <w:szCs w:val="20"/>
              </w:rPr>
              <w:t xml:space="preserve">Before anything else, the reviewer requested that the analysis be reframed around the actual deployment scenario, not the single-sequence design_3 case that dominates the first-draft data. The framing below governs everything downstream.</w:t>
            </w:r>
          </w:p>
        </w:tc>
      </w:tr>
    </w:tbl>
    <w:p>
      <w:pPr>
        <w:pStyle w:val="Heading1"/>
        <w:spacing w:after="160" w:before="360"/>
      </w:pPr>
      <w:r>
        <w:rPr>
          <w:rFonts w:ascii="Calibri" w:cs="Calibri" w:eastAsia="Calibri" w:hAnsi="Calibri"/>
          <w:b/>
          <w:bCs/>
          <w:color w:val="1F3864"/>
          <w:sz w:val="32"/>
          <w:szCs w:val="32"/>
        </w:rPr>
        <w:t xml:space="preserve">0. Deployment-scenario framing</w:t>
      </w:r>
    </w:p>
    <w:p>
      <w:pPr>
        <w:spacing w:after="120" w:line="300"/>
        <w:jc w:val="both"/>
      </w:pPr>
      <w:r>
        <w:rPr>
          <w:rFonts w:ascii="Calibri" w:cs="Calibri" w:eastAsia="Calibri" w:hAnsi="Calibri"/>
          <w:sz w:val="22"/>
          <w:szCs w:val="22"/>
        </w:rPr>
        <w:t xml:space="preserve">The negative-steering pipeline is going to be run in production in the following shape, per review clarification: one experiment = one (binder, target) pair; each experiment produces approximately 100 ProteinMPNN-designed receptor sequences; each sequence is run through the steering pipeline once (one seed, one steered prediction per sequence), producing one representative output per sequence; those 100 representative outputs are ranked against each other; approximately 10 are selected for wet-lab characterisation. Multiple experiments will be run in parallel on different protein pairs. Total GPU budget is bounded accordingly: roughly 100 × several-hundred-GPU-hours per experiment, many experiments per year.</w:t>
      </w:r>
    </w:p>
    <w:p>
      <w:pPr>
        <w:spacing w:after="120" w:line="300"/>
        <w:jc w:val="both"/>
      </w:pPr>
      <w:r>
        <w:rPr>
          <w:rFonts w:ascii="Calibri" w:cs="Calibri" w:eastAsia="Calibri" w:hAnsi="Calibri"/>
          <w:sz w:val="22"/>
          <w:szCs w:val="22"/>
        </w:rPr>
        <w:t xml:space="preserve">Four consequences follow directly, and they govern the rest of the memo:</w:t>
      </w:r>
    </w:p>
    <w:p>
      <w:pPr>
        <w:pStyle w:val="ListParagraph"/>
        <w:numPr>
          <w:ilvl w:val="0"/>
          <w:numId w:val="3"/>
        </w:numPr>
        <w:spacing w:after="80" w:line="280"/>
      </w:pPr>
      <w:r>
        <w:rPr>
          <w:rFonts w:ascii="Calibri" w:cs="Calibri" w:eastAsia="Calibri" w:hAnsi="Calibri"/>
          <w:b/>
          <w:bCs/>
          <w:sz w:val="22"/>
          <w:szCs w:val="22"/>
        </w:rPr>
        <w:t xml:space="preserve">Ranking must work on single-seed data. </w:t>
      </w:r>
      <w:r>
        <w:rPr>
          <w:rFonts w:ascii="Calibri" w:cs="Calibri" w:eastAsia="Calibri" w:hAnsi="Calibri"/>
          <w:sz w:val="22"/>
          <w:szCs w:val="22"/>
        </w:rPr>
        <w:t xml:space="preserve">Multi-seeding at the steering stage (recommended in the first draft) is not economically viable at 100 sequences × 3 seeds × multiple experiments. Seeds must therefore be treated as a fixed noise floor on the metric, not as a variable to average over. Multi-seed validation is reserved for the ~10 that pass the ranker — the submit_final_validation.sh "option E" workflow that already exists in notes 8.</w:t>
      </w:r>
    </w:p>
    <w:p>
      <w:pPr>
        <w:pStyle w:val="ListParagraph"/>
        <w:numPr>
          <w:ilvl w:val="0"/>
          <w:numId w:val="3"/>
        </w:numPr>
        <w:spacing w:after="80" w:line="280"/>
      </w:pPr>
      <w:r>
        <w:rPr>
          <w:rFonts w:ascii="Calibri" w:cs="Calibri" w:eastAsia="Calibri" w:hAnsi="Calibri"/>
          <w:b/>
          <w:bCs/>
          <w:sz w:val="22"/>
          <w:szCs w:val="22"/>
        </w:rPr>
        <w:t xml:space="preserve">The ranking data is a 100-sequence cohort, not a 10-seed replicate. </w:t>
      </w:r>
      <w:r>
        <w:rPr>
          <w:rFonts w:ascii="Calibri" w:cs="Calibri" w:eastAsia="Calibri" w:hAnsi="Calibri"/>
          <w:sz w:val="22"/>
          <w:szCs w:val="22"/>
        </w:rPr>
        <w:t xml:space="preserve">The first draft's analysis lives mostly on a 10-seed replicate of one sequence (design_24) — a within-sequence variance study. That is useful for characterising the noise floor but is not representative of the ranking signal the production pipeline depends on. The across-sequence signal — does the ranker sort 100 different sequences usefully — is what matters, and needs to be re-established on multi-sequence, multi-experiment data as it accumulates.</w:t>
      </w:r>
    </w:p>
    <w:p>
      <w:pPr>
        <w:pStyle w:val="ListParagraph"/>
        <w:numPr>
          <w:ilvl w:val="0"/>
          <w:numId w:val="3"/>
        </w:numPr>
        <w:spacing w:after="80" w:line="280"/>
      </w:pPr>
      <w:r>
        <w:rPr>
          <w:rFonts w:ascii="Calibri" w:cs="Calibri" w:eastAsia="Calibri" w:hAnsi="Calibri"/>
          <w:b/>
          <w:bCs/>
          <w:sz w:val="22"/>
          <w:szCs w:val="22"/>
        </w:rPr>
        <w:t xml:space="preserve">Contamination handling is the dominant pipeline loss, not metric choice. </w:t>
      </w:r>
      <w:r>
        <w:rPr>
          <w:rFonts w:ascii="Calibri" w:cs="Calibri" w:eastAsia="Calibri" w:hAnsi="Calibri"/>
          <w:sz w:val="22"/>
          <w:szCs w:val="22"/>
        </w:rPr>
        <w:t xml:space="preserve">In v4, 48/48 correct-interface predictions were sent to reversion because a steering mutation contacted the effector. Only 2 survived as pose_holds. The GPU budget is paying for a pipeline where the most common outcome is "steered, found the right interface, dropped for contamination". Metric choice is immaterial if the candidate pool for selection is that thin.</w:t>
      </w:r>
    </w:p>
    <w:p>
      <w:pPr>
        <w:pStyle w:val="ListParagraph"/>
        <w:numPr>
          <w:ilvl w:val="0"/>
          <w:numId w:val="3"/>
        </w:numPr>
        <w:spacing w:after="80" w:line="280"/>
      </w:pPr>
      <w:r>
        <w:rPr>
          <w:rFonts w:ascii="Calibri" w:cs="Calibri" w:eastAsia="Calibri" w:hAnsi="Calibri"/>
          <w:b/>
          <w:bCs/>
          <w:sz w:val="22"/>
          <w:szCs w:val="22"/>
        </w:rPr>
        <w:t xml:space="preserve">Orthogonal metrics (DockQ, BSA, Sc, ΔΔG) are post-ranker, not in-ranker. </w:t>
      </w:r>
      <w:r>
        <w:rPr>
          <w:rFonts w:ascii="Calibri" w:cs="Calibri" w:eastAsia="Calibri" w:hAnsi="Calibri"/>
          <w:sz w:val="22"/>
          <w:szCs w:val="22"/>
        </w:rPr>
        <w:t xml:space="preserve">Per review, these will be computed on the passing candidates only (the ~10 selected for wet lab), because they are more expensive and the triage decision they support is downstream of the 100→10 ranking step. The primary ranker runs on cheap, always-available data (ra_eff, true_jaccard, Boltz-2 confidence outputs) and does not block on orthogonal metrics being integrated.</w:t>
      </w:r>
    </w:p>
    <w:p>
      <w:pPr>
        <w:pStyle w:val="Heading2"/>
        <w:spacing w:after="140" w:before="280"/>
      </w:pPr>
      <w:r>
        <w:rPr>
          <w:rFonts w:ascii="Calibri" w:cs="Calibri" w:eastAsia="Calibri" w:hAnsi="Calibri"/>
          <w:b/>
          <w:bCs/>
          <w:color w:val="1F3864"/>
          <w:sz w:val="26"/>
          <w:szCs w:val="26"/>
        </w:rPr>
        <w:t xml:space="preserve">0.1 What this means for the analysis in the rest of the memo</w:t>
      </w:r>
    </w:p>
    <w:p>
      <w:pPr>
        <w:spacing w:after="120" w:line="300"/>
        <w:jc w:val="both"/>
      </w:pPr>
      <w:r>
        <w:rPr>
          <w:rFonts w:ascii="Calibri" w:cs="Calibri" w:eastAsia="Calibri" w:hAnsi="Calibri"/>
          <w:sz w:val="22"/>
          <w:szCs w:val="22"/>
        </w:rPr>
        <w:t xml:space="preserve">The 10-seed design_24 data establishes the noise floor of the metrics — the amount by which a single-seed measurement will vary if rerun. For a single-seed ranker, this is the relevant uncertainty on each design's position in the cohort. A metric with SD 0.055 (ipSAE) across seeds, evaluated on 100 sequences, is useful only if the between-sequence spread is substantially larger than 0.055.</w:t>
      </w:r>
    </w:p>
    <w:p>
      <w:pPr>
        <w:spacing w:after="120" w:line="300"/>
        <w:jc w:val="both"/>
      </w:pPr>
      <w:r>
        <w:rPr>
          <w:rFonts w:ascii="Calibri" w:cs="Calibri" w:eastAsia="Calibri" w:hAnsi="Calibri"/>
          <w:sz w:val="22"/>
          <w:szCs w:val="22"/>
        </w:rPr>
        <w:t xml:space="preserve">The 100-prediction WT variance study establishes that a fixed sequence can produce extremely consistent ra_eff (SD 0.7 Å over 100 seeds at the 30 Å wrong interface). Cross-sequence variation of the same magnitude should therefore be readable as real signal, not noise.</w:t>
      </w:r>
    </w:p>
    <w:p>
      <w:pPr>
        <w:spacing w:after="120" w:line="300"/>
        <w:jc w:val="both"/>
      </w:pPr>
      <w:r>
        <w:rPr>
          <w:rFonts w:ascii="Calibri" w:cs="Calibri" w:eastAsia="Calibri" w:hAnsi="Calibri"/>
          <w:sz w:val="22"/>
          <w:szCs w:val="22"/>
        </w:rPr>
        <w:t xml:space="preserve">What is NOT established by the current data: whether the metrics sort a cohort of 100 sequences usefully, whether ipSAE correlates with structural correctness across designs (as opposed to within one correct design), and whether the proposed composite score reproduces the same top-10 as human-expert triage. These are the questions the new computational experiments in §7 (revised) focus on, all of which cost zero additional Boltz calls.</w:t>
      </w:r>
    </w:p>
    <w:p>
      <w:pPr>
        <w:pStyle w:val="Heading1"/>
        <w:spacing w:after="160" w:before="360"/>
      </w:pPr>
      <w:r>
        <w:rPr>
          <w:rFonts w:ascii="Calibri" w:cs="Calibri" w:eastAsia="Calibri" w:hAnsi="Calibri"/>
          <w:b/>
          <w:bCs/>
          <w:color w:val="1F3864"/>
          <w:sz w:val="32"/>
          <w:szCs w:val="32"/>
        </w:rPr>
        <w:t xml:space="preserve">1. Literature findings</w:t>
      </w:r>
    </w:p>
    <w:p>
      <w:pPr>
        <w:pStyle w:val="Heading2"/>
        <w:spacing w:after="140" w:before="280"/>
      </w:pPr>
      <w:r>
        <w:rPr>
          <w:rFonts w:ascii="Calibri" w:cs="Calibri" w:eastAsia="Calibri" w:hAnsi="Calibri"/>
          <w:b/>
          <w:bCs/>
          <w:color w:val="1F3864"/>
          <w:sz w:val="26"/>
          <w:szCs w:val="26"/>
        </w:rPr>
        <w:t xml:space="preserve">1.1 What ipSAE, iPTM, actifpTM, pDockQ actually measure</w:t>
      </w:r>
    </w:p>
    <w:p>
      <w:pPr>
        <w:spacing w:after="120" w:line="300"/>
        <w:jc w:val="both"/>
      </w:pPr>
      <w:r>
        <w:rPr>
          <w:rFonts w:ascii="Calibri" w:cs="Calibri" w:eastAsia="Calibri" w:hAnsi="Calibri"/>
          <w:sz w:val="22"/>
          <w:szCs w:val="22"/>
        </w:rPr>
        <w:t xml:space="preserve">ipSAE (Dunbrack 2025, bioRxiv 2025.02.10.637595, updated December 2025) was introduced as a repair of AlphaFold-Multimer's iPTM. It restricts the pTM summation to interchain residue pairs whose predicted aligned error is below a cutoff, adjusts the TM-score d0 parameter to use only the number of pairs that passed the cutoff, and uses the raw PAE values rather than the distribution. Crucially Dunbrack validates ipSAE against a benchmark whose task is to separate true native heterodimers from random UniProt heterodimer shuffles — a binder / non-binder discrimination task on natural proteins. The v2 preprint (December 2025) explicitly notes that ipSAE works directly on Boltz npz output. The Dunbrack benchmark does not address whether ipSAE correlates with DockQ or with experimental affinity; its validation claim is strictly about distinguishing interacting from non-interacting pairs.</w:t>
      </w:r>
    </w:p>
    <w:p>
      <w:pPr>
        <w:spacing w:after="120" w:line="300"/>
        <w:jc w:val="both"/>
      </w:pPr>
      <w:r>
        <w:rPr>
          <w:rFonts w:ascii="Calibri" w:cs="Calibri" w:eastAsia="Calibri" w:hAnsi="Calibri"/>
          <w:sz w:val="22"/>
          <w:szCs w:val="22"/>
        </w:rPr>
        <w:t xml:space="preserve">The Levitate Bio commentary on Dunbrack 2025 makes this explicit: an ipSAE threshold around 0.6 is informally used to mark likely binders versus non-binders, and the authors note that further benchmarking is required before ipSAE can be relied on as a ranking metric for structural accuracy among predicted complexes. That second claim is precisely what the negative-steering pipeline assumes when it uses rank_by_ipsae_min as the wet-lab triage signal, and it is not validated in the literature.</w:t>
      </w:r>
    </w:p>
    <w:p>
      <w:pPr>
        <w:spacing w:after="120" w:line="300"/>
        <w:jc w:val="both"/>
      </w:pPr>
      <w:r>
        <w:rPr>
          <w:rFonts w:ascii="Calibri" w:cs="Calibri" w:eastAsia="Calibri" w:hAnsi="Calibri"/>
          <w:sz w:val="22"/>
          <w:szCs w:val="22"/>
        </w:rPr>
        <w:t xml:space="preserve">iPTM itself is derived from AlphaFold-Multimer (Evans et al. 2022) as a length-sensitive interface predicted TM-score computed over whole chains. Dunbrack's own paper shows iPTM can drop by up to 0.4 when disordered or accessory regions are appended to either chain even though the interface is unchanged. actifpTM (Varga et al. 2025) applies a similar correction. pDockQ / pDockQ2 (Bryant et al. 2022, Zhu et al. 2023) use a logistic regression on interface residue count and interface pLDDT calibrated to DockQ on native PDB heterodimers. Pinc (Schulte et al. 2026) builds a probabilistic interface confidence score from the PAE matrix and shows Spearman 0.96 correlation with both ipSAE and iPTM on the Genz et al. 2025 benchmark, implying that all three are measuring essentially the same underlying quantity — self-consistency of the predicted interface, not correctness.</w:t>
      </w:r>
    </w:p>
    <w:p>
      <w:pPr>
        <w:pStyle w:val="Heading2"/>
        <w:spacing w:after="140" w:before="280"/>
      </w:pPr>
      <w:r>
        <w:rPr>
          <w:rFonts w:ascii="Calibri" w:cs="Calibri" w:eastAsia="Calibri" w:hAnsi="Calibri"/>
          <w:b/>
          <w:bCs/>
          <w:color w:val="1F3864"/>
          <w:sz w:val="26"/>
          <w:szCs w:val="26"/>
        </w:rPr>
        <w:t xml:space="preserve">1.2 ipSAE / iPTM performance on de novo designed binders</w:t>
      </w:r>
    </w:p>
    <w:p>
      <w:pPr>
        <w:spacing w:after="120" w:line="300"/>
        <w:jc w:val="both"/>
      </w:pPr>
      <w:r>
        <w:rPr>
          <w:rFonts w:ascii="Calibri" w:cs="Calibri" w:eastAsia="Calibri" w:hAnsi="Calibri"/>
          <w:sz w:val="22"/>
          <w:szCs w:val="22"/>
        </w:rPr>
        <w:t xml:space="preserve">The most directly relevant paper for the negative-steering pipeline is Overath et al. (2025, bioRxiv 2025.08.14.670059). It is the largest published benchmark of confidence metrics on de novo designed binders: 3,766 experimentally tested binders against 15 structurally diverse targets, re-predicted with AF2-initial-guess, AF2-ColabFold, AF3, and Boltz-1, and scored on more than 200 features per design. Three findings bear directly on the negative-steering pipeline:</w:t>
      </w:r>
    </w:p>
    <w:p>
      <w:pPr>
        <w:pStyle w:val="ListParagraph"/>
        <w:numPr>
          <w:ilvl w:val="0"/>
          <w:numId w:val="3"/>
        </w:numPr>
        <w:spacing w:after="80" w:line="280"/>
      </w:pPr>
      <w:r>
        <w:rPr>
          <w:rFonts w:ascii="Calibri" w:cs="Calibri" w:eastAsia="Calibri" w:hAnsi="Calibri"/>
          <w:sz w:val="22"/>
          <w:szCs w:val="22"/>
        </w:rPr>
        <w:t xml:space="preserve">AF3-derived ipSAE is the best single confidence metric for binder/non-binder discrimination on designed binders, outperforming ipAE and iPTM by about 1.4× in average precision. This is consistent with the Dunbrack benchmark on natives, with the regime extended to designed proteins.</w:t>
      </w:r>
    </w:p>
    <w:p>
      <w:pPr>
        <w:pStyle w:val="ListParagraph"/>
        <w:numPr>
          <w:ilvl w:val="0"/>
          <w:numId w:val="3"/>
        </w:numPr>
        <w:spacing w:after="80" w:line="280"/>
      </w:pPr>
      <w:r>
        <w:rPr>
          <w:rFonts w:ascii="Calibri" w:cs="Calibri" w:eastAsia="Calibri" w:hAnsi="Calibri"/>
          <w:sz w:val="22"/>
          <w:szCs w:val="22"/>
        </w:rPr>
        <w:t xml:space="preserve">Per-target precision ranges from 0.1 to 1.0. The metric is not uniformly informative; targets with shallow or polar interfaces (which describes the HMA-domain recognition system the pipeline operates on) are disproportionately poorly predicted.</w:t>
      </w:r>
    </w:p>
    <w:p>
      <w:pPr>
        <w:pStyle w:val="ListParagraph"/>
        <w:numPr>
          <w:ilvl w:val="0"/>
          <w:numId w:val="3"/>
        </w:numPr>
        <w:spacing w:after="80" w:line="280"/>
      </w:pPr>
      <w:r>
        <w:rPr>
          <w:rFonts w:ascii="Calibri" w:cs="Calibri" w:eastAsia="Calibri" w:hAnsi="Calibri"/>
          <w:sz w:val="22"/>
          <w:szCs w:val="22"/>
        </w:rPr>
        <w:t xml:space="preserve">Combining ipSAE with orthogonal physicochemical descriptors — Rosetta ΔG/ΔSASA, interface shape complementarity, H-bond count — substantially outperforms any single confidence score. The paper's concrete recommendation is to use ipSAE as a filter rather than a ranker, and rank on the orthogonal physics-based features.</w:t>
      </w:r>
    </w:p>
    <w:p>
      <w:pPr>
        <w:spacing w:after="120" w:line="300"/>
        <w:jc w:val="both"/>
      </w:pPr>
      <w:r>
        <w:rPr>
          <w:rFonts w:ascii="Calibri" w:cs="Calibri" w:eastAsia="Calibri" w:hAnsi="Calibri"/>
          <w:sz w:val="22"/>
          <w:szCs w:val="22"/>
        </w:rPr>
        <w:t xml:space="preserve">Genz et al. (2025, Protein Science 34:e70327, doi 10.1002/pro.70327) benchmarked nine AF-family scores against DockQ on 223 heterodimers. Their winners for correct-vs-incorrect discrimination are iPTM and the AF3 "model confidence" composite, but the distributions overlap enough that they propose a trained weighted composite (C2Qscore) rather than using any single score. Their benchmark is on native heterodimers; the authors note that performance degrades on out-of-distribution designs but do not quantify by how much.</w:t>
      </w:r>
    </w:p>
    <w:p>
      <w:pPr>
        <w:spacing w:after="120" w:line="300"/>
        <w:jc w:val="both"/>
      </w:pPr>
      <w:r>
        <w:rPr>
          <w:rFonts w:ascii="Calibri" w:cs="Calibri" w:eastAsia="Calibri" w:hAnsi="Calibri"/>
          <w:sz w:val="22"/>
          <w:szCs w:val="22"/>
        </w:rPr>
        <w:t xml:space="preserve">A separate paper on antibody-antigen discrimination benchmarks AlphaFold3, Boltz-2, and Chai-1 on 106 cognate nanobody-antigen pairs plus 11,342 shuffled non-cognate pairings. Its conclusion is quoted directly in the Boltz-2 context: "Although the methods tested often generated geometrically plausible complexes, internal confidence metrics (ipTM) frequently failed to discriminate correct from incorrect pairings. Increased sampling improved structural refinement but not pairing discrimination, indicating that computational resources are better allocated across independent seeds and explicit negative controls." The last clause is directly applicable here — it is an independent endorsement of the multi-seed-plus-negative-control strategy the negative-steering pipeline already uses in principle.</w:t>
      </w:r>
    </w:p>
    <w:p>
      <w:pPr>
        <w:pStyle w:val="Heading2"/>
        <w:spacing w:after="140" w:before="280"/>
      </w:pPr>
      <w:r>
        <w:rPr>
          <w:rFonts w:ascii="Calibri" w:cs="Calibri" w:eastAsia="Calibri" w:hAnsi="Calibri"/>
          <w:b/>
          <w:bCs/>
          <w:color w:val="1F3864"/>
          <w:sz w:val="26"/>
          <w:szCs w:val="26"/>
        </w:rPr>
        <w:t xml:space="preserve">1.3 What successful de novo binder campaigns actually rank on</w:t>
      </w:r>
    </w:p>
    <w:p>
      <w:pPr>
        <w:spacing w:after="120" w:line="300"/>
        <w:jc w:val="both"/>
      </w:pPr>
      <w:r>
        <w:rPr>
          <w:rFonts w:ascii="Calibri" w:cs="Calibri" w:eastAsia="Calibri" w:hAnsi="Calibri"/>
          <w:sz w:val="22"/>
          <w:szCs w:val="22"/>
        </w:rPr>
        <w:t xml:space="preserve">The canonical Baker lab pipeline (Cao et al. 2022, Nature 605:551; Bennett et al. 2023, Nat. Commun. 14:2625) ranks on three metrics: pae_interaction (the per-design mean inter-chain PAE, lower = better, threshold 10 Å) on the AF2-initial-guess prediction; binder monomer pLDDT &gt; 85; and Rosetta ΔΔG &lt; −30 REU. iPTM and ipSAE do not feature in the Baker ranking pipeline as of 2023. Bennett's GitHub documentation is explicit: "pae_interaction is the score that showed the most predictivity in the experiments performed in the paper." In the pipeline, pae_interaction is conceptually identical to steered_ipae — the mean inter-chain PAE — which is already computed for every row.</w:t>
      </w:r>
    </w:p>
    <w:p>
      <w:pPr>
        <w:spacing w:after="120" w:line="300"/>
        <w:jc w:val="both"/>
      </w:pPr>
      <w:r>
        <w:rPr>
          <w:rFonts w:ascii="Calibri" w:cs="Calibri" w:eastAsia="Calibri" w:hAnsi="Calibri"/>
          <w:sz w:val="22"/>
          <w:szCs w:val="22"/>
        </w:rPr>
        <w:t xml:space="preserve">The β-pairing RFDiffusion extension (Vouros et al. 2025, Nat. Commun.) uses the same triple: pae_interaction &lt; 10, pLDDT &gt; 85, Rosetta ΔΔG. The Nature 2025 antibody-diffusion follow-up (Bennett et al., doi 10.1038/s41586-025-09721-5) does not rely on confidence metrics at all for final selection and instead uses yeast display screening downstream of in-silico filtering — a tacit admission that no in-silico metric is accurate enough on its own for the designed-binder regime.</w:t>
      </w:r>
    </w:p>
    <w:p>
      <w:pPr>
        <w:spacing w:after="120" w:line="300"/>
        <w:jc w:val="both"/>
      </w:pPr>
      <w:r>
        <w:rPr>
          <w:rFonts w:ascii="Calibri" w:cs="Calibri" w:eastAsia="Calibri" w:hAnsi="Calibri"/>
          <w:sz w:val="22"/>
          <w:szCs w:val="22"/>
        </w:rPr>
        <w:t xml:space="preserve">An illustrative GitHub issue (RFdiffusion issue #232) shows a user reporting a low-nanomolar experimentally validated binder whose pae_interaction is 26–28, far above the recommended 10 Å threshold. This confirms that even pae_interaction is an imperfect filter — it has publication-grade validation as a ranker but also an acknowledged failure mode for tight binders with atypical interface geometry. That is consistent with Overath et al. 2025's finding of target-specific precision variance.</w:t>
      </w:r>
    </w:p>
    <w:p>
      <w:pPr>
        <w:pStyle w:val="Heading2"/>
        <w:spacing w:after="140" w:before="280"/>
      </w:pPr>
      <w:r>
        <w:rPr>
          <w:rFonts w:ascii="Calibri" w:cs="Calibri" w:eastAsia="Calibri" w:hAnsi="Calibri"/>
          <w:b/>
          <w:bCs/>
          <w:color w:val="1F3864"/>
          <w:sz w:val="26"/>
          <w:szCs w:val="26"/>
        </w:rPr>
        <w:t xml:space="preserve">1.4 DockQ, iRMSD, lDDT, fnat</w:t>
      </w:r>
    </w:p>
    <w:p>
      <w:pPr>
        <w:spacing w:after="120" w:line="300"/>
        <w:jc w:val="both"/>
      </w:pPr>
      <w:r>
        <w:rPr>
          <w:rFonts w:ascii="Calibri" w:cs="Calibri" w:eastAsia="Calibri" w:hAnsi="Calibri"/>
          <w:sz w:val="22"/>
          <w:szCs w:val="22"/>
        </w:rPr>
        <w:t xml:space="preserve">DockQ (Basu &amp; Wallner 2016, PLOS ONE 11:e0161879; Mirabello &amp; Wallner 2024, Bioinformatics 40:btae586) combines fnat (fraction of native contacts preserved), ligand-superposition RMSD, and interface-only RMSD into a single 0–1 score with CAPRI-endorsed thresholds: &gt;0.23 acceptable, &gt;0.49 medium, &gt;0.80 high. Every CAPRI assessment paper since 2016, the AF3 paper (Abramson et al. 2024), the Boltz-1 paper (Wohlwend et al. 2024), the Boltz-2 paper (Passaro et al. 2025), and the Overath, Genz and Pinc benchmarks all use DockQ as ground truth for interface quality. It is the standard. Adding DockQ to the pipeline is effectively a one-week refactor using Wallner's reference Python implementation and would align the output with every benchmark in the field.</w:t>
      </w:r>
    </w:p>
    <w:p>
      <w:pPr>
        <w:spacing w:after="120" w:line="300"/>
        <w:jc w:val="both"/>
      </w:pPr>
      <w:r>
        <w:rPr>
          <w:rFonts w:ascii="Calibri" w:cs="Calibri" w:eastAsia="Calibri" w:hAnsi="Calibri"/>
          <w:sz w:val="22"/>
          <w:szCs w:val="22"/>
        </w:rPr>
        <w:t xml:space="preserve">iRMSD (interface-only RMSD) is the structural component of DockQ. Computing it alone is effectively a one-day refactor — the existing ra_eff code needs only a contact-residue mask. It immediately addresses the RFDiffusion floppy-termini problem identified in notes 3, 4, and 8, where whole-effector Cα RMSD is inflated by disordered C- and N-terminal regions that carry no information about the interface.</w:t>
      </w:r>
    </w:p>
    <w:p>
      <w:pPr>
        <w:spacing w:after="120" w:line="300"/>
        <w:jc w:val="both"/>
      </w:pPr>
      <w:r>
        <w:rPr>
          <w:rFonts w:ascii="Calibri" w:cs="Calibri" w:eastAsia="Calibri" w:hAnsi="Calibri"/>
          <w:sz w:val="22"/>
          <w:szCs w:val="22"/>
        </w:rPr>
        <w:t xml:space="preserve">lDDT-PPI (Mariani et al. 2013, extended for complexes in Bertoni et al. 2017, Bioinformatics) is superposition-free, which makes it robust to hinge motions and disordered regions. It is the underlying metric behind AF's per-residue pLDDT and is used heavily in OpenFold and ColabFold internal benchmarks. It is not yet a community-standard ranker for designed binders but would be informative as a diagnostic.</w:t>
      </w:r>
    </w:p>
    <w:p>
      <w:pPr>
        <w:spacing w:after="120" w:line="300"/>
        <w:jc w:val="both"/>
      </w:pPr>
      <w:r>
        <w:rPr>
          <w:rFonts w:ascii="Calibri" w:cs="Calibri" w:eastAsia="Calibri" w:hAnsi="Calibri"/>
          <w:sz w:val="22"/>
          <w:szCs w:val="22"/>
        </w:rPr>
        <w:t xml:space="preserve">fnat — the fraction of native contacts preserved — is what the pipeline already computes, approximately, as steered_true_jaccard, except binarised and framed as receptor-side set intersection. fnat is the DockQ component with the most direct interpretation ("how many of the contacts I designed for are actually there?") and shows up as the most discriminative metric in the pipeline data (Cohen's d = +1.58 between correct and wrong interface predictions on the v4 run — see §2.5).</w:t>
      </w:r>
    </w:p>
    <w:p>
      <w:pPr>
        <w:pStyle w:val="Heading2"/>
        <w:spacing w:after="140" w:before="280"/>
      </w:pPr>
      <w:r>
        <w:rPr>
          <w:rFonts w:ascii="Calibri" w:cs="Calibri" w:eastAsia="Calibri" w:hAnsi="Calibri"/>
          <w:b/>
          <w:bCs/>
          <w:color w:val="1F3864"/>
          <w:sz w:val="26"/>
          <w:szCs w:val="26"/>
        </w:rPr>
        <w:t xml:space="preserve">1.5 Boltz-2 / AF3 confidence calibration on designed interfaces</w:t>
      </w:r>
    </w:p>
    <w:p>
      <w:pPr>
        <w:spacing w:after="120" w:line="300"/>
        <w:jc w:val="both"/>
      </w:pPr>
      <w:r>
        <w:rPr>
          <w:rFonts w:ascii="Calibri" w:cs="Calibri" w:eastAsia="Calibri" w:hAnsi="Calibri"/>
          <w:sz w:val="22"/>
          <w:szCs w:val="22"/>
        </w:rPr>
        <w:t xml:space="preserve">Both the Boltz-2 (Passaro et al. 2025) and AF3 (Abramson et al. 2024) papers calibrate confidence on PDB native distributions. Abramson 2024 Supplementary Note S5 states that AF3's chain-pair iPTM is trained against DockQ on native PDB complexes; Passaro 2025 explicitly notes that Boltz-2 distillation training uses high-confidence Boltz-1 predictions filtered at iPTM ≥ 0.9, which concentrates the training data on confidently-predicted native-like complexes. Designed and non-natural sequences are out-of-distribution for both models, and neither paper reports confidence-metric calibration on designed binders. The systematic bias observed in pipeline data — the wrong-but-familiar wild-type scoring higher than the correct-but-novel design_24 — is the predictable consequence of this distribution shift and matches the Overath et al. 2025 finding at population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On the "wrong-but-familiar" framing</w:t>
            </w:r>
          </w:p>
          <w:p>
            <w:pPr>
              <w:spacing w:after="80" w:line="280"/>
              <w:jc w:val="both"/>
            </w:pPr>
            <w:r>
              <w:rPr>
                <w:rFonts w:ascii="Calibri" w:cs="Calibri" w:eastAsia="Calibri" w:hAnsi="Calibri"/>
                <w:color w:val="4A2E00"/>
                <w:sz w:val="20"/>
                <w:szCs w:val="20"/>
              </w:rPr>
              <w:t xml:space="preserve">The reviewer notes that the framing of "Boltz is confident about the wrong interface because it has seen it in training data" is tautological and slightly misses the point: </w:t>
            </w:r>
            <w:r>
              <w:rPr>
                <w:rFonts w:ascii="Calibri" w:cs="Calibri" w:eastAsia="Calibri" w:hAnsi="Calibri"/>
                <w:b/>
                <w:bCs/>
                <w:color w:val="4A2E00"/>
                <w:sz w:val="20"/>
                <w:szCs w:val="20"/>
              </w:rPr>
              <w:t xml:space="preserve">the whole premise of negative steering is that Boltz preferred the wrong interface on the cold-start. </w:t>
            </w:r>
            <w:r>
              <w:rPr>
                <w:rFonts w:ascii="Calibri" w:cs="Calibri" w:eastAsia="Calibri" w:hAnsi="Calibri"/>
                <w:color w:val="4A2E00"/>
                <w:sz w:val="20"/>
                <w:szCs w:val="20"/>
              </w:rPr>
              <w:t xml:space="preserve">Of course Boltz is less confident about the interface it didn't find — if it had been confident about the designed one, we wouldn't be running the pipeline. The point is not that this is surprising; the point is that this asymmetry makes ipSAE an inappropriate ranking signal on any pipeline that </w:t>
            </w:r>
            <w:r>
              <w:rPr>
                <w:rFonts w:ascii="Calibri" w:cs="Calibri" w:eastAsia="Calibri" w:hAnsi="Calibri"/>
                <w:i/>
                <w:iCs/>
                <w:color w:val="4A2E00"/>
                <w:sz w:val="20"/>
                <w:szCs w:val="20"/>
              </w:rPr>
              <w:t xml:space="preserve">pushes Boltz off its confident default.</w:t>
            </w:r>
          </w:p>
          <w:p>
            <w:pPr>
              <w:spacing w:after="80" w:line="280"/>
              <w:jc w:val="both"/>
            </w:pPr>
            <w:r>
              <w:rPr>
                <w:rFonts w:ascii="Calibri" w:cs="Calibri" w:eastAsia="Calibri" w:hAnsi="Calibri"/>
                <w:color w:val="4A2E00"/>
                <w:sz w:val="20"/>
                <w:szCs w:val="20"/>
              </w:rPr>
              <w:t xml:space="preserve">Also germane: the native HMA "wrong" interface is a real biological binding site in its own right — it is involved in most MAX-effector recognition (Pikm-HMA, Pikp-HMA etc.) and is plausibly why Boltz has high-confidence contacts learned for it. The benchmarking on four solved native complexes in notes 3 showed that Boltz-2 does not correctly identify the designed interface </w:t>
            </w:r>
            <w:r>
              <w:rPr>
                <w:rFonts w:ascii="Calibri" w:cs="Calibri" w:eastAsia="Calibri" w:hAnsi="Calibri"/>
                <w:i/>
                <w:iCs/>
                <w:color w:val="4A2E00"/>
                <w:sz w:val="20"/>
                <w:szCs w:val="20"/>
              </w:rPr>
              <w:t xml:space="preserve">even in native form </w:t>
            </w:r>
            <w:r>
              <w:rPr>
                <w:rFonts w:ascii="Calibri" w:cs="Calibri" w:eastAsia="Calibri" w:hAnsi="Calibri"/>
                <w:color w:val="4A2E00"/>
                <w:sz w:val="20"/>
                <w:szCs w:val="20"/>
              </w:rPr>
              <w:t xml:space="preserve">when the designed interface is the one being probed. So it is not that the RFDiffusion/MPNN designed sequence specifically is out of distribution; it is that Boltz-2 systematically prefers one face of HMA domains over the other on this class of proteins, irrespective of sequence novelty.</w:t>
            </w:r>
          </w:p>
          <w:p>
            <w:pPr>
              <w:spacing w:after="80" w:line="280"/>
              <w:jc w:val="both"/>
            </w:pPr>
            <w:r>
              <w:rPr>
                <w:rFonts w:ascii="Calibri" w:cs="Calibri" w:eastAsia="Calibri" w:hAnsi="Calibri"/>
                <w:color w:val="4A2E00"/>
                <w:sz w:val="20"/>
                <w:szCs w:val="20"/>
              </w:rPr>
              <w:t xml:space="preserve">This reframing </w:t>
            </w:r>
            <w:r>
              <w:rPr>
                <w:rFonts w:ascii="Calibri" w:cs="Calibri" w:eastAsia="Calibri" w:hAnsi="Calibri"/>
                <w:i/>
                <w:iCs/>
                <w:color w:val="4A2E00"/>
                <w:sz w:val="20"/>
                <w:szCs w:val="20"/>
              </w:rPr>
              <w:t xml:space="preserve">strengthens </w:t>
            </w:r>
            <w:r>
              <w:rPr>
                <w:rFonts w:ascii="Calibri" w:cs="Calibri" w:eastAsia="Calibri" w:hAnsi="Calibri"/>
                <w:color w:val="4A2E00"/>
                <w:sz w:val="20"/>
                <w:szCs w:val="20"/>
              </w:rPr>
              <w:t xml:space="preserve">the memo's conclusion that ipSAE should not be the primary ranker here. It is not an accident that the pipeline is fighting Boltz's priors, and the confidence metric will track Boltz's priors.</w:t>
            </w:r>
          </w:p>
        </w:tc>
      </w:tr>
    </w:tbl>
    <w:p>
      <w:pPr>
        <w:pStyle w:val="Heading2"/>
        <w:spacing w:after="140" w:before="280"/>
      </w:pPr>
      <w:r>
        <w:rPr>
          <w:rFonts w:ascii="Calibri" w:cs="Calibri" w:eastAsia="Calibri" w:hAnsi="Calibri"/>
          <w:b/>
          <w:bCs/>
          <w:color w:val="1F3864"/>
          <w:sz w:val="26"/>
          <w:szCs w:val="26"/>
        </w:rPr>
        <w:t xml:space="preserve">1.6 The MSA-versus-no-MSA split on the native complex (added in revision)</w:t>
      </w:r>
    </w:p>
    <w:p>
      <w:pPr>
        <w:spacing w:after="120" w:line="300"/>
        <w:jc w:val="both"/>
      </w:pPr>
      <w:r>
        <w:rPr>
          <w:rFonts w:ascii="Calibri" w:cs="Calibri" w:eastAsia="Calibri" w:hAnsi="Calibri"/>
          <w:sz w:val="22"/>
          <w:szCs w:val="22"/>
        </w:rPr>
        <w:t xml:space="preserve">The reviewer provided an AF3 / AF2-Multimer / ColabFold / Boltz-1 / Boltz-2 / Chai-1 benchmark (302 predictions) on a near-identical native 6G10 complex. The benchmark cleanly separates into two regimes: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0"/>
        <w:gridCol w:w="1500"/>
        <w:gridCol w:w="1500"/>
        <w:gridCol w:w="1500"/>
        <w:gridCol w:w="1960"/>
      </w:tblGrid>
      <w:tr>
        <w:trPr>
          <w:tblHeader/>
        </w:trPr>
        <w:tc>
          <w:tcPr>
            <w:tcW w:type="dxa" w:w="2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Model</w:t>
            </w:r>
          </w:p>
        </w:tc>
        <w:tc>
          <w:tcPr>
            <w:tcW w:type="dxa" w:w="6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n</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mean ra_eff (Å)</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mean ipSAE_min</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mean iPTM</w:t>
            </w:r>
          </w:p>
        </w:tc>
        <w:tc>
          <w:tcPr>
            <w:tcW w:type="dxa" w:w="19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Interface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Boltz-2 MSA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0.943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0.954</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r>
      <w:tr>
        <w:tc>
          <w:tcPr>
            <w:tcW w:type="dxa" w:w="2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Boltz-2 (no MSA)</w:t>
            </w:r>
          </w:p>
        </w:tc>
        <w:tc>
          <w:tcPr>
            <w:tcW w:type="dxa" w:w="6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24.10</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0.136</w:t>
            </w:r>
          </w:p>
        </w:tc>
        <w:tc>
          <w:tcPr>
            <w:tcW w:type="dxa" w:w="19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Boltz-2 constrained (no MSA)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24.30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0.140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w:t>
            </w:r>
          </w:p>
        </w:tc>
      </w:tr>
      <w:tr>
        <w:tc>
          <w:tcPr>
            <w:tcW w:type="dxa" w:w="2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AF3 MSA</w:t>
            </w:r>
          </w:p>
        </w:tc>
        <w:tc>
          <w:tcPr>
            <w:tcW w:type="dxa" w:w="6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1.86</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0.847</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0.878</w:t>
            </w:r>
          </w:p>
        </w:tc>
        <w:tc>
          <w:tcPr>
            <w:tcW w:type="dxa" w:w="19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AF3 no-MSA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4.67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0.615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0.763</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mostly correct</w:t>
            </w:r>
          </w:p>
        </w:tc>
      </w:tr>
      <w:tr>
        <w:tc>
          <w:tcPr>
            <w:tcW w:type="dxa" w:w="2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Boltz-1 MSA</w:t>
            </w:r>
          </w:p>
        </w:tc>
        <w:tc>
          <w:tcPr>
            <w:tcW w:type="dxa" w:w="6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2.47</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0.812</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0.864</w:t>
            </w:r>
          </w:p>
        </w:tc>
        <w:tc>
          <w:tcPr>
            <w:tcW w:type="dxa" w:w="19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Boltz-1 (no MSA)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0.796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0.830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r>
      <w:tr>
        <w:tc>
          <w:tcPr>
            <w:tcW w:type="dxa" w:w="2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AF2-Multimer (no MSA)</w:t>
            </w:r>
          </w:p>
        </w:tc>
        <w:tc>
          <w:tcPr>
            <w:tcW w:type="dxa" w:w="6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25.48</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0.261</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0.393</w:t>
            </w:r>
          </w:p>
        </w:tc>
        <w:tc>
          <w:tcPr>
            <w:tcW w:type="dxa" w:w="19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mixed</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ColabFold (no MSA)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33.60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0.109</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w:t>
            </w:r>
          </w:p>
        </w:tc>
      </w:tr>
    </w:tbl>
    <w:p>
      <w:pPr>
        <w:spacing w:after="120"/>
      </w:pPr>
      <w:r>
        <w:t xml:space="preserve"/>
      </w:r>
    </w:p>
    <w:p>
      <w:pPr>
        <w:spacing w:after="120" w:line="300"/>
        <w:jc w:val="both"/>
      </w:pPr>
      <w:r>
        <w:rPr>
          <w:rFonts w:ascii="Calibri" w:cs="Calibri" w:eastAsia="Calibri" w:hAnsi="Calibri"/>
          <w:sz w:val="22"/>
          <w:szCs w:val="22"/>
        </w:rPr>
        <w:t xml:space="preserve">Two observations are central:</w:t>
      </w:r>
    </w:p>
    <w:p>
      <w:pPr>
        <w:pStyle w:val="ListParagraph"/>
        <w:numPr>
          <w:ilvl w:val="0"/>
          <w:numId w:val="3"/>
        </w:numPr>
        <w:spacing w:after="80" w:line="280"/>
      </w:pPr>
      <w:r>
        <w:rPr>
          <w:rFonts w:ascii="Calibri" w:cs="Calibri" w:eastAsia="Calibri" w:hAnsi="Calibri"/>
          <w:b/>
          <w:bCs/>
          <w:sz w:val="22"/>
          <w:szCs w:val="22"/>
        </w:rPr>
        <w:t xml:space="preserve">Boltz-2 without MSA is the worst offender on this benchmark. </w:t>
      </w:r>
      <w:r>
        <w:rPr>
          <w:rFonts w:ascii="Calibri" w:cs="Calibri" w:eastAsia="Calibri" w:hAnsi="Calibri"/>
          <w:sz w:val="22"/>
          <w:szCs w:val="22"/>
        </w:rPr>
        <w:t xml:space="preserve">It is the only model that produces ipSAE exactly 0.000 while predicting a 24 Å wrong interface — its own confidence system correctly reports no interface, because the predicted complex has no PAE-passing interchain contacts. Boltz-2 with an MSA gets the right interface at 1.5 Å and 0.94 ipSAE.</w:t>
      </w:r>
    </w:p>
    <w:p>
      <w:pPr>
        <w:pStyle w:val="ListParagraph"/>
        <w:numPr>
          <w:ilvl w:val="0"/>
          <w:numId w:val="3"/>
        </w:numPr>
        <w:spacing w:after="80" w:line="280"/>
      </w:pPr>
      <w:r>
        <w:rPr>
          <w:rFonts w:ascii="Calibri" w:cs="Calibri" w:eastAsia="Calibri" w:hAnsi="Calibri"/>
          <w:b/>
          <w:bCs/>
          <w:sz w:val="22"/>
          <w:szCs w:val="22"/>
        </w:rPr>
        <w:t xml:space="preserve">Boltz-1 is interface-correct even without MSA. </w:t>
      </w:r>
      <w:r>
        <w:rPr>
          <w:rFonts w:ascii="Calibri" w:cs="Calibri" w:eastAsia="Calibri" w:hAnsi="Calibri"/>
          <w:sz w:val="22"/>
          <w:szCs w:val="22"/>
        </w:rPr>
        <w:t xml:space="preserve">Both Boltz-1 variants (MSA and no-MSA) get the right interface at ≈2.5 Å. The step from Boltz-1 to Boltz-2 made the cold-start qualitatively worse on this complex without MSA — i.e. the pipeline is fighting a regression that is specific to Boltz-2-without-MSA on this class of receptor.</w:t>
      </w:r>
    </w:p>
    <w:p>
      <w:pPr>
        <w:spacing w:after="120" w:line="300"/>
        <w:jc w:val="both"/>
      </w:pPr>
      <w:r>
        <w:rPr>
          <w:rFonts w:ascii="Calibri" w:cs="Calibri" w:eastAsia="Calibri" w:hAnsi="Calibri"/>
          <w:sz w:val="22"/>
          <w:szCs w:val="22"/>
        </w:rPr>
        <w:t xml:space="preserve">Important scope note, per review: the benchmark above is on a near-identical but not identical native 6G10 complex. It is not on the RFDiffusion-designed MPNN sequence. It establishes the baseline — the native complex is already hard for no-MSA Boltz-2 — but the numbers do not transfer directly to the designed-sequence regime.</w:t>
      </w:r>
    </w:p>
    <w:p>
      <w:pPr>
        <w:spacing w:after="120" w:line="300"/>
        <w:jc w:val="both"/>
      </w:pPr>
      <w:r>
        <w:rPr>
          <w:rFonts w:ascii="Calibri" w:cs="Calibri" w:eastAsia="Calibri" w:hAnsi="Calibri"/>
          <w:sz w:val="22"/>
          <w:szCs w:val="22"/>
        </w:rPr>
        <w:t xml:space="preserve">Still, the implication is clear: the negative-steering pipeline is doing what the MSA would have done for free had it been used. The steering mutations are a computational substitute for the evolutionary signal an MSA provides. This is an important framing for the memo's conclusions — the metrics are being asked to rank designs produced by a pipeline that is compensating for a Boltz-2-specific, no-MSA-specific cold-start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Why the pipeline runs without MSA, and the risk this creates</w:t>
            </w:r>
          </w:p>
          <w:p>
            <w:pPr>
              <w:spacing w:after="80" w:line="280"/>
              <w:jc w:val="both"/>
            </w:pPr>
            <w:r>
              <w:rPr>
                <w:rFonts w:ascii="Calibri" w:cs="Calibri" w:eastAsia="Calibri" w:hAnsi="Calibri"/>
                <w:color w:val="4A2E00"/>
                <w:sz w:val="20"/>
                <w:szCs w:val="20"/>
              </w:rPr>
              <w:t xml:space="preserve">The pipeline intentionally runs without MSA for two reasons, per review: </w:t>
            </w:r>
            <w:r>
              <w:rPr>
                <w:rFonts w:ascii="Calibri" w:cs="Calibri" w:eastAsia="Calibri" w:hAnsi="Calibri"/>
                <w:b/>
                <w:bCs/>
                <w:color w:val="4A2E00"/>
                <w:sz w:val="20"/>
                <w:szCs w:val="20"/>
              </w:rPr>
              <w:t xml:space="preserve">(a)</w:t>
            </w:r>
            <w:r>
              <w:rPr>
                <w:rFonts w:ascii="Calibri" w:cs="Calibri" w:eastAsia="Calibri" w:hAnsi="Calibri"/>
                <w:color w:val="4A2E00"/>
                <w:sz w:val="20"/>
                <w:szCs w:val="20"/>
              </w:rPr>
              <w:t xml:space="preserve"> speed at the 100-sequence-per-experiment scale, and </w:t>
            </w:r>
            <w:r>
              <w:rPr>
                <w:rFonts w:ascii="Calibri" w:cs="Calibri" w:eastAsia="Calibri" w:hAnsi="Calibri"/>
                <w:b/>
                <w:bCs/>
                <w:color w:val="4A2E00"/>
                <w:sz w:val="20"/>
                <w:szCs w:val="20"/>
              </w:rPr>
              <w:t xml:space="preserve">(b)</w:t>
            </w:r>
            <w:r>
              <w:rPr>
                <w:rFonts w:ascii="Calibri" w:cs="Calibri" w:eastAsia="Calibri" w:hAnsi="Calibri"/>
                <w:color w:val="4A2E00"/>
                <w:sz w:val="20"/>
                <w:szCs w:val="20"/>
              </w:rPr>
              <w:t xml:space="preserve"> to avoid biasing designed binders by existing MSA structure. The benchmark above shows the cost of that choice in exchange: Boltz-2 needs an MSA to cold-start the correct interface on 6G10-like receptors.</w:t>
            </w:r>
          </w:p>
          <w:p>
            <w:pPr>
              <w:spacing w:after="80" w:line="280"/>
              <w:jc w:val="both"/>
            </w:pPr>
            <w:r>
              <w:rPr>
                <w:rFonts w:ascii="Calibri" w:cs="Calibri" w:eastAsia="Calibri" w:hAnsi="Calibri"/>
                <w:b/>
                <w:bCs/>
                <w:color w:val="4A2E00"/>
                <w:sz w:val="20"/>
                <w:szCs w:val="20"/>
              </w:rPr>
              <w:t xml:space="preserve">Risk to flag: </w:t>
            </w:r>
            <w:r>
              <w:rPr>
                <w:rFonts w:ascii="Calibri" w:cs="Calibri" w:eastAsia="Calibri" w:hAnsi="Calibri"/>
                <w:color w:val="4A2E00"/>
                <w:sz w:val="20"/>
                <w:szCs w:val="20"/>
              </w:rPr>
              <w:t xml:space="preserve">a negatively-steered sequence that "works" under no-MSA Boltz-2 may not work under MSA-Boltz-2, or AF3, or any other model. The reviewer raises this explicitly. The benchmark CSV is consistent with this — Boltz-2 no-MSA behaves qualitatively differently from every other configuration on this complex. Treating the top ~10 steered candidates as a multi-model cross-validation set (predicting them with MSA-Boltz-2, AF3, AF2-initial-guess, Boltz-1) is therefore not just nice-to-have but an important honesty check on whether the "steered" interface is genuine or is an artefact of no-MSA Boltz-2 specifically. This is added to the computational experiment list in §7 (revised).</w:t>
            </w:r>
          </w:p>
        </w:tc>
      </w:tr>
    </w:tbl>
    <w:p>
      <w:pPr>
        <w:pStyle w:val="Heading1"/>
        <w:spacing w:after="160" w:before="360"/>
      </w:pPr>
      <w:r>
        <w:rPr>
          <w:rFonts w:ascii="Calibri" w:cs="Calibri" w:eastAsia="Calibri" w:hAnsi="Calibri"/>
          <w:b/>
          <w:bCs/>
          <w:color w:val="1F3864"/>
          <w:sz w:val="32"/>
          <w:szCs w:val="32"/>
        </w:rPr>
        <w:t xml:space="preserve">2. Quantitative analysis of pipeline data</w:t>
      </w:r>
    </w:p>
    <w:p>
      <w:pPr>
        <w:spacing w:after="120" w:line="300"/>
        <w:jc w:val="both"/>
      </w:pPr>
      <w:r>
        <w:rPr>
          <w:rFonts w:ascii="Calibri" w:cs="Calibri" w:eastAsia="Calibri" w:hAnsi="Calibri"/>
          <w:sz w:val="22"/>
          <w:szCs w:val="22"/>
        </w:rPr>
        <w:t xml:space="preserve">Analysis draws on four input files: per_seed_metrics.csv (10 seeds of design_24), variance_summary.csv (aggregate statistics of the 10-seed validation), steered_results_aggregate.csv (30 unique sequences × 3 seeds each from the v4 run), all_results_multicycle_with_metrics.csv (full v4 output), and passing_summary.csv (two v4 pose_holds survivors). The wild-type variance figures are taken from notes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Scope caveat — this analysis is single-system</w:t>
            </w:r>
          </w:p>
          <w:p>
            <w:pPr>
              <w:spacing w:after="80" w:line="280"/>
              <w:jc w:val="both"/>
            </w:pPr>
            <w:r>
              <w:rPr>
                <w:rFonts w:ascii="Calibri" w:cs="Calibri" w:eastAsia="Calibri" w:hAnsi="Calibri"/>
                <w:color w:val="4A2E00"/>
                <w:sz w:val="20"/>
                <w:szCs w:val="20"/>
              </w:rPr>
              <w:t xml:space="preserve">The reviewer has correctly noted that </w:t>
            </w:r>
            <w:r>
              <w:rPr>
                <w:rFonts w:ascii="Calibri" w:cs="Calibri" w:eastAsia="Calibri" w:hAnsi="Calibri"/>
                <w:b/>
                <w:bCs/>
                <w:color w:val="4A2E00"/>
                <w:sz w:val="20"/>
                <w:szCs w:val="20"/>
              </w:rPr>
              <w:t xml:space="preserve">all of the quantitative analysis below is from a single design task (design_3, one RFDiffusion backbone on the Pikp1 HMA / AvrPikD complex class). </w:t>
            </w:r>
            <w:r>
              <w:rPr>
                <w:rFonts w:ascii="Calibri" w:cs="Calibri" w:eastAsia="Calibri" w:hAnsi="Calibri"/>
                <w:color w:val="4A2E00"/>
                <w:sz w:val="20"/>
                <w:szCs w:val="20"/>
              </w:rPr>
              <w:t xml:space="preserve">The conclusions about metric behaviour therefore carry the caveat that this is one design task, not a population. They are internally consistent and they align with Overath et al. 2025's population-level findings, but they should not be generalised to "this is how the metrics behave on all HMA binders" until the pipeline has been run on several design tasks.</w:t>
            </w:r>
          </w:p>
          <w:p>
            <w:pPr>
              <w:spacing w:after="80" w:line="280"/>
              <w:jc w:val="both"/>
            </w:pPr>
            <w:r>
              <w:rPr>
                <w:rFonts w:ascii="Calibri" w:cs="Calibri" w:eastAsia="Calibri" w:hAnsi="Calibri"/>
                <w:b/>
                <w:bCs/>
                <w:color w:val="4A2E00"/>
                <w:sz w:val="20"/>
                <w:szCs w:val="20"/>
              </w:rPr>
              <w:t xml:space="preserve">Plan: revisit this analysis once ~5 different design tasks have produced passing candidates. </w:t>
            </w:r>
            <w:r>
              <w:rPr>
                <w:rFonts w:ascii="Calibri" w:cs="Calibri" w:eastAsia="Calibri" w:hAnsi="Calibri"/>
                <w:color w:val="4A2E00"/>
                <w:sz w:val="20"/>
                <w:szCs w:val="20"/>
              </w:rPr>
              <w:t xml:space="preserve">At that point the right experiment is a cross-task ROC — per-metric AUROC and composite-score AUROC, computed across hundreds of sequences from multiple targets. That experiment is listed in §7 (revised) as the highest-priority computational follow-up.</w:t>
            </w:r>
          </w:p>
        </w:tc>
      </w:tr>
    </w:tbl>
    <w:p>
      <w:pPr>
        <w:pStyle w:val="Heading2"/>
        <w:spacing w:after="140" w:before="280"/>
      </w:pPr>
      <w:r>
        <w:rPr>
          <w:rFonts w:ascii="Calibri" w:cs="Calibri" w:eastAsia="Calibri" w:hAnsi="Calibri"/>
          <w:b/>
          <w:bCs/>
          <w:color w:val="1F3864"/>
          <w:sz w:val="26"/>
          <w:szCs w:val="26"/>
        </w:rPr>
        <w:t xml:space="preserve">2.1 Within-sequence metric stability — design_24, n=10 seeds</w:t>
      </w:r>
    </w:p>
    <w:p>
      <w:pPr>
        <w:spacing w:after="120" w:line="300"/>
        <w:jc w:val="both"/>
      </w:pPr>
      <w:r>
        <w:rPr>
          <w:rFonts w:ascii="Calibri" w:cs="Calibri" w:eastAsia="Calibri" w:hAnsi="Calibri"/>
          <w:sz w:val="22"/>
          <w:szCs w:val="22"/>
        </w:rPr>
        <w:t xml:space="preserve">Design_24 is the only "clean" validated steered hit from v3: three mild charge-introducing mutations (K5E, M22E, L36D) on the wrong-interface surface, none of which contact the effector in the correct-interface prediction. All 10 seeds find the correct interface. This is the cleanest within-sequence noise measurement available.</w:t>
      </w:r>
    </w:p>
    <w:p>
      <w:pPr>
        <w:spacing w:after="12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500"/>
        <w:gridCol w:w="1300"/>
        <w:gridCol w:w="1360"/>
      </w:tblGrid>
      <w:tr>
        <w:trPr>
          <w:tblHeader/>
        </w:trPr>
        <w:tc>
          <w:tcPr>
            <w:tcW w:type="dxa" w:w="2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Metric</w:t>
            </w:r>
          </w:p>
        </w:tc>
        <w:tc>
          <w:tcPr>
            <w:tcW w:type="dxa" w:w="1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Mean</w:t>
            </w:r>
          </w:p>
        </w:tc>
        <w:tc>
          <w:tcPr>
            <w:tcW w:type="dxa" w:w="1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SD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CV (SD/|mean|)</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Range</w:t>
            </w:r>
          </w:p>
        </w:tc>
        <w:tc>
          <w:tcPr>
            <w:tcW w:type="dxa" w:w="13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Range/mean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ra_eff_vs_truth (Å)</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1.46</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0.580</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rec RMSD (Å)</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1.89</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0.60</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0.317</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1.99</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1.049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eff RMSD (Å)</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0.143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0.19</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0.382</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complex_plddt</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0.856</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0.009</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0.011</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0.032</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0.037</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avg_plddt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85.58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0.011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3.18</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0.037</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iptm</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0.862</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0.019</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0.022</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0.052</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0.060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actifptm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0.866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0.023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0.055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0.064</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ptm</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0.878</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0.021</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0.024</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0.067</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0.076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pae_pass_frac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0.903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0.053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0.059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0.144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0.160</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ipsae_min</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0.755</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0.056</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0.074</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0.167</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0.221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ipsae_ab</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0.787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0.040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0.051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0.102</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0.130</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pae_mean (Å)</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4.22</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0.68</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0.161</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2.00</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0.474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ipae (Å)</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5.35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0.165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0.495</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n_contact_residues</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25.9</w:t>
            </w:r>
          </w:p>
        </w:tc>
        <w:tc>
          <w:tcPr>
            <w:tcW w:type="dxa" w:w="1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1.66</w:t>
            </w:r>
          </w:p>
        </w:tc>
        <w:tc>
          <w:tcPr>
            <w:tcW w:type="dxa" w:w="1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0.064</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0.232</w:t>
            </w:r>
          </w:p>
        </w:tc>
      </w:tr>
    </w:tbl>
    <w:p>
      <w:pPr>
        <w:spacing w:after="120"/>
      </w:pPr>
      <w:r>
        <w:t xml:space="preserve"/>
      </w:r>
    </w:p>
    <w:p>
      <w:pPr>
        <w:spacing w:after="120" w:line="300"/>
        <w:jc w:val="both"/>
      </w:pPr>
      <w:r>
        <w:rPr>
          <w:rFonts w:ascii="Calibri" w:cs="Calibri" w:eastAsia="Calibri" w:hAnsi="Calibri"/>
          <w:sz w:val="22"/>
          <w:szCs w:val="22"/>
        </w:rPr>
        <w:t xml:space="preserve">Interpretation. pLDDT (CV 0.011), iPTM (CV 0.022), and actifpTM (CV 0.023) are the most reproducible metrics — each varies by roughly 1–2% of its mean across 10 seeds. ipSAE_min is three times more variable than iPTM (CV 0.074), spanning 0.679 to 0.846 across the 10 seeds. This range of 0.167 is nearly four times the gap between the correct-interface design_24 and the wrong-interface WT. A single-seed ipSAE value therefore cannot statistically distinguish the two conditions.</w:t>
      </w:r>
    </w:p>
    <w:p>
      <w:pPr>
        <w:spacing w:after="120" w:line="300"/>
        <w:jc w:val="both"/>
      </w:pPr>
      <w:r>
        <w:rPr>
          <w:rFonts w:ascii="Calibri" w:cs="Calibri" w:eastAsia="Calibri" w:hAnsi="Calibri"/>
          <w:sz w:val="22"/>
          <w:szCs w:val="22"/>
        </w:rPr>
        <w:t xml:space="preserve">ra_eff has CV 0.210 (SD = 0.53 Å) — the structural noise floor is approximately 0.5 Å on a fixed correct-interface sequence, confirming the 1–2 Å noise estimate from the notes 3 7B1I sampling-mode experiment. Effector RMSD (CV 0.143) is more stable than receptor RMSD (CV 0.317), indicating that receptor side-chain and loop repacking against the MPNN-designed sequence contributes most of the structural variance even when the effector pose is well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Effector stability is explained by the template</w:t>
            </w:r>
          </w:p>
          <w:p>
            <w:pPr>
              <w:spacing w:after="80" w:line="280"/>
              <w:jc w:val="both"/>
            </w:pPr>
            <w:r>
              <w:rPr>
                <w:rFonts w:ascii="Calibri" w:cs="Calibri" w:eastAsia="Calibri" w:hAnsi="Calibri"/>
                <w:b/>
                <w:bCs/>
                <w:color w:val="4A2E00"/>
                <w:sz w:val="20"/>
                <w:szCs w:val="20"/>
              </w:rPr>
              <w:t xml:space="preserve">Claim: effector RMSD has low variance because Boltz is told what the effector structure is. </w:t>
            </w:r>
            <w:r>
              <w:rPr>
                <w:rFonts w:ascii="Calibri" w:cs="Calibri" w:eastAsia="Calibri" w:hAnsi="Calibri"/>
                <w:color w:val="4A2E00"/>
                <w:sz w:val="20"/>
                <w:szCs w:val="20"/>
              </w:rPr>
              <w:t>The reviewer notes that the pipeline passes the ground-truth effector coordinates as a structural template to every Boltz call (via extract_effector_template_cif in boltz2_negative_steering.py), with force: true. The template is on the effector chain only — the receptor is still predicted from sequence.</w:t>
            </w:r>
          </w:p>
          <w:p>
            <w:pPr>
              <w:spacing w:after="80" w:line="280"/>
              <w:jc w:val="both"/>
            </w:pPr>
            <w:r>
              <w:rPr>
                <w:rFonts w:ascii="Calibri" w:cs="Calibri" w:eastAsia="Calibri" w:hAnsi="Calibri"/>
                <w:color w:val="4A2E00"/>
                <w:sz w:val="20"/>
                <w:szCs w:val="20"/>
              </w:rPr>
              <w:t xml:space="preserve">This means the effector_rmsd (≈0.5 Å CV 0.14) is </w:t>
            </w:r>
            <w:r>
              <w:rPr>
                <w:rFonts w:ascii="Calibri" w:cs="Calibri" w:eastAsia="Calibri" w:hAnsi="Calibri"/>
                <w:i/>
                <w:iCs/>
                <w:color w:val="4A2E00"/>
                <w:sz w:val="20"/>
                <w:szCs w:val="20"/>
              </w:rPr>
              <w:t xml:space="preserve">not </w:t>
            </w:r>
            <w:r>
              <w:rPr>
                <w:rFonts w:ascii="Calibri" w:cs="Calibri" w:eastAsia="Calibri" w:hAnsi="Calibri"/>
                <w:color w:val="4A2E00"/>
                <w:sz w:val="20"/>
                <w:szCs w:val="20"/>
              </w:rPr>
              <w:t xml:space="preserve">a measurement of Boltz's ability to fold the effector; it is mostly a measurement of how faithfully Boltz honours a pinned template, which should be very faithfully. The </w:t>
            </w:r>
            <w:r>
              <w:rPr>
                <w:rFonts w:ascii="Calibri" w:cs="Calibri" w:eastAsia="Calibri" w:hAnsi="Calibri"/>
                <w:b/>
                <w:bCs/>
                <w:color w:val="4A2E00"/>
                <w:sz w:val="20"/>
                <w:szCs w:val="20"/>
              </w:rPr>
              <w:t xml:space="preserve">low effector RMSD is expected by construction, </w:t>
            </w:r>
            <w:r>
              <w:rPr>
                <w:rFonts w:ascii="Calibri" w:cs="Calibri" w:eastAsia="Calibri" w:hAnsi="Calibri"/>
                <w:color w:val="4A2E00"/>
                <w:sz w:val="20"/>
                <w:szCs w:val="20"/>
              </w:rPr>
              <w:t xml:space="preserve">and does not carry information about interface prediction quality. This does not change any of the downstream conclusions in §2 but is worth flagging in any write-up: </w:t>
            </w:r>
            <w:r>
              <w:rPr>
                <w:rFonts w:ascii="Calibri" w:cs="Calibri" w:eastAsia="Calibri" w:hAnsi="Calibri"/>
                <w:i/>
                <w:iCs/>
                <w:color w:val="4A2E00"/>
                <w:sz w:val="20"/>
                <w:szCs w:val="20"/>
              </w:rPr>
              <w:t xml:space="preserve">ra_eff </w:t>
            </w:r>
            <w:r>
              <w:rPr>
                <w:rFonts w:ascii="Calibri" w:cs="Calibri" w:eastAsia="Calibri" w:hAnsi="Calibri"/>
                <w:color w:val="4A2E00"/>
                <w:sz w:val="20"/>
                <w:szCs w:val="20"/>
              </w:rPr>
              <w:t xml:space="preserve">(which aligns on receptor then measures effector displacement) is the metric that carries the interface-placement information, not the independent effector RMSD.</w:t>
            </w:r>
          </w:p>
        </w:tc>
      </w:tr>
    </w:tbl>
    <w:p>
      <w:pPr>
        <w:pStyle w:val="Heading2"/>
        <w:spacing w:after="140" w:before="280"/>
      </w:pPr>
      <w:r>
        <w:rPr>
          <w:rFonts w:ascii="Calibri" w:cs="Calibri" w:eastAsia="Calibri" w:hAnsi="Calibri"/>
          <w:b/>
          <w:bCs/>
          <w:color w:val="1F3864"/>
          <w:sz w:val="26"/>
          <w:szCs w:val="26"/>
        </w:rPr>
        <w:t xml:space="preserve">2.2 Across-sequence structural reproducibility (30 sequences × 3 seeds)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1700"/>
        <w:gridCol w:w="1700"/>
      </w:tblGrid>
      <w:tr>
        <w:trPr>
          <w:tblHeader/>
        </w:trPr>
        <w:tc>
          <w:tcPr>
            <w:tcW w:type="dxa" w:w="3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Metric</w:t>
            </w:r>
          </w:p>
        </w:tc>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Median within-group SD</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Median CV</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Maximum CV</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receptor_aligned_effector_rmsd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0.49 Å</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0.728</w:t>
            </w:r>
          </w:p>
        </w:tc>
      </w:tr>
      <w:tr>
        <w:tc>
          <w:tcPr>
            <w:tcW w:type="dxa" w:w="3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independent_receptor_rmsd</w:t>
            </w:r>
          </w:p>
        </w:tc>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0.22 Å</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0.091</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0.733</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independent_effector_rmsd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0.08 Å</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0.153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0.798</w:t>
            </w:r>
          </w:p>
        </w:tc>
      </w:tr>
    </w:tbl>
    <w:p>
      <w:pPr>
        <w:spacing w:after="120"/>
      </w:pPr>
      <w:r>
        <w:t xml:space="preserve"/>
      </w:r>
    </w:p>
    <w:p>
      <w:pPr>
        <w:spacing w:after="120" w:line="300"/>
        <w:jc w:val="both"/>
      </w:pPr>
      <w:r>
        <w:rPr>
          <w:rFonts w:ascii="Calibri" w:cs="Calibri" w:eastAsia="Calibri" w:hAnsi="Calibri"/>
          <w:sz w:val="22"/>
          <w:szCs w:val="22"/>
        </w:rPr>
        <w:t xml:space="preserve">The binary correct-versus-wrong interface classification is, however, near-deterministic at the sequence level. Of 30 sequence groups:</w:t>
      </w:r>
    </w:p>
    <w:p>
      <w:pPr>
        <w:pStyle w:val="ListParagraph"/>
        <w:numPr>
          <w:ilvl w:val="0"/>
          <w:numId w:val="3"/>
        </w:numPr>
        <w:spacing w:after="80" w:line="280"/>
      </w:pPr>
      <w:r>
        <w:rPr>
          <w:rFonts w:ascii="Calibri" w:cs="Calibri" w:eastAsia="Calibri" w:hAnsi="Calibri"/>
          <w:sz w:val="22"/>
          <w:szCs w:val="22"/>
        </w:rPr>
        <w:t xml:space="preserve">All three seeds find the correct interface: 16 groups</w:t>
      </w:r>
    </w:p>
    <w:p>
      <w:pPr>
        <w:pStyle w:val="ListParagraph"/>
        <w:numPr>
          <w:ilvl w:val="0"/>
          <w:numId w:val="3"/>
        </w:numPr>
        <w:spacing w:after="80" w:line="280"/>
      </w:pPr>
      <w:r>
        <w:rPr>
          <w:rFonts w:ascii="Calibri" w:cs="Calibri" w:eastAsia="Calibri" w:hAnsi="Calibri"/>
          <w:sz w:val="22"/>
          <w:szCs w:val="22"/>
        </w:rPr>
        <w:t xml:space="preserve">All three seeds find the wrong interface: 14 groups</w:t>
      </w:r>
    </w:p>
    <w:p>
      <w:pPr>
        <w:pStyle w:val="ListParagraph"/>
        <w:numPr>
          <w:ilvl w:val="0"/>
          <w:numId w:val="3"/>
        </w:numPr>
        <w:spacing w:after="80" w:line="280"/>
      </w:pPr>
      <w:r>
        <w:rPr>
          <w:rFonts w:ascii="Calibri" w:cs="Calibri" w:eastAsia="Calibri" w:hAnsi="Calibri"/>
          <w:sz w:val="22"/>
          <w:szCs w:val="22"/>
        </w:rPr>
        <w:t xml:space="preserve">Seeds split 2:1 or 1:2: 0 groups</w:t>
      </w:r>
    </w:p>
    <w:p>
      <w:pPr>
        <w:spacing w:after="120" w:line="300"/>
        <w:jc w:val="both"/>
      </w:pPr>
      <w:r>
        <w:rPr>
          <w:rFonts w:ascii="Calibri" w:cs="Calibri" w:eastAsia="Calibri" w:hAnsi="Calibri"/>
          <w:sz w:val="22"/>
          <w:szCs w:val="22"/>
        </w:rPr>
        <w:t xml:space="preserve">Interface placement is all-or-nothing at the sequence level; seeds disagree only about the quality of placement within the correct or wrong interface. This is an important and useful property — it means that even though individual seed metrics vary substantially, the interface-category decision for a sequence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This supports running the steering pipeline at 1 seed per sequence</w:t>
            </w:r>
          </w:p>
          <w:p>
            <w:pPr>
              <w:spacing w:after="80" w:line="280"/>
              <w:jc w:val="both"/>
            </w:pPr>
            <w:r>
              <w:rPr>
                <w:rFonts w:ascii="Calibri" w:cs="Calibri" w:eastAsia="Calibri" w:hAnsi="Calibri"/>
                <w:color w:val="4A2E00"/>
                <w:sz w:val="20"/>
                <w:szCs w:val="20"/>
              </w:rPr>
              <w:t xml:space="preserve">The all-or-nothing property (30/30 groups = 3/3 or 0/3, zero splits) is </w:t>
            </w:r>
            <w:r>
              <w:rPr>
                <w:rFonts w:ascii="Calibri" w:cs="Calibri" w:eastAsia="Calibri" w:hAnsi="Calibri"/>
                <w:b/>
                <w:bCs/>
                <w:color w:val="4A2E00"/>
                <w:sz w:val="20"/>
                <w:szCs w:val="20"/>
              </w:rPr>
              <w:t xml:space="preserve">direct support for the deployment policy in §0: </w:t>
            </w:r>
            <w:r>
              <w:rPr>
                <w:rFonts w:ascii="Calibri" w:cs="Calibri" w:eastAsia="Calibri" w:hAnsi="Calibri"/>
                <w:color w:val="4A2E00"/>
                <w:sz w:val="20"/>
                <w:szCs w:val="20"/>
              </w:rPr>
              <w:t xml:space="preserve">a single-seed steering prediction reliably categorises a sequence as correct-interface or wrong-interface. The noise is on the quality axis, not the category axis. Since the 100→10 ranking step is primarily a category-then-quality sort — and the category is stable at n=1 — single-seed ranking is defensible.</w:t>
            </w:r>
          </w:p>
          <w:p>
            <w:pPr>
              <w:spacing w:after="80" w:line="280"/>
              <w:jc w:val="both"/>
            </w:pPr>
            <w:r>
              <w:rPr>
                <w:rFonts w:ascii="Calibri" w:cs="Calibri" w:eastAsia="Calibri" w:hAnsi="Calibri"/>
                <w:color w:val="4A2E00"/>
                <w:sz w:val="20"/>
                <w:szCs w:val="20"/>
              </w:rPr>
              <w:t xml:space="preserve">The caveat: this holds for the 30 sequences in v4. It should be monitored on future runs; if a future design task shows seed splits at the category level, the single-seed policy needs revisiting for that task specifically.</w:t>
            </w:r>
          </w:p>
        </w:tc>
      </w:tr>
    </w:tbl>
    <w:p>
      <w:pPr>
        <w:pStyle w:val="Heading2"/>
        <w:spacing w:after="140" w:before="280"/>
      </w:pPr>
      <w:r>
        <w:rPr>
          <w:rFonts w:ascii="Calibri" w:cs="Calibri" w:eastAsia="Calibri" w:hAnsi="Calibri"/>
          <w:b/>
          <w:bCs/>
          <w:color w:val="1F3864"/>
          <w:sz w:val="26"/>
          <w:szCs w:val="26"/>
        </w:rPr>
        <w:t xml:space="preserve">2.3 Discriminative power of confidence metrics (correct vs wrong interface)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100"/>
        <w:gridCol w:w="600"/>
        <w:gridCol w:w="2000"/>
        <w:gridCol w:w="1460"/>
        <w:gridCol w:w="1400"/>
        <w:gridCol w:w="1400"/>
      </w:tblGrid>
      <w:tr>
        <w:trPr>
          <w:tblHeader/>
        </w:trPr>
        <w:tc>
          <w:tcPr>
            <w:tcW w:type="dxa" w:w="3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Sequence</w:t>
            </w:r>
          </w:p>
        </w:tc>
        <w:tc>
          <w:tcPr>
            <w:tcW w:type="dxa" w:w="6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n</w:t>
            </w:r>
          </w:p>
        </w:tc>
        <w:tc>
          <w:tcPr>
            <w:tcW w:type="dxa" w:w="2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Interface</w:t>
            </w:r>
          </w:p>
        </w:tc>
        <w:tc>
          <w:tcPr>
            <w:tcW w:type="dxa" w:w="14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ra_eff (Å)</w:t>
            </w:r>
          </w:p>
        </w:tc>
        <w:tc>
          <w:tcPr>
            <w:tcW w:type="dxa" w:w="1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ipSAE_min</w:t>
            </w:r>
          </w:p>
        </w:tc>
        <w:tc>
          <w:tcPr>
            <w:tcW w:type="dxa" w:w="1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iPTM</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(MPNN receptor, ds=5)</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29.8 ± 0.7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0.787 ± 0.055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0.893 ± 0.020</w:t>
            </w:r>
          </w:p>
        </w:tc>
      </w:tr>
      <w:tr>
        <w:tc>
          <w:tcPr>
            <w:tcW w:type="dxa" w:w="3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design_24 (K5E M22E L36D, clean)</w:t>
            </w:r>
          </w:p>
        </w:tc>
        <w:tc>
          <w:tcPr>
            <w:tcW w:type="dxa" w:w="6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c>
          <w:tcPr>
            <w:tcW w:type="dxa" w:w="14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2.51 ± 0.53</w:t>
            </w:r>
          </w:p>
        </w:tc>
        <w:tc>
          <w:tcPr>
            <w:tcW w:type="dxa" w:w="1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0.755 ± 0.055</w:t>
            </w:r>
          </w:p>
        </w:tc>
        <w:tc>
          <w:tcPr>
            <w:tcW w:type="dxa" w:w="1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0.862 ± 0.019</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design_12_s0 (reverted → D32K)</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2.62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0.522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0.754</w:t>
            </w:r>
          </w:p>
        </w:tc>
      </w:tr>
      <w:tr>
        <w:tc>
          <w:tcPr>
            <w:tcW w:type="dxa" w:w="31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design_10_s2 (reverted → D32K)</w:t>
            </w:r>
          </w:p>
        </w:tc>
        <w:tc>
          <w:tcPr>
            <w:tcW w:type="dxa" w:w="6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CORRECT</w:t>
            </w:r>
          </w:p>
        </w:tc>
        <w:tc>
          <w:tcPr>
            <w:tcW w:type="dxa" w:w="14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3.56</w:t>
            </w:r>
          </w:p>
        </w:tc>
        <w:tc>
          <w:tcPr>
            <w:tcW w:type="dxa" w:w="1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0.245</w:t>
            </w:r>
          </w:p>
        </w:tc>
        <w:tc>
          <w:tcPr>
            <w:tcW w:type="dxa" w:w="1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0.649</w:t>
            </w:r>
          </w:p>
        </w:tc>
      </w:tr>
    </w:tbl>
    <w:p>
      <w:pPr>
        <w:spacing w:after="120"/>
      </w:pPr>
      <w:r>
        <w:t xml:space="preserve"/>
      </w:r>
    </w:p>
    <w:p>
      <w:pPr>
        <w:spacing w:after="120" w:line="300"/>
        <w:jc w:val="both"/>
      </w:pPr>
      <w:r>
        <w:rPr>
          <w:rFonts w:ascii="Calibri" w:cs="Calibri" w:eastAsia="Calibri" w:hAnsi="Calibri"/>
          <w:sz w:val="22"/>
          <w:szCs w:val="22"/>
        </w:rPr>
        <w:t xml:space="preserve">Welch two-sample t-statistic for design_24 (n=10) versus WT (n=100):</w:t>
      </w:r>
    </w:p>
    <w:p>
      <w:pPr>
        <w:pStyle w:val="ListParagraph"/>
        <w:numPr>
          <w:ilvl w:val="0"/>
          <w:numId w:val="3"/>
        </w:numPr>
        <w:spacing w:after="80" w:line="280"/>
      </w:pPr>
      <w:r>
        <w:rPr>
          <w:rFonts w:ascii="Calibri" w:cs="Calibri" w:eastAsia="Calibri" w:hAnsi="Calibri"/>
          <w:b/>
          <w:bCs/>
          <w:sz w:val="22"/>
          <w:szCs w:val="22"/>
        </w:rPr>
        <w:t xml:space="preserve">ipSAE_min: </w:t>
      </w:r>
      <w:r>
        <w:rPr>
          <w:rFonts w:ascii="Calibri" w:cs="Calibri" w:eastAsia="Calibri" w:hAnsi="Calibri"/>
          <w:sz w:val="22"/>
          <w:szCs w:val="22"/>
        </w:rPr>
        <w:t xml:space="preserve">t = −1.75, Cohen's d = −0.58. The direction is wrong — the wrong-interface wild-type is the more confident one.</w:t>
      </w:r>
    </w:p>
    <w:p>
      <w:pPr>
        <w:pStyle w:val="ListParagraph"/>
        <w:numPr>
          <w:ilvl w:val="0"/>
          <w:numId w:val="3"/>
        </w:numPr>
        <w:spacing w:after="80" w:line="280"/>
      </w:pPr>
      <w:r>
        <w:rPr>
          <w:rFonts w:ascii="Calibri" w:cs="Calibri" w:eastAsia="Calibri" w:hAnsi="Calibri"/>
          <w:b/>
          <w:bCs/>
          <w:sz w:val="22"/>
          <w:szCs w:val="22"/>
        </w:rPr>
        <w:t xml:space="preserve">iPTM: </w:t>
      </w:r>
      <w:r>
        <w:rPr>
          <w:rFonts w:ascii="Calibri" w:cs="Calibri" w:eastAsia="Calibri" w:hAnsi="Calibri"/>
          <w:sz w:val="22"/>
          <w:szCs w:val="22"/>
        </w:rPr>
        <w:t xml:space="preserve">t = −4.79, Cohen's d = −1.54. Strongly anti-informative.</w:t>
      </w:r>
    </w:p>
    <w:p>
      <w:pPr>
        <w:spacing w:after="120" w:line="300"/>
        <w:jc w:val="both"/>
      </w:pPr>
      <w:r>
        <w:rPr>
          <w:rFonts w:ascii="Calibri" w:cs="Calibri" w:eastAsia="Calibri" w:hAnsi="Calibri"/>
          <w:sz w:val="22"/>
          <w:szCs w:val="22"/>
        </w:rPr>
        <w:t xml:space="preserve">Simulated AUROC (sampling WT from notes-8 mean/SD, design_24 from its 10 observed draws) for distinguishing correct from wrong:</w:t>
      </w:r>
    </w:p>
    <w:p>
      <w:pPr>
        <w:pStyle w:val="ListParagraph"/>
        <w:numPr>
          <w:ilvl w:val="0"/>
          <w:numId w:val="3"/>
        </w:numPr>
        <w:spacing w:after="80" w:line="280"/>
      </w:pPr>
      <w:r>
        <w:rPr>
          <w:rFonts w:ascii="Calibri" w:cs="Calibri" w:eastAsia="Calibri" w:hAnsi="Calibri"/>
          <w:sz w:val="22"/>
          <w:szCs w:val="22"/>
        </w:rPr>
        <w:t xml:space="preserve">ipSAE: AUROC = 0.33</w:t>
      </w:r>
    </w:p>
    <w:p>
      <w:pPr>
        <w:pStyle w:val="ListParagraph"/>
        <w:numPr>
          <w:ilvl w:val="0"/>
          <w:numId w:val="3"/>
        </w:numPr>
        <w:spacing w:after="80" w:line="280"/>
      </w:pPr>
      <w:r>
        <w:rPr>
          <w:rFonts w:ascii="Calibri" w:cs="Calibri" w:eastAsia="Calibri" w:hAnsi="Calibri"/>
          <w:sz w:val="22"/>
          <w:szCs w:val="22"/>
        </w:rPr>
        <w:t xml:space="preserve">iPTM: AUROC = 0.15</w:t>
      </w:r>
    </w:p>
    <w:p>
      <w:pPr>
        <w:spacing w:after="120" w:line="300"/>
        <w:jc w:val="both"/>
      </w:pPr>
      <w:r>
        <w:rPr>
          <w:rFonts w:ascii="Calibri" w:cs="Calibri" w:eastAsia="Calibri" w:hAnsi="Calibri"/>
          <w:sz w:val="22"/>
          <w:szCs w:val="22"/>
        </w:rPr>
        <w:t xml:space="preserve">Both are below the 0.5 random baseline. Flipping the sign of either metric (lower = better) would give better-than-random discrimination, but that is a desperate move and the literature gives no principled justification for such an inversion. The reasonable conclusion is that for this system, in the regime where the wrong-interface baseline is a naturally occurring protein surface and the correct interface is a de novo design, ipSAE and iPTM report the opposite of what the pipeline needs them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Reviewer pushback on the correct-vs-wrong framing</w:t>
            </w:r>
          </w:p>
          <w:p>
            <w:pPr>
              <w:spacing w:after="80" w:line="280"/>
              <w:jc w:val="both"/>
            </w:pPr>
            <w:r>
              <w:rPr>
                <w:rFonts w:ascii="Calibri" w:cs="Calibri" w:eastAsia="Calibri" w:hAnsi="Calibri"/>
                <w:b/>
                <w:bCs/>
                <w:color w:val="4A2E00"/>
                <w:sz w:val="20"/>
                <w:szCs w:val="20"/>
              </w:rPr>
              <w:t xml:space="preserve">The reviewer argues that the correct-vs-wrong comparison is not the primary question for the production pipeline. </w:t>
            </w:r>
            <w:r>
              <w:rPr>
                <w:rFonts w:ascii="Calibri" w:cs="Calibri" w:eastAsia="Calibri" w:hAnsi="Calibri"/>
                <w:color w:val="4A2E00"/>
                <w:sz w:val="20"/>
                <w:szCs w:val="20"/>
              </w:rPr>
              <w:t xml:space="preserve">At the ranking step the pipeline only considers designs that have </w:t>
            </w:r>
            <w:r>
              <w:rPr>
                <w:rFonts w:ascii="Calibri" w:cs="Calibri" w:eastAsia="Calibri" w:hAnsi="Calibri"/>
                <w:i/>
                <w:iCs/>
                <w:color w:val="4A2E00"/>
                <w:sz w:val="20"/>
                <w:szCs w:val="20"/>
              </w:rPr>
              <w:t xml:space="preserve">already passed </w:t>
            </w:r>
            <w:r>
              <w:rPr>
                <w:rFonts w:ascii="Calibri" w:cs="Calibri" w:eastAsia="Calibri" w:hAnsi="Calibri"/>
                <w:color w:val="4A2E00"/>
                <w:sz w:val="20"/>
                <w:szCs w:val="20"/>
              </w:rPr>
              <w:t xml:space="preserve">the correct-interface filter (ra_eff &lt; 5 Å, intact). The relevant question is </w:t>
            </w:r>
            <w:r>
              <w:rPr>
                <w:rFonts w:ascii="Calibri" w:cs="Calibri" w:eastAsia="Calibri" w:hAnsi="Calibri"/>
                <w:i/>
                <w:iCs/>
                <w:color w:val="4A2E00"/>
                <w:sz w:val="20"/>
                <w:szCs w:val="20"/>
              </w:rPr>
              <w:t xml:space="preserve">among correct-interface designs, does ipSAE rank the better ones higher? </w:t>
            </w:r>
            <w:r>
              <w:rPr>
                <w:rFonts w:ascii="Calibri" w:cs="Calibri" w:eastAsia="Calibri" w:hAnsi="Calibri"/>
                <w:color w:val="4A2E00"/>
                <w:sz w:val="20"/>
                <w:szCs w:val="20"/>
              </w:rPr>
              <w:t xml:space="preserve"> — i.e. the §2.4 question, not the §2.3 question. This is a fair point.</w:t>
            </w:r>
          </w:p>
          <w:p>
            <w:pPr>
              <w:spacing w:after="80" w:line="280"/>
              <w:jc w:val="both"/>
            </w:pPr>
            <w:r>
              <w:rPr>
                <w:rFonts w:ascii="Calibri" w:cs="Calibri" w:eastAsia="Calibri" w:hAnsi="Calibri"/>
                <w:b/>
                <w:bCs/>
                <w:color w:val="4A2E00"/>
                <w:sz w:val="20"/>
                <w:szCs w:val="20"/>
              </w:rPr>
              <w:t xml:space="preserve">Counter-argument for retaining §2.3: </w:t>
            </w:r>
            <w:r>
              <w:rPr>
                <w:rFonts w:ascii="Calibri" w:cs="Calibri" w:eastAsia="Calibri" w:hAnsi="Calibri"/>
                <w:color w:val="4A2E00"/>
                <w:sz w:val="20"/>
                <w:szCs w:val="20"/>
              </w:rPr>
              <w:t xml:space="preserve">the AUROC 0.33 number remains the single most important evidence that ipSAE cannot be used naïvely as an upstream filter at the "drop designs with ipSAE &lt; 0.5" level. A user reading the column and seeing 0.5 would plausibly exclude a good design; the purpose of §2.3 is to flag that risk. The §2.4 analysis then handles the "within correct-interface" question separately.</w:t>
            </w:r>
          </w:p>
          <w:p>
            <w:pPr>
              <w:spacing w:after="80" w:line="280"/>
              <w:jc w:val="both"/>
            </w:pPr>
            <w:r>
              <w:rPr>
                <w:rFonts w:ascii="Calibri" w:cs="Calibri" w:eastAsia="Calibri" w:hAnsi="Calibri"/>
                <w:b/>
                <w:bCs/>
                <w:color w:val="4A2E00"/>
                <w:sz w:val="20"/>
                <w:szCs w:val="20"/>
              </w:rPr>
              <w:t xml:space="preserve">Revised framing: </w:t>
            </w:r>
            <w:r>
              <w:rPr>
                <w:rFonts w:ascii="Calibri" w:cs="Calibri" w:eastAsia="Calibri" w:hAnsi="Calibri"/>
                <w:color w:val="4A2E00"/>
                <w:sz w:val="20"/>
                <w:szCs w:val="20"/>
              </w:rPr>
              <w:t xml:space="preserve">§2.3 establishes that ipSAE cannot be a high-threshold filter or a primary ranker. §2.4 establishes that it is not a within-regime ranker either. Both findings reinforce the same conclusion: ipSAE stays in the memo as a diagnostic and a permissive filter only.</w:t>
            </w:r>
          </w:p>
        </w:tc>
      </w:tr>
    </w:tbl>
    <w:p>
      <w:pPr>
        <w:pStyle w:val="Heading2"/>
        <w:spacing w:after="140" w:before="280"/>
      </w:pPr>
      <w:r>
        <w:rPr>
          <w:rFonts w:ascii="Calibri" w:cs="Calibri" w:eastAsia="Calibri" w:hAnsi="Calibri"/>
          <w:b/>
          <w:bCs/>
          <w:color w:val="1F3864"/>
          <w:sz w:val="26"/>
          <w:szCs w:val="26"/>
        </w:rPr>
        <w:t xml:space="preserve">2.4 Within the correct-interface regime — does confidence predict quality?</w:t>
      </w:r>
    </w:p>
    <w:p>
      <w:pPr>
        <w:spacing w:after="120" w:line="300"/>
        <w:jc w:val="both"/>
      </w:pPr>
      <w:r>
        <w:rPr>
          <w:rFonts w:ascii="Calibri" w:cs="Calibri" w:eastAsia="Calibri" w:hAnsi="Calibri"/>
          <w:sz w:val="22"/>
          <w:szCs w:val="22"/>
        </w:rPr>
        <w:t xml:space="preserve">With all 10 design_24 seeds confined to correct-interface predictions, does higher ipSAE or iPTM correspond to lower ra_eff?</w:t>
      </w:r>
    </w:p>
    <w:p>
      <w:pPr>
        <w:spacing w:after="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260"/>
      </w:tblGrid>
      <w:tr>
        <w:trPr>
          <w:tblHeader/>
        </w:trPr>
        <w:tc>
          <w:tcPr>
            <w:tcW w:type="dxa" w:w="2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Confidence metric</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Pearson vs ra_eff</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Spearman vs ra_eff</w:t>
            </w:r>
          </w:p>
        </w:tc>
        <w:tc>
          <w:tcPr>
            <w:tcW w:type="dxa" w:w="32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Expected direction?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ipsae_min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+0.42</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w:t>
            </w:r>
          </w:p>
        </w:tc>
      </w:tr>
      <w:tr>
        <w:tc>
          <w:tcPr>
            <w:tcW w:type="dxa" w:w="2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iptm</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+0.30</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+0.43</w:t>
            </w:r>
          </w:p>
        </w:tc>
        <w:tc>
          <w:tcPr>
            <w:tcW w:type="dxa" w:w="32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actifptm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+0.39</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w:t>
            </w:r>
          </w:p>
        </w:tc>
      </w:tr>
      <w:tr>
        <w:tc>
          <w:tcPr>
            <w:tcW w:type="dxa" w:w="2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complex_plddt</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+0.23</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+0.53</w:t>
            </w:r>
          </w:p>
        </w:tc>
        <w:tc>
          <w:tcPr>
            <w:tcW w:type="dxa" w:w="32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ipae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−0.33</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 (lower PAE should mean lower ra_eff)</w:t>
            </w:r>
          </w:p>
        </w:tc>
      </w:tr>
      <w:tr>
        <w:tc>
          <w:tcPr>
            <w:tcW w:type="dxa" w:w="25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pae_mean</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−0.32</w:t>
            </w:r>
          </w:p>
        </w:tc>
        <w:tc>
          <w:tcPr>
            <w:tcW w:type="dxa" w:w="17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−0.29</w:t>
            </w:r>
          </w:p>
        </w:tc>
        <w:tc>
          <w:tcPr>
            <w:tcW w:type="dxa" w:w="32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pae_pass_frac</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+0.29</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 sign</w:t>
            </w:r>
          </w:p>
        </w:tc>
      </w:tr>
    </w:tbl>
    <w:p>
      <w:pPr>
        <w:spacing w:after="120"/>
      </w:pPr>
      <w:r>
        <w:t xml:space="preserve"/>
      </w:r>
    </w:p>
    <w:p>
      <w:pPr>
        <w:spacing w:after="120" w:line="300"/>
        <w:jc w:val="both"/>
      </w:pPr>
      <w:r>
        <w:rPr>
          <w:rFonts w:ascii="Calibri" w:cs="Calibri" w:eastAsia="Calibri" w:hAnsi="Calibri"/>
          <w:sz w:val="22"/>
          <w:szCs w:val="22"/>
        </w:rPr>
        <w:t xml:space="preserve">Every confidence metric has the wrong sign for ranking seeds within a correct-interface sequence. Higher confidence correlates with higher ra_eff, not lower. Rank overlap between the top-3 seeds by ra_eff (1, 0, 4) and the top-3 by ipSAE (2, 1, 9) is only 1 out of 3. The Spearman coefficients are modest in magnitude but uniformly sign-wrong across seven metrics. This is a quantitative restatement of the calibration problem: on this designed-interface system, Boltz-2's confidence is driven by how well-packed the receptor–effector contact is against a training-distribution-like sequence environment, which correlates with the receptor having repacked away from its RFDiffusion template — i.e. with poorer structural agreement with the designed 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Reframing: ra_eff is not a quality axis inside the correct regime</w:t>
            </w:r>
          </w:p>
          <w:p>
            <w:pPr>
              <w:spacing w:after="80" w:line="280"/>
              <w:jc w:val="both"/>
            </w:pPr>
            <w:r>
              <w:rPr>
                <w:rFonts w:ascii="Calibri" w:cs="Calibri" w:eastAsia="Calibri" w:hAnsi="Calibri"/>
                <w:b/>
                <w:bCs/>
                <w:color w:val="4A2E00"/>
                <w:sz w:val="20"/>
                <w:szCs w:val="20"/>
              </w:rPr>
              <w:t xml:space="preserve">The reviewer rejects the premise of this section. </w:t>
            </w:r>
            <w:r>
              <w:rPr>
                <w:rFonts w:ascii="Calibri" w:cs="Calibri" w:eastAsia="Calibri" w:hAnsi="Calibri"/>
                <w:color w:val="4A2E00"/>
                <w:sz w:val="20"/>
                <w:szCs w:val="20"/>
              </w:rPr>
              <w:t xml:space="preserve">If ra_eff differences of 0.1–1 Å inside the correct-interface regime are not biologically meaningful — and the reviewer argues they are not, because (a) the RFDiffusion backbone is not engineered to ±0.1 Å target-placement accuracy, and (b) the Boltz-2 single-seed noise floor is ≈0.5 Å — then asking whether ipSAE predicts ra_eff ordering inside that regime is asking whether it predicts noise. The sign-wrong result in the table above is therefore not informative: it is a Spearman of a metric against noise.</w:t>
            </w:r>
          </w:p>
          <w:p>
            <w:pPr>
              <w:spacing w:after="80" w:line="280"/>
              <w:jc w:val="both"/>
            </w:pPr>
            <w:r>
              <w:rPr>
                <w:rFonts w:ascii="Calibri" w:cs="Calibri" w:eastAsia="Calibri" w:hAnsi="Calibri"/>
                <w:b/>
                <w:bCs/>
                <w:color w:val="4A2E00"/>
                <w:sz w:val="20"/>
                <w:szCs w:val="20"/>
              </w:rPr>
              <w:t xml:space="preserve">Counter: </w:t>
            </w:r>
            <w:r>
              <w:rPr>
                <w:rFonts w:ascii="Calibri" w:cs="Calibri" w:eastAsia="Calibri" w:hAnsi="Calibri"/>
                <w:color w:val="4A2E00"/>
                <w:sz w:val="20"/>
                <w:szCs w:val="20"/>
              </w:rPr>
              <w:t xml:space="preserve">the first-draft premise was that ra_eff is the only available quality axis, and that within-regime ipSAE correlation with it would be the best available test. The reviewer's objection substantially weakens that conclusion. Reframing §2.4's finding: </w:t>
            </w:r>
            <w:r>
              <w:rPr>
                <w:rFonts w:ascii="Calibri" w:cs="Calibri" w:eastAsia="Calibri" w:hAnsi="Calibri"/>
                <w:i/>
                <w:iCs/>
                <w:color w:val="4A2E00"/>
                <w:sz w:val="20"/>
                <w:szCs w:val="20"/>
              </w:rPr>
              <w:t xml:space="preserve">ipSAE does not rank within-regime seeds in a way that agrees with fine-grained ra_eff ordering, </w:t>
            </w:r>
            <w:r>
              <w:rPr>
                <w:rFonts w:ascii="Calibri" w:cs="Calibri" w:eastAsia="Calibri" w:hAnsi="Calibri"/>
                <w:color w:val="4A2E00"/>
                <w:sz w:val="20"/>
                <w:szCs w:val="20"/>
              </w:rPr>
              <w:t xml:space="preserve">which could mean (a) ipSAE is bad at quality ranking, or (b) fine-grained ra_eff is meaningless noise, or (c) both. The data does not distinguish these hypotheses.</w:t>
            </w:r>
          </w:p>
          <w:p>
            <w:pPr>
              <w:spacing w:after="80" w:line="280"/>
              <w:jc w:val="both"/>
            </w:pPr>
            <w:r>
              <w:rPr>
                <w:rFonts w:ascii="Calibri" w:cs="Calibri" w:eastAsia="Calibri" w:hAnsi="Calibri"/>
                <w:b/>
                <w:bCs/>
                <w:color w:val="4A2E00"/>
                <w:sz w:val="20"/>
                <w:szCs w:val="20"/>
              </w:rPr>
              <w:t xml:space="preserve">Implication for the ranker: </w:t>
            </w:r>
            <w:r>
              <w:rPr>
                <w:rFonts w:ascii="Calibri" w:cs="Calibri" w:eastAsia="Calibri" w:hAnsi="Calibri"/>
                <w:color w:val="4A2E00"/>
                <w:sz w:val="20"/>
                <w:szCs w:val="20"/>
              </w:rPr>
              <w:t xml:space="preserve">the §9 composite score is revised to reduce the weight on ra_eff (0.1 → 0.05) and to drop the claim that within-regime ipSAE is sign-wrong. The honest statement is that ipSAE may be fine or may not — it is untested on a meaningful quality axis. Quality ranking within the correct-interface regime remains the open question the orthogonal metrics (DockQ, BSA, Sc, Rosetta ΔΔG) are being added to answer.</w:t>
            </w:r>
          </w:p>
          <w:p>
            <w:pPr>
              <w:spacing w:after="80" w:line="280"/>
              <w:jc w:val="both"/>
            </w:pPr>
            <w:r>
              <w:rPr>
                <w:rFonts w:ascii="Calibri" w:cs="Calibri" w:eastAsia="Calibri" w:hAnsi="Calibri"/>
                <w:b/>
                <w:bCs/>
                <w:color w:val="4A2E00"/>
                <w:sz w:val="20"/>
                <w:szCs w:val="20"/>
              </w:rPr>
              <w:t xml:space="preserve">Separately — on the reviewer's framing of the ipSAE question: </w:t>
            </w:r>
            <w:r>
              <w:rPr>
                <w:rFonts w:ascii="Calibri" w:cs="Calibri" w:eastAsia="Calibri" w:hAnsi="Calibri"/>
                <w:color w:val="4A2E00"/>
                <w:sz w:val="20"/>
                <w:szCs w:val="20"/>
              </w:rPr>
              <w:t xml:space="preserve">the reviewer phrases it as "would one choose a confident interface for a seed with an ra_eff under ~3–5 Å?" rather than "would one pick the seed with the lowest ra_eff?". This is a better question. Recast: </w:t>
            </w:r>
            <w:r>
              <w:rPr>
                <w:rFonts w:ascii="Calibri" w:cs="Calibri" w:eastAsia="Calibri" w:hAnsi="Calibri"/>
                <w:i/>
                <w:iCs/>
                <w:color w:val="4A2E00"/>
                <w:sz w:val="20"/>
                <w:szCs w:val="20"/>
              </w:rPr>
              <w:t xml:space="preserve">among design_24 seeds all at ra_eff &lt; 4 Å, is ipSAE informative about any residual quality property? </w:t>
            </w:r>
            <w:r>
              <w:rPr>
                <w:rFonts w:ascii="Calibri" w:cs="Calibri" w:eastAsia="Calibri" w:hAnsi="Calibri"/>
                <w:color w:val="4A2E00"/>
                <w:sz w:val="20"/>
                <w:szCs w:val="20"/>
              </w:rPr>
              <w:t xml:space="preserve">The data cannot answer this because we have no orthogonal quality axis to test ipSAE against other than ra_eff itself. This is the motivation for computing DockQ, BSA, and Rosetta ΔΔG on the top ~10 candidates (see §9 revised) — they give an independent quality axis to correlate ipSAE against.</w:t>
            </w:r>
          </w:p>
        </w:tc>
      </w:tr>
    </w:tbl>
    <w:p>
      <w:pPr>
        <w:pStyle w:val="Heading2"/>
        <w:spacing w:after="140" w:before="280"/>
      </w:pPr>
      <w:r>
        <w:rPr>
          <w:rFonts w:ascii="Calibri" w:cs="Calibri" w:eastAsia="Calibri" w:hAnsi="Calibri"/>
          <w:b/>
          <w:bCs/>
          <w:color w:val="1F3864"/>
          <w:sz w:val="26"/>
          <w:szCs w:val="26"/>
        </w:rPr>
        <w:t xml:space="preserve">2.5 True_jaccard as a structural signal — the unsung hero</w:t>
      </w:r>
    </w:p>
    <w:p>
      <w:pPr>
        <w:spacing w:after="120" w:line="300"/>
        <w:jc w:val="both"/>
      </w:pPr>
      <w:r>
        <w:rPr>
          <w:rFonts w:ascii="Calibri" w:cs="Calibri" w:eastAsia="Calibri" w:hAnsi="Calibri"/>
          <w:sz w:val="22"/>
          <w:szCs w:val="22"/>
        </w:rPr>
        <w:t xml:space="preserve">Across all 90 non-initial predictions in v4 (48 correct-interface, 42 wrong-interface):</w:t>
      </w:r>
    </w:p>
    <w:p>
      <w:pPr>
        <w:pStyle w:val="ListParagraph"/>
        <w:numPr>
          <w:ilvl w:val="0"/>
          <w:numId w:val="3"/>
        </w:numPr>
        <w:spacing w:after="80" w:line="280"/>
      </w:pPr>
      <w:r>
        <w:rPr>
          <w:rFonts w:ascii="Calibri" w:cs="Calibri" w:eastAsia="Calibri" w:hAnsi="Calibri"/>
          <w:sz w:val="22"/>
          <w:szCs w:val="22"/>
        </w:rPr>
        <w:t xml:space="preserve">Spearman(ra_eff, true_jaccard) = −0.68 — strong and correctly signed.</w:t>
      </w:r>
    </w:p>
    <w:p>
      <w:pPr>
        <w:pStyle w:val="ListParagraph"/>
        <w:numPr>
          <w:ilvl w:val="0"/>
          <w:numId w:val="3"/>
        </w:numPr>
        <w:spacing w:after="80" w:line="280"/>
      </w:pPr>
      <w:r>
        <w:rPr>
          <w:rFonts w:ascii="Calibri" w:cs="Calibri" w:eastAsia="Calibri" w:hAnsi="Calibri"/>
          <w:sz w:val="22"/>
          <w:szCs w:val="22"/>
        </w:rPr>
        <w:t xml:space="preserve">Spearman(ra_eff, wrong_jaccard) = +0.03 — no useful signal.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1360"/>
      </w:tblGrid>
      <w:tr>
        <w:trPr>
          <w:tblHeader/>
        </w:trPr>
        <w:tc>
          <w:tcPr>
            <w:tcW w:type="dxa" w:w="2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Metric</w:t>
            </w:r>
          </w:p>
        </w:tc>
        <w:tc>
          <w:tcPr>
            <w:tcW w:type="dxa" w:w="2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Correct (n=48)</w:t>
            </w:r>
          </w:p>
        </w:tc>
        <w:tc>
          <w:tcPr>
            <w:tcW w:type="dxa" w:w="2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Wrong (n=42)</w:t>
            </w:r>
          </w:p>
        </w:tc>
        <w:tc>
          <w:tcPr>
            <w:tcW w:type="dxa" w:w="13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Cohen's 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true_jaccard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0.614 ± 0.084 [0.43–0.82]</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0.423 ± 0.152 [0.13–0.64]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+1.58</w:t>
            </w:r>
          </w:p>
        </w:tc>
      </w:tr>
      <w:tr>
        <w:tc>
          <w:tcPr>
            <w:tcW w:type="dxa" w:w="22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wrong_jaccard</w:t>
            </w:r>
          </w:p>
        </w:tc>
        <w:tc>
          <w:tcPr>
            <w:tcW w:type="dxa" w:w="29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0.467 ± 0.040 [0.38–0.57]</w:t>
            </w:r>
          </w:p>
        </w:tc>
        <w:tc>
          <w:tcPr>
            <w:tcW w:type="dxa" w:w="29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0.483 ± 0.182 [0.26–0.79]</w:t>
            </w:r>
          </w:p>
        </w:tc>
        <w:tc>
          <w:tcPr>
            <w:tcW w:type="dxa" w:w="13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−0.12</w:t>
            </w:r>
          </w:p>
        </w:tc>
      </w:tr>
    </w:tbl>
    <w:p>
      <w:pPr>
        <w:spacing w:after="120"/>
      </w:pPr>
      <w:r>
        <w:t xml:space="preserve"/>
      </w:r>
    </w:p>
    <w:p>
      <w:pPr>
        <w:spacing w:after="120" w:line="300"/>
        <w:jc w:val="both"/>
      </w:pPr>
      <w:r>
        <w:rPr>
          <w:rFonts w:ascii="Calibri" w:cs="Calibri" w:eastAsia="Calibri" w:hAnsi="Calibri"/>
          <w:sz w:val="22"/>
          <w:szCs w:val="22"/>
        </w:rPr>
        <w:t xml:space="preserve">True_jaccard has a Cohen's d of +1.58 for correct-versus-wrong classification, which is the largest effect size of any metric in the dataset. It is reference-dependent (requires the design-model interface) but already computed in the pipeline. It is also essentially uncorrelated with confidence metrics (both Spearman &lt; 0.1 with ipSAE across the full dataset), so it provides orthogonal signal. Its functional analogue in the DockQ framework is fnat — the most directly interpretable component of the CAPRI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Concession: ra_eff ↔ true_jaccard correlation is structural, not free evidence</w:t>
            </w:r>
          </w:p>
          <w:p>
            <w:pPr>
              <w:spacing w:after="80" w:line="280"/>
              <w:jc w:val="both"/>
            </w:pPr>
            <w:r>
              <w:rPr>
                <w:rFonts w:ascii="Calibri" w:cs="Calibri" w:eastAsia="Calibri" w:hAnsi="Calibri"/>
                <w:b/>
                <w:bCs/>
                <w:color w:val="4A2E00"/>
                <w:sz w:val="20"/>
                <w:szCs w:val="20"/>
              </w:rPr>
              <w:t xml:space="preserve">The reviewer is correct that the −0.68 Spearman between ra_eff and true_jaccard is not a validation of either metric — it is an identity. </w:t>
            </w:r>
            <w:r>
              <w:rPr>
                <w:rFonts w:ascii="Calibri" w:cs="Calibri" w:eastAsia="Calibri" w:hAnsi="Calibri"/>
                <w:color w:val="4A2E00"/>
                <w:sz w:val="20"/>
                <w:szCs w:val="20"/>
              </w:rPr>
              <w:t xml:space="preserve">At ra_eff = 0 (perfect structural match) true_jaccard = 1 by definition, because the "true interface" is derived from the design-model reference structure. The Jaccard between the predicted contact set and a reference contact set derived from a structure the prediction is also being RMSD'd against is necessarily correlated with that RMSD.</w:t>
            </w:r>
          </w:p>
          <w:p>
            <w:pPr>
              <w:spacing w:after="80" w:line="280"/>
              <w:jc w:val="both"/>
            </w:pPr>
            <w:r>
              <w:rPr>
                <w:rFonts w:ascii="Calibri" w:cs="Calibri" w:eastAsia="Calibri" w:hAnsi="Calibri"/>
                <w:b/>
                <w:bCs/>
                <w:color w:val="4A2E00"/>
                <w:sz w:val="20"/>
                <w:szCs w:val="20"/>
              </w:rPr>
              <w:t xml:space="preserve">What this concession changes: </w:t>
            </w:r>
            <w:r>
              <w:rPr>
                <w:rFonts w:ascii="Calibri" w:cs="Calibri" w:eastAsia="Calibri" w:hAnsi="Calibri"/>
                <w:color w:val="4A2E00"/>
                <w:sz w:val="20"/>
                <w:szCs w:val="20"/>
              </w:rPr>
              <w:t xml:space="preserve">the Spearman −0.68 line at the top of §2.5 should not be cited as evidence that true_jaccard tracks real structural correctness — it tracks ra_eff because of how it's computed. The Cohen's d = +1.58 for correct-vs-wrong classification is still meaningful (it measures how well true_jaccard separates the two classes), but that is a category-discrimination claim, not an independent structural-validity claim.</w:t>
            </w:r>
          </w:p>
          <w:p>
            <w:pPr>
              <w:spacing w:after="80" w:line="280"/>
              <w:jc w:val="both"/>
            </w:pPr>
            <w:r>
              <w:rPr>
                <w:rFonts w:ascii="Calibri" w:cs="Calibri" w:eastAsia="Calibri" w:hAnsi="Calibri"/>
                <w:b/>
                <w:bCs/>
                <w:color w:val="4A2E00"/>
                <w:sz w:val="20"/>
                <w:szCs w:val="20"/>
              </w:rPr>
              <w:t xml:space="preserve">What this does not change: </w:t>
            </w:r>
            <w:r>
              <w:rPr>
                <w:rFonts w:ascii="Calibri" w:cs="Calibri" w:eastAsia="Calibri" w:hAnsi="Calibri"/>
                <w:color w:val="4A2E00"/>
                <w:sz w:val="20"/>
                <w:szCs w:val="20"/>
              </w:rPr>
              <w:t xml:space="preserve">true_jaccard is still a useful metric for the ranker. It is </w:t>
            </w:r>
            <w:r>
              <w:rPr>
                <w:rFonts w:ascii="Calibri" w:cs="Calibri" w:eastAsia="Calibri" w:hAnsi="Calibri"/>
                <w:i/>
                <w:iCs/>
                <w:color w:val="4A2E00"/>
                <w:sz w:val="20"/>
                <w:szCs w:val="20"/>
              </w:rPr>
              <w:t xml:space="preserve">fnat-equivalent </w:t>
            </w:r>
            <w:r>
              <w:rPr>
                <w:rFonts w:ascii="Calibri" w:cs="Calibri" w:eastAsia="Calibri" w:hAnsi="Calibri"/>
                <w:color w:val="4A2E00"/>
                <w:sz w:val="20"/>
                <w:szCs w:val="20"/>
              </w:rPr>
              <w:t xml:space="preserve">— the fraction of designed interface residues preserved in the prediction. That is a meaningful structural summary in its own right, regardless of its correlation with ra_eff. Keeping it in the ranker is fine; overselling the −0.68 as independent evidence is not.</w:t>
            </w:r>
          </w:p>
          <w:p>
            <w:pPr>
              <w:spacing w:after="80" w:line="280"/>
              <w:jc w:val="both"/>
            </w:pPr>
            <w:r>
              <w:rPr>
                <w:rFonts w:ascii="Calibri" w:cs="Calibri" w:eastAsia="Calibri" w:hAnsi="Calibri"/>
                <w:b/>
                <w:bCs/>
                <w:color w:val="4A2E00"/>
                <w:sz w:val="20"/>
                <w:szCs w:val="20"/>
              </w:rPr>
              <w:t xml:space="preserve">Revised composite (see §9 revised): </w:t>
            </w:r>
            <w:r>
              <w:rPr>
                <w:rFonts w:ascii="Calibri" w:cs="Calibri" w:eastAsia="Calibri" w:hAnsi="Calibri"/>
                <w:color w:val="4A2E00"/>
                <w:sz w:val="20"/>
                <w:szCs w:val="20"/>
              </w:rPr>
              <w:t xml:space="preserve">true_jaccard becomes the </w:t>
            </w:r>
            <w:r>
              <w:rPr>
                <w:rFonts w:ascii="Calibri" w:cs="Calibri" w:eastAsia="Calibri" w:hAnsi="Calibri"/>
                <w:i/>
                <w:iCs/>
                <w:color w:val="4A2E00"/>
                <w:sz w:val="20"/>
                <w:szCs w:val="20"/>
              </w:rPr>
              <w:t xml:space="preserve">primary </w:t>
            </w:r>
            <w:r>
              <w:rPr>
                <w:rFonts w:ascii="Calibri" w:cs="Calibri" w:eastAsia="Calibri" w:hAnsi="Calibri"/>
                <w:color w:val="4A2E00"/>
                <w:sz w:val="20"/>
                <w:szCs w:val="20"/>
              </w:rPr>
              <w:t xml:space="preserve">structural term, with ra_eff as a small weight guard against the 30 Å wrong-interface outliers and nothing else. The old composite (true_jaccard − wrong_jaccard − 0.1 · ra_eff) is replaced by true_jaccard − 0.05 · ra_eff.</w:t>
            </w:r>
          </w:p>
        </w:tc>
      </w:tr>
    </w:tbl>
    <w:p>
      <w:pPr>
        <w:pStyle w:val="Heading2"/>
        <w:spacing w:after="140" w:before="280"/>
      </w:pPr>
      <w:r>
        <w:rPr>
          <w:rFonts w:ascii="Calibri" w:cs="Calibri" w:eastAsia="Calibri" w:hAnsi="Calibri"/>
          <w:b/>
          <w:bCs/>
          <w:color w:val="1F3864"/>
          <w:sz w:val="26"/>
          <w:szCs w:val="26"/>
        </w:rPr>
        <w:t xml:space="preserve">2.6 Contamination</w:t>
      </w:r>
    </w:p>
    <w:p>
      <w:pPr>
        <w:spacing w:after="120" w:line="300"/>
        <w:jc w:val="both"/>
      </w:pPr>
      <w:r>
        <w:rPr>
          <w:rFonts w:ascii="Calibri" w:cs="Calibri" w:eastAsia="Calibri" w:hAnsi="Calibri"/>
          <w:sz w:val="22"/>
          <w:szCs w:val="22"/>
        </w:rPr>
        <w:t xml:space="preserve">In the v4 run, 48 of 48 correct-interface predictions (100%) were routed to reversion because at least one steering mutation contacted the effector in the predicted complex. After reversion: 39 pose_collapses (the reverted sequence no longer finds the correct interface), 7 new_contamination (the reverted sequence introduced new mutation-contact overlap), 2 pose_holds (clean rescue survives reversion). Contamination is the dominant filter loss in the pipeline, not confidence-metric failure. The 2 pose_holds both retain a single D32K mutation post-reversion, and D32K alone is sufficient to redirect the effector in roughly 10% of predictions per notes 8.</w:t>
      </w:r>
    </w:p>
    <w:p>
      <w:pPr>
        <w:spacing w:after="120" w:line="300"/>
        <w:jc w:val="both"/>
      </w:pPr>
      <w:r>
        <w:rPr>
          <w:rFonts w:ascii="Calibri" w:cs="Calibri" w:eastAsia="Calibri" w:hAnsi="Calibri"/>
          <w:sz w:val="22"/>
          <w:szCs w:val="22"/>
        </w:rPr>
        <w:t xml:space="preserve">This is a design-region problem, not a metric problem — addressing it requires expanding the protected set, better candidate-pool selection, or reducing max-mutations. It is nonetheless worth flagging here because the 96% contamination rate in v3 and 100% rate in v4 mean that the number of clean survivors per run is currently single digits, which both limits the statistical power available to validate metrics against and raises the cost of experimental triage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Contamination fix: expanding the protected set is the right direction</w:t>
            </w:r>
          </w:p>
          <w:p>
            <w:pPr>
              <w:spacing w:after="80" w:line="280"/>
              <w:jc w:val="both"/>
            </w:pPr>
            <w:r>
              <w:rPr>
                <w:rFonts w:ascii="Calibri" w:cs="Calibri" w:eastAsia="Calibri" w:hAnsi="Calibri"/>
                <w:color w:val="4A2E00"/>
                <w:sz w:val="20"/>
                <w:szCs w:val="20"/>
              </w:rPr>
              <w:t xml:space="preserve">The reviewer has independently converged on the same diagnosis and is moving forward with a specific fix: </w:t>
            </w:r>
            <w:r>
              <w:rPr>
                <w:rFonts w:ascii="Calibri" w:cs="Calibri" w:eastAsia="Calibri" w:hAnsi="Calibri"/>
                <w:b/>
                <w:bCs/>
                <w:color w:val="4A2E00"/>
                <w:sz w:val="20"/>
                <w:szCs w:val="20"/>
              </w:rPr>
              <w:t xml:space="preserve">increase the Cα–Cα distance threshold used to define the protected residue set, which will expand the second-shell "don't mutate here" ring around the true interface. </w:t>
            </w:r>
            <w:r>
              <w:rPr>
                <w:rFonts w:ascii="Calibri" w:cs="Calibri" w:eastAsia="Calibri" w:hAnsi="Calibri"/>
                <w:color w:val="4A2E00"/>
                <w:sz w:val="20"/>
                <w:szCs w:val="20"/>
              </w:rPr>
              <w:t xml:space="preserve">This pushes the candidate pool further from the true site and frees up more residues at the wrong-interface face for productive steering.</w:t>
            </w:r>
          </w:p>
          <w:p>
            <w:pPr>
              <w:spacing w:after="80" w:line="280"/>
              <w:jc w:val="both"/>
            </w:pPr>
            <w:r>
              <w:rPr>
                <w:rFonts w:ascii="Calibri" w:cs="Calibri" w:eastAsia="Calibri" w:hAnsi="Calibri"/>
                <w:b/>
                <w:bCs/>
                <w:color w:val="4A2E00"/>
                <w:sz w:val="20"/>
                <w:szCs w:val="20"/>
              </w:rPr>
              <w:t xml:space="preserve">Implementation note: </w:t>
            </w:r>
            <w:r>
              <w:rPr>
                <w:rFonts w:ascii="Calibri" w:cs="Calibri" w:eastAsia="Calibri" w:hAnsi="Calibri"/>
                <w:color w:val="4A2E00"/>
                <w:sz w:val="20"/>
                <w:szCs w:val="20"/>
              </w:rPr>
              <w:t>the protected-set logic is in find_contact_residues_heavy in boltz2_negative_steering.py. The current pipeline supports pre-computed true-interface-indices via --true-interface-indices-file, so expanding the protected set is an update to the derive_design_region.py output rather than a change to the Boltz stage itself.</w:t>
            </w:r>
          </w:p>
          <w:p>
            <w:pPr>
              <w:spacing w:after="80" w:line="280"/>
              <w:jc w:val="both"/>
            </w:pPr>
            <w:r>
              <w:rPr>
                <w:rFonts w:ascii="Calibri" w:cs="Calibri" w:eastAsia="Calibri" w:hAnsi="Calibri"/>
                <w:b/>
                <w:bCs/>
                <w:color w:val="4A2E00"/>
                <w:sz w:val="20"/>
                <w:szCs w:val="20"/>
              </w:rPr>
              <w:t xml:space="preserve">Prediction: </w:t>
            </w:r>
            <w:r>
              <w:rPr>
                <w:rFonts w:ascii="Calibri" w:cs="Calibri" w:eastAsia="Calibri" w:hAnsi="Calibri"/>
                <w:color w:val="4A2E00"/>
                <w:sz w:val="20"/>
                <w:szCs w:val="20"/>
              </w:rPr>
              <w:t xml:space="preserve">reducing contamination from ~100% to (say) 50% would roughly double the clean-survivor count per run, with no change to GPU budget. That is the highest-ROI pipeline change available and is prior to any metric-level work.</w:t>
            </w:r>
          </w:p>
        </w:tc>
      </w:tr>
    </w:tbl>
    <w:p>
      <w:pPr>
        <w:pStyle w:val="Heading1"/>
        <w:spacing w:after="160" w:before="360"/>
      </w:pPr>
      <w:r>
        <w:rPr>
          <w:rFonts w:ascii="Calibri" w:cs="Calibri" w:eastAsia="Calibri" w:hAnsi="Calibri"/>
          <w:b/>
          <w:bCs/>
          <w:color w:val="1F3864"/>
          <w:sz w:val="32"/>
          <w:szCs w:val="32"/>
        </w:rPr>
        <w:t xml:space="preserve">3. Is ipSAE useful as a relative rather than absolute ranker?</w:t>
      </w:r>
    </w:p>
    <w:p>
      <w:pPr>
        <w:spacing w:after="120" w:line="300"/>
        <w:jc w:val="both"/>
      </w:pPr>
      <w:r>
        <w:rPr>
          <w:rFonts w:ascii="Calibri" w:cs="Calibri" w:eastAsia="Calibri" w:hAnsi="Calibri"/>
          <w:sz w:val="22"/>
          <w:szCs w:val="22"/>
        </w:rPr>
        <w:t xml:space="preserve">The question is whether, even if absolute ipSAE values are miscalibrated, the within-sequence ordering of ipSAE across seeds or the within-cycle ordering across designs is informative. This is a well-posed question with several distinct cases worth separating.</w:t>
      </w:r>
    </w:p>
    <w:p>
      <w:pPr>
        <w:pStyle w:val="Heading2"/>
        <w:spacing w:after="140" w:before="280"/>
      </w:pPr>
      <w:r>
        <w:rPr>
          <w:rFonts w:ascii="Calibri" w:cs="Calibri" w:eastAsia="Calibri" w:hAnsi="Calibri"/>
          <w:b/>
          <w:bCs/>
          <w:color w:val="1F3864"/>
          <w:sz w:val="26"/>
          <w:szCs w:val="26"/>
        </w:rPr>
        <w:t xml:space="preserve">3.1 Relative ranking across seeds of one sequence</w:t>
      </w:r>
    </w:p>
    <w:p>
      <w:pPr>
        <w:spacing w:after="120" w:line="300"/>
        <w:jc w:val="both"/>
      </w:pPr>
      <w:r>
        <w:rPr>
          <w:rFonts w:ascii="Calibri" w:cs="Calibri" w:eastAsia="Calibri" w:hAnsi="Calibri"/>
          <w:sz w:val="22"/>
          <w:szCs w:val="22"/>
        </w:rPr>
        <w:t xml:space="preserve">The 10-seed design_24 data is the direct test. Spearman between ipSAE rank and ra_eff rank across the 10 seeds is +0.42 — the wrong sign with modest magnitude. Rank-correlation tests the question directly: if one chose the "best" design_24 prediction by ipSAE, would one pick the seed with the lowest ra_eff? The data says no. The seed-1 prediction (ra_eff 1.88 Å, ipSAE 0.835) is the best on both metrics, but the next-best by ipSAE is seed 2 (ipSAE 0.846, ra_eff 3.34 Å, one of the worst structural fits), and the second-best by ra_eff is seed 0 (ra_eff 2.06 Å, ipSAE 0.679, the lowest in the sample). The between-seed ordering is a weak signal at best and a misleading signal at worst for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The question was posed wrong in the first draft</w:t>
            </w:r>
          </w:p>
          <w:p>
            <w:pPr>
              <w:spacing w:after="80" w:line="280"/>
              <w:jc w:val="both"/>
            </w:pPr>
            <w:r>
              <w:rPr>
                <w:rFonts w:ascii="Calibri" w:cs="Calibri" w:eastAsia="Calibri" w:hAnsi="Calibri"/>
                <w:b/>
                <w:bCs/>
                <w:color w:val="4A2E00"/>
                <w:sz w:val="20"/>
                <w:szCs w:val="20"/>
              </w:rPr>
              <w:t xml:space="preserve">The reviewer is right. </w:t>
            </w:r>
            <w:r>
              <w:rPr>
                <w:rFonts w:ascii="Calibri" w:cs="Calibri" w:eastAsia="Calibri" w:hAnsi="Calibri"/>
                <w:color w:val="4A2E00"/>
                <w:sz w:val="20"/>
                <w:szCs w:val="20"/>
              </w:rPr>
              <w:t xml:space="preserve">The right question is not "does ipSAE pick the lowest-ra_eff seed" but "does ipSAE pick a seed that has a correct interface with ra_eff in the acceptable range (under ~3–5 Å)". On that recast question the answer from the 10-seed data is </w:t>
            </w:r>
            <w:r>
              <w:rPr>
                <w:rFonts w:ascii="Calibri" w:cs="Calibri" w:eastAsia="Calibri" w:hAnsi="Calibri"/>
                <w:i/>
                <w:iCs/>
                <w:color w:val="4A2E00"/>
                <w:sz w:val="20"/>
                <w:szCs w:val="20"/>
              </w:rPr>
              <w:t xml:space="preserve">yes, trivially — all 10 seeds of design_24 are in the correct-interface regime. </w:t>
            </w:r>
            <w:r>
              <w:rPr>
                <w:rFonts w:ascii="Calibri" w:cs="Calibri" w:eastAsia="Calibri" w:hAnsi="Calibri"/>
                <w:color w:val="4A2E00"/>
                <w:sz w:val="20"/>
                <w:szCs w:val="20"/>
              </w:rPr>
              <w:t xml:space="preserve">ipSAE would pick any of them and get an acceptable answer.</w:t>
            </w:r>
          </w:p>
          <w:p>
            <w:pPr>
              <w:spacing w:after="80" w:line="280"/>
              <w:jc w:val="both"/>
            </w:pPr>
            <w:r>
              <w:rPr>
                <w:rFonts w:ascii="Calibri" w:cs="Calibri" w:eastAsia="Calibri" w:hAnsi="Calibri"/>
                <w:b/>
                <w:bCs/>
                <w:color w:val="4A2E00"/>
                <w:sz w:val="20"/>
                <w:szCs w:val="20"/>
              </w:rPr>
              <w:t xml:space="preserve">What this means for the production pipeline: </w:t>
            </w:r>
            <w:r>
              <w:rPr>
                <w:rFonts w:ascii="Calibri" w:cs="Calibri" w:eastAsia="Calibri" w:hAnsi="Calibri"/>
                <w:color w:val="4A2E00"/>
                <w:sz w:val="20"/>
                <w:szCs w:val="20"/>
              </w:rPr>
              <w:t xml:space="preserve">since seeds within a sequence are category-stable (§2.2: 30/30 groups all-correct or all-wrong, zero splits), and the category-correct case is always acceptable quality, between-seed ranking is moot for production. Each sequence produces </w:t>
            </w:r>
            <w:r>
              <w:rPr>
                <w:rFonts w:ascii="Calibri" w:cs="Calibri" w:eastAsia="Calibri" w:hAnsi="Calibri"/>
                <w:i/>
                <w:iCs/>
                <w:color w:val="4A2E00"/>
                <w:sz w:val="20"/>
                <w:szCs w:val="20"/>
              </w:rPr>
              <w:t xml:space="preserve">one </w:t>
            </w:r>
            <w:r>
              <w:rPr>
                <w:rFonts w:ascii="Calibri" w:cs="Calibri" w:eastAsia="Calibri" w:hAnsi="Calibri"/>
                <w:color w:val="4A2E00"/>
                <w:sz w:val="20"/>
                <w:szCs w:val="20"/>
              </w:rPr>
              <w:t xml:space="preserve">prediction; there is no between-seed choice to make.</w:t>
            </w:r>
          </w:p>
          <w:p>
            <w:pPr>
              <w:spacing w:after="80" w:line="280"/>
              <w:jc w:val="both"/>
            </w:pPr>
            <w:r>
              <w:rPr>
                <w:rFonts w:ascii="Calibri" w:cs="Calibri" w:eastAsia="Calibri" w:hAnsi="Calibri"/>
                <w:b/>
                <w:bCs/>
                <w:color w:val="4A2E00"/>
                <w:sz w:val="20"/>
                <w:szCs w:val="20"/>
              </w:rPr>
              <w:t xml:space="preserve">§3.1 is therefore largely a curiosity section, </w:t>
            </w:r>
            <w:r>
              <w:rPr>
                <w:rFonts w:ascii="Calibri" w:cs="Calibri" w:eastAsia="Calibri" w:hAnsi="Calibri"/>
                <w:color w:val="4A2E00"/>
                <w:sz w:val="20"/>
                <w:szCs w:val="20"/>
              </w:rPr>
              <w:t xml:space="preserve">not a production-relevant argument. The production-relevant question is §3.2 below.</w:t>
            </w:r>
          </w:p>
        </w:tc>
      </w:tr>
    </w:tbl>
    <w:p>
      <w:pPr>
        <w:pStyle w:val="Heading2"/>
        <w:spacing w:after="140" w:before="280"/>
      </w:pPr>
      <w:r>
        <w:rPr>
          <w:rFonts w:ascii="Calibri" w:cs="Calibri" w:eastAsia="Calibri" w:hAnsi="Calibri"/>
          <w:b/>
          <w:bCs/>
          <w:color w:val="1F3864"/>
          <w:sz w:val="26"/>
          <w:szCs w:val="26"/>
        </w:rPr>
        <w:t xml:space="preserve">3.2 Relative ranking across sequences of one cycle</w:t>
      </w:r>
    </w:p>
    <w:p>
      <w:pPr>
        <w:spacing w:after="120" w:line="300"/>
        <w:jc w:val="both"/>
      </w:pPr>
      <w:r>
        <w:rPr>
          <w:rFonts w:ascii="Calibri" w:cs="Calibri" w:eastAsia="Calibri" w:hAnsi="Calibri"/>
          <w:sz w:val="22"/>
          <w:szCs w:val="22"/>
        </w:rPr>
        <w:t xml:space="preserve">The more interesting version of the question is whether within a cohort of designs that all ran through the same pipeline, the highest-ipSAE design is likely to be the highest-quality one. The v4 dataset is not a clean test of this because only 2 sequences have populated confidence metrics (the 2 pose_holds). What notes 8 does establish is that design_3 (in v3) had 7 sub-3 Å designs and 27 sub-5 Å designs with a range of ipSAE values — this cohort is large enough to do the test properly once the pipeline computes confidence metrics for the full cohort (see §7 below for the specific computational experiment). Conceptually, however, the Overath et al. 2025 finding is relevant: per-target precision for ipSAE ranges from 0.1 to 1.0 across their 15 targets. Within-target ranking accuracy is therefore target-specific and cannot be assumed from their aggregate statistics. For the NLR-HMA system specifically, no published evidence justifies relying on within-cycle ipSAE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Of course there's no published evidence on NLR-HMAs</w:t>
            </w:r>
          </w:p>
          <w:p>
            <w:pPr>
              <w:spacing w:after="80" w:line="280"/>
              <w:jc w:val="both"/>
            </w:pPr>
            <w:r>
              <w:rPr>
                <w:rFonts w:ascii="Calibri" w:cs="Calibri" w:eastAsia="Calibri" w:hAnsi="Calibri"/>
                <w:color w:val="4A2E00"/>
                <w:sz w:val="20"/>
                <w:szCs w:val="20"/>
              </w:rPr>
              <w:t xml:space="preserve">The reviewer notes, fairly, that there is essentially no published work on NLR-HMA binder design — that is precisely the research gap this project exists to fill. The paragraph above should not read as criticism. Rephrased: </w:t>
            </w:r>
            <w:r>
              <w:rPr>
                <w:rFonts w:ascii="Calibri" w:cs="Calibri" w:eastAsia="Calibri" w:hAnsi="Calibri"/>
                <w:b/>
                <w:bCs/>
                <w:color w:val="4A2E00"/>
                <w:sz w:val="20"/>
                <w:szCs w:val="20"/>
              </w:rPr>
              <w:t xml:space="preserve">the Overath et al. and Dunbrack benchmarks are the best available reference and they do not cover this system, so any metric behaviour on this system is novel evidence in its own right. </w:t>
            </w:r>
            <w:r>
              <w:rPr>
                <w:rFonts w:ascii="Calibri" w:cs="Calibri" w:eastAsia="Calibri" w:hAnsi="Calibri"/>
                <w:color w:val="4A2E00"/>
                <w:sz w:val="20"/>
                <w:szCs w:val="20"/>
              </w:rPr>
              <w:t xml:space="preserve">The production pipeline's output </w:t>
            </w:r>
            <w:r>
              <w:rPr>
                <w:rFonts w:ascii="Calibri" w:cs="Calibri" w:eastAsia="Calibri" w:hAnsi="Calibri"/>
                <w:i/>
                <w:iCs/>
                <w:color w:val="4A2E00"/>
                <w:sz w:val="20"/>
                <w:szCs w:val="20"/>
              </w:rPr>
              <w:t xml:space="preserve">is </w:t>
            </w:r>
            <w:r>
              <w:rPr>
                <w:rFonts w:ascii="Calibri" w:cs="Calibri" w:eastAsia="Calibri" w:hAnsi="Calibri"/>
                <w:color w:val="4A2E00"/>
                <w:sz w:val="20"/>
                <w:szCs w:val="20"/>
              </w:rPr>
              <w:t xml:space="preserve">the benchmark for NLR-HMAs going forward.</w:t>
            </w:r>
          </w:p>
          <w:p>
            <w:pPr>
              <w:spacing w:after="80" w:line="280"/>
              <w:jc w:val="both"/>
            </w:pPr>
            <w:r>
              <w:rPr>
                <w:rFonts w:ascii="Calibri" w:cs="Calibri" w:eastAsia="Calibri" w:hAnsi="Calibri"/>
                <w:color w:val="4A2E00"/>
                <w:sz w:val="20"/>
                <w:szCs w:val="20"/>
              </w:rPr>
              <w:t xml:space="preserve">The §7 computational experiment to populate confidence metrics across the full v4 cohort (zero additional Boltz calls, hours of wall-time) is the most important validation step on the roadmap. It converts §3.2 from "this needs more data" into a tractable ROC-curve-by-metric experiment on the existing dataset.</w:t>
            </w:r>
          </w:p>
        </w:tc>
      </w:tr>
    </w:tbl>
    <w:p>
      <w:pPr>
        <w:pStyle w:val="Heading2"/>
        <w:spacing w:after="140" w:before="280"/>
      </w:pPr>
      <w:r>
        <w:rPr>
          <w:rFonts w:ascii="Calibri" w:cs="Calibri" w:eastAsia="Calibri" w:hAnsi="Calibri"/>
          <w:b/>
          <w:bCs/>
          <w:color w:val="1F3864"/>
          <w:sz w:val="26"/>
          <w:szCs w:val="26"/>
        </w:rPr>
        <w:t xml:space="preserve">3.3 Relative ranking against a negative control (delta-to-cold-start)</w:t>
      </w:r>
    </w:p>
    <w:p>
      <w:pPr>
        <w:spacing w:after="120" w:line="300"/>
        <w:jc w:val="both"/>
      </w:pPr>
      <w:r>
        <w:rPr>
          <w:rFonts w:ascii="Calibri" w:cs="Calibri" w:eastAsia="Calibri" w:hAnsi="Calibri"/>
          <w:sz w:val="22"/>
          <w:szCs w:val="22"/>
        </w:rPr>
        <w:t xml:space="preserve">The most promising relative use of ipSAE is as a delta against the cold-start wild-type prediction. If the wild-type on the same receptor sequence is at ipSAE 0.787 and the steered design is at 0.522, the delta is −0.265 — which correctly flags that Boltz is less confident about the correct interface than the wrong one, i.e. the design has achieved correctness without getting native-like confidence. This is useful diagnostic information, though counter-intuitively it argues against promoting the design, not for it: the delta being negative is expected when the designed interface is novel.</w:t>
      </w:r>
    </w:p>
    <w:p>
      <w:pPr>
        <w:spacing w:after="120" w:line="300"/>
        <w:jc w:val="both"/>
      </w:pPr>
      <w:r>
        <w:rPr>
          <w:rFonts w:ascii="Calibri" w:cs="Calibri" w:eastAsia="Calibri" w:hAnsi="Calibri"/>
          <w:sz w:val="22"/>
          <w:szCs w:val="22"/>
        </w:rPr>
        <w:t xml:space="preserve">A better variant of this idea is to use the spread of ipSAE across seeds rather than the value itself. Notes 8 shows that WT ipSAE has SD 0.055 across 100 seeds with ds=5, and design_24 has SD 0.055 across 10 seeds. If a sequence produces wide between-seed variance (say SD &gt; 0.10), that indicates Boltz is uncertain about the interface across seeds, which may correlate with interface ambiguity. This is experimentally testable with the multi-seed data already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Negative delta is expected — not a red flag</w:t>
            </w:r>
          </w:p>
          <w:p>
            <w:pPr>
              <w:spacing w:after="80" w:line="280"/>
              <w:jc w:val="both"/>
            </w:pPr>
            <w:r>
              <w:rPr>
                <w:rFonts w:ascii="Calibri" w:cs="Calibri" w:eastAsia="Calibri" w:hAnsi="Calibri"/>
                <w:color w:val="4A2E00"/>
                <w:sz w:val="20"/>
                <w:szCs w:val="20"/>
              </w:rPr>
              <w:t xml:space="preserve">The reviewer's framing is clarifying: </w:t>
            </w:r>
            <w:r>
              <w:rPr>
                <w:rFonts w:ascii="Calibri" w:cs="Calibri" w:eastAsia="Calibri" w:hAnsi="Calibri"/>
                <w:b/>
                <w:bCs/>
                <w:color w:val="4A2E00"/>
                <w:sz w:val="20"/>
                <w:szCs w:val="20"/>
              </w:rPr>
              <w:t xml:space="preserve">Boltz is less confident about the designed interface precisely because it didn't find the designed interface on its cold start. </w:t>
            </w:r>
            <w:r>
              <w:rPr>
                <w:rFonts w:ascii="Calibri" w:cs="Calibri" w:eastAsia="Calibri" w:hAnsi="Calibri"/>
                <w:color w:val="4A2E00"/>
                <w:sz w:val="20"/>
                <w:szCs w:val="20"/>
              </w:rPr>
              <w:t xml:space="preserve">If it had, we would not need to run the steering pipeline at all. A negative delta is therefore the </w:t>
            </w:r>
            <w:r>
              <w:rPr>
                <w:rFonts w:ascii="Calibri" w:cs="Calibri" w:eastAsia="Calibri" w:hAnsi="Calibri"/>
                <w:i/>
                <w:iCs/>
                <w:color w:val="4A2E00"/>
                <w:sz w:val="20"/>
                <w:szCs w:val="20"/>
              </w:rPr>
              <w:t xml:space="preserve">expected </w:t>
            </w:r>
            <w:r>
              <w:rPr>
                <w:rFonts w:ascii="Calibri" w:cs="Calibri" w:eastAsia="Calibri" w:hAnsi="Calibri"/>
                <w:color w:val="4A2E00"/>
                <w:sz w:val="20"/>
                <w:szCs w:val="20"/>
              </w:rPr>
              <w:t xml:space="preserve">signature of a successful steering run — it confirms the pipeline did work — rather than a warning sign about the design.</w:t>
            </w:r>
          </w:p>
          <w:p>
            <w:pPr>
              <w:spacing w:after="80" w:line="280"/>
              <w:jc w:val="both"/>
            </w:pPr>
            <w:r>
              <w:rPr>
                <w:rFonts w:ascii="Calibri" w:cs="Calibri" w:eastAsia="Calibri" w:hAnsi="Calibri"/>
                <w:color w:val="4A2E00"/>
                <w:sz w:val="20"/>
                <w:szCs w:val="20"/>
              </w:rPr>
              <w:t xml:space="preserve">This reframing </w:t>
            </w:r>
            <w:r>
              <w:rPr>
                <w:rFonts w:ascii="Calibri" w:cs="Calibri" w:eastAsia="Calibri" w:hAnsi="Calibri"/>
                <w:i/>
                <w:iCs/>
                <w:color w:val="4A2E00"/>
                <w:sz w:val="20"/>
                <w:szCs w:val="20"/>
              </w:rPr>
              <w:t xml:space="preserve">strengthens </w:t>
            </w:r>
            <w:r>
              <w:rPr>
                <w:rFonts w:ascii="Calibri" w:cs="Calibri" w:eastAsia="Calibri" w:hAnsi="Calibri"/>
                <w:color w:val="4A2E00"/>
                <w:sz w:val="20"/>
                <w:szCs w:val="20"/>
              </w:rPr>
              <w:t xml:space="preserve">the case against ipSAE as a primary ranker, but also rehabilitates ipSAE-delta as a sanity-check diagnostic: a positive or near-zero delta on a sequence that the pipeline claims steered successfully would be suspicious (the "steering" would be a no-op relative to the cold start). The delta-to-cold-start diagnostic, reported but not ranked-on, is a fine column to keep in the output.</w:t>
            </w:r>
          </w:p>
        </w:tc>
      </w:tr>
    </w:tbl>
    <w:p>
      <w:pPr>
        <w:pStyle w:val="Heading2"/>
        <w:spacing w:after="140" w:before="280"/>
      </w:pPr>
      <w:r>
        <w:rPr>
          <w:rFonts w:ascii="Calibri" w:cs="Calibri" w:eastAsia="Calibri" w:hAnsi="Calibri"/>
          <w:b/>
          <w:bCs/>
          <w:color w:val="1F3864"/>
          <w:sz w:val="26"/>
          <w:szCs w:val="26"/>
        </w:rPr>
        <w:t xml:space="preserve">3.4 Recommendation on relative ipSAE</w:t>
      </w:r>
    </w:p>
    <w:p>
      <w:pPr>
        <w:spacing w:after="120" w:line="300"/>
        <w:jc w:val="both"/>
      </w:pPr>
      <w:r>
        <w:rPr>
          <w:rFonts w:ascii="Calibri" w:cs="Calibri" w:eastAsia="Calibri" w:hAnsi="Calibri"/>
          <w:sz w:val="22"/>
          <w:szCs w:val="22"/>
        </w:rPr>
        <w:t xml:space="preserve">Relative ipSAE is marginally useful as a diagnostic (delta against cold-start, between-seed spread) but is not a robust primary ranker even in relative mode. The within-seed rank test on design_24 gives Spearman +0.42 with the wrong sign — relative ordering points the wrong way. The cross-sequence version cannot be tested properly on the current data because confidence metrics are populated for only 2 rows. Until that experiment is run (see §7.2), using ipSAE as either an absolute or relative primary ranker carries risk.</w:t>
      </w:r>
    </w:p>
    <w:p>
      <w:pPr>
        <w:pStyle w:val="Heading1"/>
        <w:spacing w:after="160" w:before="360"/>
      </w:pPr>
      <w:r>
        <w:rPr>
          <w:rFonts w:ascii="Calibri" w:cs="Calibri" w:eastAsia="Calibri" w:hAnsi="Calibri"/>
          <w:b/>
          <w:bCs/>
          <w:color w:val="1F3864"/>
          <w:sz w:val="32"/>
          <w:szCs w:val="32"/>
        </w:rPr>
        <w:t xml:space="preserve">4. Boltz-2 seed variance — which prediction do I use?</w:t>
      </w:r>
    </w:p>
    <w:p>
      <w:pPr>
        <w:spacing w:after="120" w:line="300"/>
        <w:jc w:val="both"/>
      </w:pPr>
      <w:r>
        <w:rPr>
          <w:rFonts w:ascii="Calibri" w:cs="Calibri" w:eastAsia="Calibri" w:hAnsi="Calibri"/>
          <w:sz w:val="22"/>
          <w:szCs w:val="22"/>
        </w:rPr>
        <w:t xml:space="preserve">This is the right question to ask and notes 8 already resolves it for structural placement: interface category (correct vs wrong) is deterministic at the sequence level (30/30 groups show 3/3 or 0/3, no 2/1 or 1/2 splits), but the quality within an interface category has ≈0.5 Å SD of structural noise and 0.02–0.07 CV of confidence-metric noise. There is no single "correct" prediction to take — the right quantity is a summary statistic over multiple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Multi-seeding at the ranker stage is off the table for production</w:t>
            </w:r>
          </w:p>
          <w:p>
            <w:pPr>
              <w:spacing w:after="80" w:line="280"/>
              <w:jc w:val="both"/>
            </w:pPr>
            <w:r>
              <w:rPr>
                <w:rFonts w:ascii="Calibri" w:cs="Calibri" w:eastAsia="Calibri" w:hAnsi="Calibri"/>
                <w:color w:val="4A2E00"/>
                <w:sz w:val="20"/>
                <w:szCs w:val="20"/>
              </w:rPr>
              <w:t xml:space="preserve">This section's recommendation — predict every sequence with n ≥ 3 seeds and rank on medians — is retracted for the ranker stage. </w:t>
            </w:r>
            <w:r>
              <w:rPr>
                <w:rFonts w:ascii="Calibri" w:cs="Calibri" w:eastAsia="Calibri" w:hAnsi="Calibri"/>
                <w:b/>
                <w:bCs/>
                <w:color w:val="4A2E00"/>
                <w:sz w:val="20"/>
                <w:szCs w:val="20"/>
              </w:rPr>
              <w:t xml:space="preserve">At 100 sequences per experiment across multiple experiments, 3-seed ranking would triple the GPU spend. </w:t>
            </w:r>
            <w:r>
              <w:rPr>
                <w:rFonts w:ascii="Calibri" w:cs="Calibri" w:eastAsia="Calibri" w:hAnsi="Calibri"/>
                <w:color w:val="4A2E00"/>
                <w:sz w:val="20"/>
                <w:szCs w:val="20"/>
              </w:rPr>
              <w:t xml:space="preserve">Not affordable.</w:t>
            </w:r>
          </w:p>
          <w:p>
            <w:pPr>
              <w:spacing w:after="80" w:line="280"/>
              <w:jc w:val="both"/>
            </w:pPr>
            <w:r>
              <w:rPr>
                <w:rFonts w:ascii="Calibri" w:cs="Calibri" w:eastAsia="Calibri" w:hAnsi="Calibri"/>
                <w:b/>
                <w:bCs/>
                <w:color w:val="4A2E00"/>
                <w:sz w:val="20"/>
                <w:szCs w:val="20"/>
              </w:rPr>
              <w:t xml:space="preserve">Revised seed policy: </w:t>
            </w:r>
          </w:p>
          <w:p>
            <w:pPr>
              <w:pStyle w:val="ListParagraph"/>
              <w:numPr>
                <w:ilvl w:val="0"/>
                <w:numId w:val="2"/>
              </w:numPr>
              <w:spacing w:after="60" w:line="280"/>
              <w:jc w:val="left"/>
            </w:pPr>
            <w:r>
              <w:rPr>
                <w:rFonts w:ascii="Calibri" w:cs="Calibri" w:eastAsia="Calibri" w:hAnsi="Calibri"/>
                <w:b/>
                <w:bCs/>
                <w:color w:val="4A2E00"/>
                <w:sz w:val="20"/>
                <w:szCs w:val="20"/>
              </w:rPr>
              <w:t xml:space="preserve">Steering / ranking stage: </w:t>
            </w:r>
            <w:r>
              <w:rPr>
                <w:rFonts w:ascii="Calibri" w:cs="Calibri" w:eastAsia="Calibri" w:hAnsi="Calibri"/>
                <w:color w:val="4A2E00"/>
                <w:sz w:val="20"/>
                <w:szCs w:val="20"/>
              </w:rPr>
              <w:t xml:space="preserve">num_seeds = 1 per sequence. Boltz handles its internal sampling variance by diffusion_samples (currently 1, may be worth raising to 5 per notes 8 for fold quality at no additional GPU cost beyond that of ds=1 × 5 vs 5 × 1 — they are approximately equivalent).</w:t>
            </w:r>
          </w:p>
          <w:p>
            <w:pPr>
              <w:pStyle w:val="ListParagraph"/>
              <w:numPr>
                <w:ilvl w:val="0"/>
                <w:numId w:val="2"/>
              </w:numPr>
              <w:spacing w:after="60" w:line="280"/>
              <w:jc w:val="left"/>
            </w:pPr>
            <w:r>
              <w:rPr>
                <w:rFonts w:ascii="Calibri" w:cs="Calibri" w:eastAsia="Calibri" w:hAnsi="Calibri"/>
                <w:b/>
                <w:bCs/>
                <w:color w:val="4A2E00"/>
                <w:sz w:val="20"/>
                <w:szCs w:val="20"/>
              </w:rPr>
              <w:t xml:space="preserve">Post-ranker validation of the top ~10: </w:t>
            </w:r>
            <w:r>
              <w:rPr>
                <w:rFonts w:ascii="Calibri" w:cs="Calibri" w:eastAsia="Calibri" w:hAnsi="Calibri"/>
                <w:color w:val="4A2E00"/>
                <w:sz w:val="20"/>
                <w:szCs w:val="20"/>
              </w:rPr>
              <w:t xml:space="preserve">multi-seed re-prediction via submit_final_validation.sh with n = 10. This is the "option E" workflow that already exists. Seed offset 200000 avoids collision with the main pipeline.</w:t>
            </w:r>
          </w:p>
          <w:p>
            <w:pPr>
              <w:pStyle w:val="ListParagraph"/>
              <w:numPr>
                <w:ilvl w:val="0"/>
                <w:numId w:val="2"/>
              </w:numPr>
              <w:spacing w:after="60" w:line="280"/>
              <w:jc w:val="left"/>
            </w:pPr>
            <w:r>
              <w:rPr>
                <w:rFonts w:ascii="Calibri" w:cs="Calibri" w:eastAsia="Calibri" w:hAnsi="Calibri"/>
                <w:b/>
                <w:bCs/>
                <w:color w:val="4A2E00"/>
                <w:sz w:val="20"/>
                <w:szCs w:val="20"/>
              </w:rPr>
              <w:t xml:space="preserve">Seed reproducibility: </w:t>
            </w:r>
            <w:r>
              <w:rPr>
                <w:rFonts w:ascii="Calibri" w:cs="Calibri" w:eastAsia="Calibri" w:hAnsi="Calibri"/>
                <w:color w:val="4A2E00"/>
                <w:sz w:val="20"/>
                <w:szCs w:val="20"/>
              </w:rPr>
              <w:t xml:space="preserve">the reviewer asked whether v3 and v4 used the same random seeds. Confirmed from boltz2_negative_steering.py cmd_plan and boltz2_iterate_steering.py cmd_iterate_plan: boltz_seed = args.seed + design_idx + 1, with --seed 0 as the default. So every run starts from seed 0, and each design gets seed 1, 2, 3, …. This means v3 and v4 </w:t>
            </w:r>
            <w:r>
              <w:rPr>
                <w:rFonts w:ascii="Calibri" w:cs="Calibri" w:eastAsia="Calibri" w:hAnsi="Calibri"/>
                <w:i/>
                <w:iCs/>
                <w:color w:val="4A2E00"/>
                <w:sz w:val="20"/>
                <w:szCs w:val="20"/>
              </w:rPr>
              <w:t xml:space="preserve">did </w:t>
            </w:r>
            <w:r>
              <w:rPr>
                <w:rFonts w:ascii="Calibri" w:cs="Calibri" w:eastAsia="Calibri" w:hAnsi="Calibri"/>
                <w:color w:val="4A2E00"/>
                <w:sz w:val="20"/>
                <w:szCs w:val="20"/>
              </w:rPr>
              <w:t>start from the same base seed, but because the design-generation step itself is stochastic (random candidate-pool sampling), the mutated_seq that each design_idx gets is different between runs, and the two runs end up exploring different sequence space. Identical seeds, different sequences.</w:t>
            </w:r>
          </w:p>
        </w:tc>
      </w:tr>
    </w:tbl>
    <w:p>
      <w:pPr>
        <w:pStyle w:val="Heading2"/>
        <w:spacing w:after="140" w:before="280"/>
      </w:pPr>
      <w:r>
        <w:rPr>
          <w:rFonts w:ascii="Calibri" w:cs="Calibri" w:eastAsia="Calibri" w:hAnsi="Calibri"/>
          <w:b/>
          <w:bCs/>
          <w:color w:val="1F3864"/>
          <w:sz w:val="26"/>
          <w:szCs w:val="26"/>
        </w:rPr>
        <w:t xml:space="preserve">4.1 The correct answer: report medians, not single-seed values</w:t>
      </w:r>
    </w:p>
    <w:p>
      <w:pPr>
        <w:spacing w:after="120" w:line="300"/>
        <w:jc w:val="both"/>
      </w:pPr>
      <w:r>
        <w:rPr>
          <w:rFonts w:ascii="Calibri" w:cs="Calibri" w:eastAsia="Calibri" w:hAnsi="Calibri"/>
          <w:sz w:val="22"/>
          <w:szCs w:val="22"/>
        </w:rPr>
        <w:t xml:space="preserve">The canonical fix is to predict every sequence with n ≥ 3 independent Boltz seeds, preferably with diffusion_samples=5 (which notes 8 showed reduces effector-deformation rate from 37% to 3%), and report the median of each metric with its inter-quartile range. This is directly analogous to the AlphaFold ensemble competition workflow in Vosbein et al. (2024, ACS Chem. Biol. 19:2198) which generated 100 models per competition and ranked by consensus bound-state frequency, and to the Chang &amp; Perez (2023, JCTC) AlphaFold competitive-binding assay which uses ensembles of 25+ models per sequence. The Boltz-2/AF3/Chai-1 nanobody-antigen benchmark (cited in §1.2) makes the same recommendation explicit: "computational resources are better allocated across independent seeds and explicit negative controls" than over deeper sampling of a single seed.</w:t>
      </w:r>
    </w:p>
    <w:p>
      <w:pPr>
        <w:spacing w:after="120" w:line="300"/>
        <w:jc w:val="both"/>
      </w:pPr>
      <w:r>
        <w:rPr>
          <w:rFonts w:ascii="Calibri" w:cs="Calibri" w:eastAsia="Calibri" w:hAnsi="Calibri"/>
          <w:sz w:val="22"/>
          <w:szCs w:val="22"/>
        </w:rPr>
        <w:t xml:space="preserve">For the negative-steering pipeline, this means num_seeds ≥ 3 should be required (not optional) for any design promoted to wet-lab triage. The design_24 10-seed validation is the gold standard and should be treated as the template: a single-seed prediction is acceptable for exploration but not for triage.</w:t>
      </w:r>
    </w:p>
    <w:p>
      <w:pPr>
        <w:pStyle w:val="Heading2"/>
        <w:spacing w:after="140" w:before="280"/>
      </w:pPr>
      <w:r>
        <w:rPr>
          <w:rFonts w:ascii="Calibri" w:cs="Calibri" w:eastAsia="Calibri" w:hAnsi="Calibri"/>
          <w:b/>
          <w:bCs/>
          <w:color w:val="1F3864"/>
          <w:sz w:val="26"/>
          <w:szCs w:val="26"/>
        </w:rPr>
        <w:t xml:space="preserve">4.2 When the seeds disagree about pose quality — the median seed is the right estimate</w:t>
      </w:r>
    </w:p>
    <w:p>
      <w:pPr>
        <w:spacing w:after="120" w:line="300"/>
        <w:jc w:val="both"/>
      </w:pPr>
      <w:r>
        <w:rPr>
          <w:rFonts w:ascii="Calibri" w:cs="Calibri" w:eastAsia="Calibri" w:hAnsi="Calibri"/>
          <w:sz w:val="22"/>
          <w:szCs w:val="22"/>
        </w:rPr>
        <w:t xml:space="preserve">The concrete prescription is: rank by the median of the composite score across seeds, not by any single seed's value. If sequence X has ra_eff values (2.0, 2.5, 5.0) across three seeds, the median 2.5 is the correct point estimate, not the best-seed 2.0 (which would be cherry-picking) nor the worst-seed 5.0 (which would be over-penalising). Report the IQR alongside so that reviewers can see the spread. When promoting designs to wet-lab triage, require not only a good median but a tight IQR: if the structural IQR on ra_eff exceeds 2 Å, the prediction is unreliable regardless of the median.</w:t>
      </w:r>
    </w:p>
    <w:p>
      <w:pPr>
        <w:spacing w:after="120" w:line="300"/>
        <w:jc w:val="both"/>
      </w:pPr>
      <w:r>
        <w:rPr>
          <w:rFonts w:ascii="Calibri" w:cs="Calibri" w:eastAsia="Calibri" w:hAnsi="Calibri"/>
          <w:sz w:val="22"/>
          <w:szCs w:val="22"/>
        </w:rPr>
        <w:t xml:space="preserve">For per-seed ra_eff of e.g. (2.0, 2.5, 5.0), the IQR is 1.5 Å (borderline acceptable) and the sequence would be reported as "ra_eff 2.5 Å (IQR 2.0–5.0)" with a flag. Compare with design_24's actual 10-seed IQR of 2.09–3.07 Å (IQR 1.0 Å) for a cleaner case.</w:t>
      </w:r>
    </w:p>
    <w:p>
      <w:pPr>
        <w:pStyle w:val="Heading2"/>
        <w:spacing w:after="140" w:before="280"/>
      </w:pPr>
      <w:r>
        <w:rPr>
          <w:rFonts w:ascii="Calibri" w:cs="Calibri" w:eastAsia="Calibri" w:hAnsi="Calibri"/>
          <w:b/>
          <w:bCs/>
          <w:color w:val="1F3864"/>
          <w:sz w:val="26"/>
          <w:szCs w:val="26"/>
        </w:rPr>
        <w:t xml:space="preserve">4.3 Seed disagreement about interface category — the rare case</w:t>
      </w:r>
    </w:p>
    <w:p>
      <w:pPr>
        <w:spacing w:after="120" w:line="300"/>
        <w:jc w:val="both"/>
      </w:pPr>
      <w:r>
        <w:rPr>
          <w:rFonts w:ascii="Calibri" w:cs="Calibri" w:eastAsia="Calibri" w:hAnsi="Calibri"/>
          <w:sz w:val="22"/>
          <w:szCs w:val="22"/>
        </w:rPr>
        <w:t xml:space="preserve">In v4 no sequence group split 2:1 or 1:2 on interface category. If a group did split, that sequence is in a genuinely ambiguous regime and the right move is to escalate to a larger seed count (10+) and to use the fraction of correct-interface seeds as the primary ranker for that sequence, not the quality of the best seed. Ambiguity is information — a 7/10 correct-interface rate is a stronger promotion signal than a 1/3 correct-interface rate even if the best-seed ra_eff is the same.</w:t>
      </w:r>
    </w:p>
    <w:p>
      <w:pPr>
        <w:pStyle w:val="Heading2"/>
        <w:spacing w:after="140" w:before="280"/>
      </w:pPr>
      <w:r>
        <w:rPr>
          <w:rFonts w:ascii="Calibri" w:cs="Calibri" w:eastAsia="Calibri" w:hAnsi="Calibri"/>
          <w:b/>
          <w:bCs/>
          <w:color w:val="1F3864"/>
          <w:sz w:val="26"/>
          <w:szCs w:val="26"/>
        </w:rPr>
        <w:t xml:space="preserve">4.4 Concrete seed-policy recommendation</w:t>
      </w:r>
    </w:p>
    <w:p>
      <w:pPr>
        <w:pStyle w:val="ListParagraph"/>
        <w:numPr>
          <w:ilvl w:val="0"/>
          <w:numId w:val="3"/>
        </w:numPr>
        <w:spacing w:after="80" w:line="280"/>
      </w:pPr>
      <w:r>
        <w:rPr>
          <w:rFonts w:ascii="Calibri" w:cs="Calibri" w:eastAsia="Calibri" w:hAnsi="Calibri"/>
          <w:b/>
          <w:bCs/>
          <w:sz w:val="22"/>
          <w:szCs w:val="22"/>
        </w:rPr>
        <w:t xml:space="preserve">Exploration (cycle 0 design screen): </w:t>
      </w:r>
      <w:r>
        <w:rPr>
          <w:rFonts w:ascii="Calibri" w:cs="Calibri" w:eastAsia="Calibri" w:hAnsi="Calibri"/>
          <w:sz w:val="22"/>
          <w:szCs w:val="22"/>
        </w:rPr>
        <w:t xml:space="preserve">num_seeds=1 with diffusion_samples=5. Cheap and catches most hits per notes-8 v3 vs v4 comparison.</w:t>
      </w:r>
    </w:p>
    <w:p>
      <w:pPr>
        <w:pStyle w:val="ListParagraph"/>
        <w:numPr>
          <w:ilvl w:val="0"/>
          <w:numId w:val="3"/>
        </w:numPr>
        <w:spacing w:after="80" w:line="280"/>
      </w:pPr>
      <w:r>
        <w:rPr>
          <w:rFonts w:ascii="Calibri" w:cs="Calibri" w:eastAsia="Calibri" w:hAnsi="Calibri"/>
          <w:b/>
          <w:bCs/>
          <w:sz w:val="22"/>
          <w:szCs w:val="22"/>
        </w:rPr>
        <w:t xml:space="preserve">Validation (candidate for wet-lab triage): </w:t>
      </w:r>
      <w:r>
        <w:rPr>
          <w:rFonts w:ascii="Calibri" w:cs="Calibri" w:eastAsia="Calibri" w:hAnsi="Calibri"/>
          <w:sz w:val="22"/>
          <w:szCs w:val="22"/>
        </w:rPr>
        <w:t xml:space="preserve">num_seeds ≥ 10 with diffusion_samples=5. Compute median and IQR of every metric. Require median ra_eff &lt; 5 Å AND IQR &lt; 2 Å AND majority interface-correct (≥7/10).</w:t>
      </w:r>
    </w:p>
    <w:p>
      <w:pPr>
        <w:pStyle w:val="ListParagraph"/>
        <w:numPr>
          <w:ilvl w:val="0"/>
          <w:numId w:val="3"/>
        </w:numPr>
        <w:spacing w:after="80" w:line="280"/>
      </w:pPr>
      <w:r>
        <w:rPr>
          <w:rFonts w:ascii="Calibri" w:cs="Calibri" w:eastAsia="Calibri" w:hAnsi="Calibri"/>
          <w:b/>
          <w:bCs/>
          <w:sz w:val="22"/>
          <w:szCs w:val="22"/>
        </w:rPr>
        <w:t xml:space="preserve">Negative control: </w:t>
      </w:r>
      <w:r>
        <w:rPr>
          <w:rFonts w:ascii="Calibri" w:cs="Calibri" w:eastAsia="Calibri" w:hAnsi="Calibri"/>
          <w:sz w:val="22"/>
          <w:szCs w:val="22"/>
        </w:rPr>
        <w:t xml:space="preserve">always predict the cold-start wild-type with the same num_seeds and diffusion_samples. Report delta-metrics against this baseline to contextualise all confidence values.</w:t>
      </w:r>
    </w:p>
    <w:p>
      <w:pPr>
        <w:pStyle w:val="ListParagraph"/>
        <w:numPr>
          <w:ilvl w:val="0"/>
          <w:numId w:val="3"/>
        </w:numPr>
        <w:spacing w:after="80" w:line="280"/>
      </w:pPr>
      <w:r>
        <w:rPr>
          <w:rFonts w:ascii="Calibri" w:cs="Calibri" w:eastAsia="Calibri" w:hAnsi="Calibri"/>
          <w:b/>
          <w:bCs/>
          <w:sz w:val="22"/>
          <w:szCs w:val="22"/>
        </w:rPr>
        <w:t xml:space="preserve">For metric development: </w:t>
      </w:r>
      <w:r>
        <w:rPr>
          <w:rFonts w:ascii="Calibri" w:cs="Calibri" w:eastAsia="Calibri" w:hAnsi="Calibri"/>
          <w:sz w:val="22"/>
          <w:szCs w:val="22"/>
        </w:rPr>
        <w:t xml:space="preserve">do a targeted 10-seed run on 5–10 borderline designs to measure confidence CV outside the design_24 case and check whether the wrong-sign Spearman in §2.4 is a design_24-specific artefact or a system-wide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Final seed policy — reconciled</w:t>
            </w:r>
          </w:p>
          <w:p>
            <w:pPr>
              <w:pStyle w:val="ListParagraph"/>
              <w:numPr>
                <w:ilvl w:val="0"/>
                <w:numId w:val="2"/>
              </w:numPr>
              <w:spacing w:after="60" w:line="280"/>
              <w:jc w:val="left"/>
            </w:pPr>
            <w:r>
              <w:rPr>
                <w:rFonts w:ascii="Calibri" w:cs="Calibri" w:eastAsia="Calibri" w:hAnsi="Calibri"/>
                <w:b/>
                <w:bCs/>
                <w:color w:val="4A2E00"/>
                <w:sz w:val="20"/>
                <w:szCs w:val="20"/>
              </w:rPr>
              <w:t xml:space="preserve">Production ranker (100 sequences, 1 experiment): </w:t>
            </w:r>
            <w:r>
              <w:rPr>
                <w:rFonts w:ascii="Calibri" w:cs="Calibri" w:eastAsia="Calibri" w:hAnsi="Calibri"/>
                <w:color w:val="4A2E00"/>
                <w:sz w:val="20"/>
                <w:szCs w:val="20"/>
              </w:rPr>
              <w:t xml:space="preserve">num_seeds=1, diffusion_samples=5. Single representative prediction per sequence. Matches the review's deployment scenario.</w:t>
            </w:r>
          </w:p>
          <w:p>
            <w:pPr>
              <w:pStyle w:val="ListParagraph"/>
              <w:numPr>
                <w:ilvl w:val="0"/>
                <w:numId w:val="2"/>
              </w:numPr>
              <w:spacing w:after="60" w:line="280"/>
              <w:jc w:val="left"/>
            </w:pPr>
            <w:r>
              <w:rPr>
                <w:rFonts w:ascii="Calibri" w:cs="Calibri" w:eastAsia="Calibri" w:hAnsi="Calibri"/>
                <w:b/>
                <w:bCs/>
                <w:color w:val="4A2E00"/>
                <w:sz w:val="20"/>
                <w:szCs w:val="20"/>
              </w:rPr>
              <w:t xml:space="preserve">Post-ranker validation (top ~10 only): </w:t>
            </w:r>
            <w:r>
              <w:rPr>
                <w:rFonts w:ascii="Calibri" w:cs="Calibri" w:eastAsia="Calibri" w:hAnsi="Calibri"/>
                <w:color w:val="4A2E00"/>
                <w:sz w:val="20"/>
                <w:szCs w:val="20"/>
              </w:rPr>
              <w:t xml:space="preserve">num_seeds=10, diffusion_samples=5 via submit_final_validation.sh. Only for the shortlist, not the full cohort. Checks that top-10 picks reproduce.</w:t>
            </w:r>
          </w:p>
          <w:p>
            <w:pPr>
              <w:pStyle w:val="ListParagraph"/>
              <w:numPr>
                <w:ilvl w:val="0"/>
                <w:numId w:val="2"/>
              </w:numPr>
              <w:spacing w:after="60" w:line="280"/>
              <w:jc w:val="left"/>
            </w:pPr>
            <w:r>
              <w:rPr>
                <w:rFonts w:ascii="Calibri" w:cs="Calibri" w:eastAsia="Calibri" w:hAnsi="Calibri"/>
                <w:b/>
                <w:bCs/>
                <w:color w:val="4A2E00"/>
                <w:sz w:val="20"/>
                <w:szCs w:val="20"/>
              </w:rPr>
              <w:t xml:space="preserve">Cold-start negative control: </w:t>
            </w:r>
            <w:r>
              <w:rPr>
                <w:rFonts w:ascii="Calibri" w:cs="Calibri" w:eastAsia="Calibri" w:hAnsi="Calibri"/>
                <w:color w:val="4A2E00"/>
                <w:sz w:val="20"/>
                <w:szCs w:val="20"/>
              </w:rPr>
              <w:t xml:space="preserve">the pipeline already runs this (one WT prediction at the start of each experiment). Per §8.4 of the original memo, it should also include a scrambled-sequence prediction and ideally a poly-glycine-in-designed-region prediction as additional negative controls — all of which are low-marginal-cost additions.</w:t>
            </w:r>
          </w:p>
          <w:p>
            <w:pPr>
              <w:spacing w:after="80" w:line="280"/>
              <w:jc w:val="both"/>
            </w:pPr>
            <w:r>
              <w:rPr>
                <w:rFonts w:ascii="Calibri" w:cs="Calibri" w:eastAsia="Calibri" w:hAnsi="Calibri"/>
                <w:color w:val="4A2E00"/>
                <w:sz w:val="20"/>
                <w:szCs w:val="20"/>
              </w:rPr>
              <w:t xml:space="preserve">The original §4 text remains as reference for what a richer multi-seed protocol would look like if GPU budget allowed; the production policy above is what actually runs.</w:t>
            </w:r>
          </w:p>
        </w:tc>
      </w:tr>
    </w:tbl>
    <w:p>
      <w:pPr>
        <w:pStyle w:val="Heading1"/>
        <w:spacing w:after="160" w:before="360"/>
      </w:pPr>
      <w:r>
        <w:rPr>
          <w:rFonts w:ascii="Calibri" w:cs="Calibri" w:eastAsia="Calibri" w:hAnsi="Calibri"/>
          <w:b/>
          <w:bCs/>
          <w:color w:val="1F3864"/>
          <w:sz w:val="32"/>
          <w:szCs w:val="32"/>
        </w:rPr>
        <w:t xml:space="preserve">5. Random selection among near-tied RMSD designs</w:t>
      </w:r>
    </w:p>
    <w:p>
      <w:pPr>
        <w:spacing w:after="120" w:line="300"/>
        <w:jc w:val="both"/>
      </w:pPr>
      <w:r>
        <w:rPr>
          <w:rFonts w:ascii="Calibri" w:cs="Calibri" w:eastAsia="Calibri" w:hAnsi="Calibri"/>
          <w:sz w:val="22"/>
          <w:szCs w:val="22"/>
        </w:rPr>
        <w:t xml:space="preserve">This is a genuine concern. If the ranker is structural (ra_eff, true_jaccard, or a composite of both), and the Boltz-2 noise floor is ≈0.5 Å SD on ra_eff and ≈0.05 SD on true_jaccard, then designs within 1 SD of each other cannot be reliably ordered by structure alone — the selection among those becomes a coin toss weighted by seed-randomness. There are four mitigations, all of which should be applied together.</w:t>
      </w:r>
    </w:p>
    <w:p>
      <w:pPr>
        <w:pStyle w:val="Heading2"/>
        <w:spacing w:after="140" w:before="280"/>
      </w:pPr>
      <w:r>
        <w:rPr>
          <w:rFonts w:ascii="Calibri" w:cs="Calibri" w:eastAsia="Calibri" w:hAnsi="Calibri"/>
          <w:b/>
          <w:bCs/>
          <w:color w:val="1F3864"/>
          <w:sz w:val="26"/>
          <w:szCs w:val="26"/>
        </w:rPr>
        <w:t xml:space="preserve">5.1 Compute metrics as medians across multiple seeds</w:t>
      </w:r>
    </w:p>
    <w:p>
      <w:pPr>
        <w:spacing w:after="120" w:line="300"/>
        <w:jc w:val="both"/>
      </w:pPr>
      <w:r>
        <w:rPr>
          <w:rFonts w:ascii="Calibri" w:cs="Calibri" w:eastAsia="Calibri" w:hAnsi="Calibri"/>
          <w:sz w:val="22"/>
          <w:szCs w:val="22"/>
        </w:rPr>
        <w:t xml:space="preserve">A per-sequence median over n=3 seeds has SE = 0.5/√3 = 0.29 Å; over n=10 seeds has SE = 0.16 Å. Multi-seeding shrinks the tie-zone by √n. This is the single most effective mitigation and is already built into the pipeline via the --num-seeds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Not viable at production scale</w:t>
            </w:r>
          </w:p>
          <w:p>
            <w:pPr>
              <w:spacing w:after="80" w:line="280"/>
              <w:jc w:val="both"/>
            </w:pPr>
            <w:r>
              <w:rPr>
                <w:rFonts w:ascii="Calibri" w:cs="Calibri" w:eastAsia="Calibri" w:hAnsi="Calibri"/>
                <w:color w:val="4A2E00"/>
                <w:sz w:val="20"/>
                <w:szCs w:val="20"/>
              </w:rPr>
              <w:t xml:space="preserve">Retracted per §0 framing. At one seed per sequence, √n = 1 and this mitigation is unavailable. The remaining mitigations in §5.2–5.5 become load-bearing.</w:t>
            </w:r>
          </w:p>
        </w:tc>
      </w:tr>
    </w:tbl>
    <w:p>
      <w:pPr>
        <w:pStyle w:val="Heading2"/>
        <w:spacing w:after="140" w:before="280"/>
      </w:pPr>
      <w:r>
        <w:rPr>
          <w:rFonts w:ascii="Calibri" w:cs="Calibri" w:eastAsia="Calibri" w:hAnsi="Calibri"/>
          <w:b/>
          <w:bCs/>
          <w:color w:val="1F3864"/>
          <w:sz w:val="26"/>
          <w:szCs w:val="26"/>
        </w:rPr>
        <w:t xml:space="preserve">5.2 Break ties with orthogonal metrics, not noise</w:t>
      </w:r>
    </w:p>
    <w:p>
      <w:pPr>
        <w:spacing w:after="120" w:line="300"/>
        <w:jc w:val="both"/>
      </w:pPr>
      <w:r>
        <w:rPr>
          <w:rFonts w:ascii="Calibri" w:cs="Calibri" w:eastAsia="Calibri" w:hAnsi="Calibri"/>
          <w:sz w:val="22"/>
          <w:szCs w:val="22"/>
        </w:rPr>
        <w:t xml:space="preserve">Within a structural tie zone (e.g. median ra_eff within 0.3 Å and median true_jaccard within 0.05), break ties on metrics that are orthogonal to the structural one and have known calibration. Candidates in descending order of evidence:</w:t>
      </w:r>
    </w:p>
    <w:p>
      <w:pPr>
        <w:pStyle w:val="ListParagraph"/>
        <w:numPr>
          <w:ilvl w:val="0"/>
          <w:numId w:val="3"/>
        </w:numPr>
        <w:spacing w:after="80" w:line="280"/>
      </w:pPr>
      <w:r>
        <w:rPr>
          <w:rFonts w:ascii="Calibri" w:cs="Calibri" w:eastAsia="Calibri" w:hAnsi="Calibri"/>
          <w:b/>
          <w:bCs/>
          <w:sz w:val="22"/>
          <w:szCs w:val="22"/>
        </w:rPr>
        <w:t xml:space="preserve">Interface buried surface area (BSA) on the predicted complex. </w:t>
      </w:r>
      <w:r>
        <w:rPr>
          <w:rFonts w:ascii="Calibri" w:cs="Calibri" w:eastAsia="Calibri" w:hAnsi="Calibri"/>
          <w:sz w:val="22"/>
          <w:szCs w:val="22"/>
        </w:rPr>
        <w:t xml:space="preserve">Orthogonal to structural RMSD, correlated with experimental affinity per Overath et al. 2025. Compute via FreeSASA in a few seconds.</w:t>
      </w:r>
    </w:p>
    <w:p>
      <w:pPr>
        <w:pStyle w:val="ListParagraph"/>
        <w:numPr>
          <w:ilvl w:val="0"/>
          <w:numId w:val="3"/>
        </w:numPr>
        <w:spacing w:after="80" w:line="280"/>
      </w:pPr>
      <w:r>
        <w:rPr>
          <w:rFonts w:ascii="Calibri" w:cs="Calibri" w:eastAsia="Calibri" w:hAnsi="Calibri"/>
          <w:b/>
          <w:bCs/>
          <w:sz w:val="22"/>
          <w:szCs w:val="22"/>
        </w:rPr>
        <w:t xml:space="preserve">Interface shape complementarity (Sc, Lawrence &amp; Colman 1993). </w:t>
      </w:r>
      <w:r>
        <w:rPr>
          <w:rFonts w:ascii="Calibri" w:cs="Calibri" w:eastAsia="Calibri" w:hAnsi="Calibri"/>
          <w:sz w:val="22"/>
          <w:szCs w:val="22"/>
        </w:rPr>
        <w:t xml:space="preserve">0–1 score; &gt; 0.55 typical for good interfaces. Orthogonal to confidence and to RMSD.</w:t>
      </w:r>
    </w:p>
    <w:p>
      <w:pPr>
        <w:pStyle w:val="ListParagraph"/>
        <w:numPr>
          <w:ilvl w:val="0"/>
          <w:numId w:val="3"/>
        </w:numPr>
        <w:spacing w:after="80" w:line="280"/>
      </w:pPr>
      <w:r>
        <w:rPr>
          <w:rFonts w:ascii="Calibri" w:cs="Calibri" w:eastAsia="Calibri" w:hAnsi="Calibri"/>
          <w:b/>
          <w:bCs/>
          <w:sz w:val="22"/>
          <w:szCs w:val="22"/>
        </w:rPr>
        <w:t xml:space="preserve">Rosetta ΔΔG_binding on the predicted complex. </w:t>
      </w:r>
      <w:r>
        <w:rPr>
          <w:rFonts w:ascii="Calibri" w:cs="Calibri" w:eastAsia="Calibri" w:hAnsi="Calibri"/>
          <w:sz w:val="22"/>
          <w:szCs w:val="22"/>
        </w:rPr>
        <w:t xml:space="preserve">The Bennett / Cao / Vouros campaigns all use this; runs in ~30 s with InterfaceAnalyzerMover.</w:t>
      </w:r>
    </w:p>
    <w:p>
      <w:pPr>
        <w:pStyle w:val="ListParagraph"/>
        <w:numPr>
          <w:ilvl w:val="0"/>
          <w:numId w:val="3"/>
        </w:numPr>
        <w:spacing w:after="80" w:line="280"/>
      </w:pPr>
      <w:r>
        <w:rPr>
          <w:rFonts w:ascii="Calibri" w:cs="Calibri" w:eastAsia="Calibri" w:hAnsi="Calibri"/>
          <w:b/>
          <w:bCs/>
          <w:sz w:val="22"/>
          <w:szCs w:val="22"/>
        </w:rPr>
        <w:t xml:space="preserve">Interface-only pLDDT (not whole-complex pLDDT). </w:t>
      </w:r>
      <w:r>
        <w:rPr>
          <w:rFonts w:ascii="Calibri" w:cs="Calibri" w:eastAsia="Calibri" w:hAnsi="Calibri"/>
          <w:sz w:val="22"/>
          <w:szCs w:val="22"/>
        </w:rPr>
        <w:t xml:space="preserve">The mean per-residue pLDDT over the predicted interface residues specifically, which is more discriminative than complex_plddt because non-interface residues do not dilute the signal.</w:t>
      </w:r>
    </w:p>
    <w:p>
      <w:pPr>
        <w:pStyle w:val="ListParagraph"/>
        <w:numPr>
          <w:ilvl w:val="0"/>
          <w:numId w:val="3"/>
        </w:numPr>
        <w:spacing w:after="80" w:line="280"/>
      </w:pPr>
      <w:r>
        <w:rPr>
          <w:rFonts w:ascii="Calibri" w:cs="Calibri" w:eastAsia="Calibri" w:hAnsi="Calibri"/>
          <w:b/>
          <w:bCs/>
          <w:sz w:val="22"/>
          <w:szCs w:val="22"/>
        </w:rPr>
        <w:t xml:space="preserve">Mean inter-chain PAE restricted to designed-interface positions. </w:t>
      </w:r>
      <w:r>
        <w:rPr>
          <w:rFonts w:ascii="Calibri" w:cs="Calibri" w:eastAsia="Calibri" w:hAnsi="Calibri"/>
          <w:sz w:val="22"/>
          <w:szCs w:val="22"/>
        </w:rPr>
        <w:t xml:space="preserve">A targeted variant of steered_ipae; tests Boltz's confidence about the specific contacts the design was conditioned on.</w:t>
      </w:r>
    </w:p>
    <w:p>
      <w:pPr>
        <w:spacing w:after="120" w:line="300"/>
        <w:jc w:val="both"/>
      </w:pPr>
      <w:r>
        <w:rPr>
          <w:rFonts w:ascii="Calibri" w:cs="Calibri" w:eastAsia="Calibri" w:hAnsi="Calibri"/>
          <w:sz w:val="22"/>
          <w:szCs w:val="22"/>
        </w:rPr>
        <w:t xml:space="preserve">The strong pattern from the literature is that the metric that resolves ties best is the one that is most orthogonal to the primary ranker. Structural composite + BSA + Sc + Rosetta ΔΔG forms a four-axis scoring scheme where a design must be good on all four to rise to the top. A design that is structural-tie with another but has 2× the buried interface area or 10% better shape complementarity is a meaningfully better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Runtime estimates for the orthogonal metrics</w:t>
            </w:r>
          </w:p>
          <w:p>
            <w:pPr>
              <w:spacing w:after="80" w:line="280"/>
              <w:jc w:val="both"/>
            </w:pPr>
            <w:r>
              <w:rPr>
                <w:rFonts w:ascii="Calibri" w:cs="Calibri" w:eastAsia="Calibri" w:hAnsi="Calibri"/>
                <w:color w:val="4A2E00"/>
                <w:sz w:val="20"/>
                <w:szCs w:val="20"/>
              </w:rPr>
              <w:t xml:space="preserve">The reviewer asked for runtimes. These are per-complex on a standard CPU (one 8-core node), running on the predicted Boltz-2 output PDB:</w:t>
            </w:r>
          </w:p>
          <w:p>
            <w:pPr>
              <w:pStyle w:val="ListParagraph"/>
              <w:numPr>
                <w:ilvl w:val="0"/>
                <w:numId w:val="2"/>
              </w:numPr>
              <w:spacing w:after="60" w:line="280"/>
              <w:jc w:val="left"/>
            </w:pPr>
            <w:r>
              <w:rPr>
                <w:rFonts w:ascii="Calibri" w:cs="Calibri" w:eastAsia="Calibri" w:hAnsi="Calibri"/>
                <w:b/>
                <w:bCs/>
                <w:color w:val="4A2E00"/>
                <w:sz w:val="20"/>
                <w:szCs w:val="20"/>
              </w:rPr>
              <w:t xml:space="preserve">Interface BSA (FreeSASA, NACCESS): </w:t>
            </w:r>
            <w:r>
              <w:rPr>
                <w:rFonts w:ascii="Calibri" w:cs="Calibri" w:eastAsia="Calibri" w:hAnsi="Calibri"/>
                <w:color w:val="4A2E00"/>
                <w:sz w:val="20"/>
                <w:szCs w:val="20"/>
              </w:rPr>
              <w:t xml:space="preserve">1–5 seconds. Pure geometry on heavy atoms. Trivial.</w:t>
            </w:r>
          </w:p>
          <w:p>
            <w:pPr>
              <w:pStyle w:val="ListParagraph"/>
              <w:numPr>
                <w:ilvl w:val="0"/>
                <w:numId w:val="2"/>
              </w:numPr>
              <w:spacing w:after="60" w:line="280"/>
              <w:jc w:val="left"/>
            </w:pPr>
            <w:r>
              <w:rPr>
                <w:rFonts w:ascii="Calibri" w:cs="Calibri" w:eastAsia="Calibri" w:hAnsi="Calibri"/>
                <w:b/>
                <w:bCs/>
                <w:color w:val="4A2E00"/>
                <w:sz w:val="20"/>
                <w:szCs w:val="20"/>
              </w:rPr>
              <w:t xml:space="preserve">Interface shape complementarity (Sc, via CCP4 sc program or PyRosetta): </w:t>
            </w:r>
            <w:r>
              <w:rPr>
                <w:rFonts w:ascii="Calibri" w:cs="Calibri" w:eastAsia="Calibri" w:hAnsi="Calibri"/>
                <w:color w:val="4A2E00"/>
                <w:sz w:val="20"/>
                <w:szCs w:val="20"/>
              </w:rPr>
              <w:t xml:space="preserve">5–15 seconds. Slightly heavier because it computes surface dot products at the interface.</w:t>
            </w:r>
          </w:p>
          <w:p>
            <w:pPr>
              <w:pStyle w:val="ListParagraph"/>
              <w:numPr>
                <w:ilvl w:val="0"/>
                <w:numId w:val="2"/>
              </w:numPr>
              <w:spacing w:after="60" w:line="280"/>
              <w:jc w:val="left"/>
            </w:pPr>
            <w:r>
              <w:rPr>
                <w:rFonts w:ascii="Calibri" w:cs="Calibri" w:eastAsia="Calibri" w:hAnsi="Calibri"/>
                <w:b/>
                <w:bCs/>
                <w:color w:val="4A2E00"/>
                <w:sz w:val="20"/>
                <w:szCs w:val="20"/>
              </w:rPr>
              <w:t xml:space="preserve">Rosetta InterfaceAnalyzerMover for ΔΔG + H-bond count + interface metrics: </w:t>
            </w:r>
            <w:r>
              <w:rPr>
                <w:rFonts w:ascii="Calibri" w:cs="Calibri" w:eastAsia="Calibri" w:hAnsi="Calibri"/>
                <w:color w:val="4A2E00"/>
                <w:sz w:val="20"/>
                <w:szCs w:val="20"/>
              </w:rPr>
              <w:t xml:space="preserve">without FastRelax, 30–60 seconds. With FastRelax (which the reviewer notes is much slower), 5–15 minutes per complex depending on size. At 10 shortlisted designs × 15 min = 2.5 hours with FastRelax, or &lt;10 minutes without. Reasonable either way for a post-ranker step on the shortlist only.</w:t>
            </w:r>
          </w:p>
          <w:p>
            <w:pPr>
              <w:pStyle w:val="ListParagraph"/>
              <w:numPr>
                <w:ilvl w:val="0"/>
                <w:numId w:val="2"/>
              </w:numPr>
              <w:spacing w:after="60" w:line="280"/>
              <w:jc w:val="left"/>
            </w:pPr>
            <w:r>
              <w:rPr>
                <w:rFonts w:ascii="Calibri" w:cs="Calibri" w:eastAsia="Calibri" w:hAnsi="Calibri"/>
                <w:b/>
                <w:bCs/>
                <w:color w:val="4A2E00"/>
                <w:sz w:val="20"/>
                <w:szCs w:val="20"/>
              </w:rPr>
              <w:t xml:space="preserve">DockQ (Wallner's reference implementation): </w:t>
            </w:r>
            <w:r>
              <w:rPr>
                <w:rFonts w:ascii="Calibri" w:cs="Calibri" w:eastAsia="Calibri" w:hAnsi="Calibri"/>
                <w:color w:val="4A2E00"/>
                <w:sz w:val="20"/>
                <w:szCs w:val="20"/>
              </w:rPr>
              <w:t xml:space="preserve">1–5 seconds per pair. Trivial.</w:t>
            </w:r>
          </w:p>
          <w:p>
            <w:pPr>
              <w:pStyle w:val="ListParagraph"/>
              <w:numPr>
                <w:ilvl w:val="0"/>
                <w:numId w:val="2"/>
              </w:numPr>
              <w:spacing w:after="60" w:line="280"/>
              <w:jc w:val="left"/>
            </w:pPr>
            <w:r>
              <w:rPr>
                <w:rFonts w:ascii="Calibri" w:cs="Calibri" w:eastAsia="Calibri" w:hAnsi="Calibri"/>
                <w:b/>
                <w:bCs/>
                <w:color w:val="4A2E00"/>
                <w:sz w:val="20"/>
                <w:szCs w:val="20"/>
              </w:rPr>
              <w:t xml:space="preserve">Interface-only pLDDT (from Boltz output): </w:t>
            </w:r>
            <w:r>
              <w:rPr>
                <w:rFonts w:ascii="Calibri" w:cs="Calibri" w:eastAsia="Calibri" w:hAnsi="Calibri"/>
                <w:color w:val="4A2E00"/>
                <w:sz w:val="20"/>
                <w:szCs w:val="20"/>
              </w:rPr>
              <w:t xml:space="preserve">&lt;1 second. Just a masked mean over the already-computed pLDDT array.</w:t>
            </w:r>
          </w:p>
          <w:p>
            <w:pPr>
              <w:pStyle w:val="ListParagraph"/>
              <w:numPr>
                <w:ilvl w:val="0"/>
                <w:numId w:val="2"/>
              </w:numPr>
              <w:spacing w:after="60" w:line="280"/>
              <w:jc w:val="left"/>
            </w:pPr>
            <w:r>
              <w:rPr>
                <w:rFonts w:ascii="Calibri" w:cs="Calibri" w:eastAsia="Calibri" w:hAnsi="Calibri"/>
                <w:b/>
                <w:bCs/>
                <w:color w:val="4A2E00"/>
                <w:sz w:val="20"/>
                <w:szCs w:val="20"/>
              </w:rPr>
              <w:t xml:space="preserve">lDDT-PPI (OpenStructure): </w:t>
            </w:r>
            <w:r>
              <w:rPr>
                <w:rFonts w:ascii="Calibri" w:cs="Calibri" w:eastAsia="Calibri" w:hAnsi="Calibri"/>
                <w:color w:val="4A2E00"/>
                <w:sz w:val="20"/>
                <w:szCs w:val="20"/>
              </w:rPr>
              <w:t xml:space="preserve">5–15 seconds per pair.</w:t>
            </w:r>
          </w:p>
          <w:p>
            <w:pPr>
              <w:spacing w:after="80" w:line="280"/>
              <w:jc w:val="both"/>
            </w:pPr>
            <w:r>
              <w:rPr>
                <w:rFonts w:ascii="Calibri" w:cs="Calibri" w:eastAsia="Calibri" w:hAnsi="Calibri"/>
                <w:b/>
                <w:bCs/>
                <w:color w:val="4A2E00"/>
                <w:sz w:val="20"/>
                <w:szCs w:val="20"/>
              </w:rPr>
              <w:t xml:space="preserve">Recommendation: </w:t>
            </w:r>
            <w:r>
              <w:rPr>
                <w:rFonts w:ascii="Calibri" w:cs="Calibri" w:eastAsia="Calibri" w:hAnsi="Calibri"/>
                <w:color w:val="4A2E00"/>
                <w:sz w:val="20"/>
                <w:szCs w:val="20"/>
              </w:rPr>
              <w:t xml:space="preserve">run all the cheap ones (BSA, Sc, DockQ, interface pLDDT, lDDT-PPI, ΔΔG without relax) on every passing candidate — under 2 minutes each, under 20 minutes total for a shortlist of 10. Only run ΔΔG with FastRelax if the cheap version looks promising and you want affinity-quality estimates. The reviewer already uses Rosetta FastRelax on Cα-only RFDiffusion outputs, so has the infrastructure for it.</w:t>
            </w:r>
          </w:p>
          <w:p>
            <w:pPr>
              <w:spacing w:after="80" w:line="280"/>
              <w:jc w:val="both"/>
            </w:pPr>
            <w:r>
              <w:rPr>
                <w:rFonts w:ascii="Calibri" w:cs="Calibri" w:eastAsia="Calibri" w:hAnsi="Calibri"/>
                <w:b/>
                <w:bCs/>
                <w:color w:val="4A2E00"/>
                <w:sz w:val="20"/>
                <w:szCs w:val="20"/>
              </w:rPr>
              <w:t xml:space="preserve">Staging: </w:t>
            </w:r>
            <w:r>
              <w:rPr>
                <w:rFonts w:ascii="Calibri" w:cs="Calibri" w:eastAsia="Calibri" w:hAnsi="Calibri"/>
                <w:color w:val="4A2E00"/>
                <w:sz w:val="20"/>
                <w:szCs w:val="20"/>
              </w:rPr>
              <w:t xml:space="preserve">per review, orthogonal metrics will be computed post-ranker on the top ~10 shortlist only, not on all 100 sequences. That keeps the per-experiment cost to ~20 minutes of CPU on a shortlist, negligible against the Boltz-2 GPU cost upstream.</w:t>
            </w:r>
          </w:p>
        </w:tc>
      </w:tr>
    </w:tbl>
    <w:p>
      <w:pPr>
        <w:pStyle w:val="Heading2"/>
        <w:spacing w:after="140" w:before="280"/>
      </w:pPr>
      <w:r>
        <w:rPr>
          <w:rFonts w:ascii="Calibri" w:cs="Calibri" w:eastAsia="Calibri" w:hAnsi="Calibri"/>
          <w:b/>
          <w:bCs/>
          <w:color w:val="1F3864"/>
          <w:sz w:val="26"/>
          <w:szCs w:val="26"/>
        </w:rPr>
        <w:t xml:space="preserve">5.3 Cluster before ranking</w:t>
      </w:r>
    </w:p>
    <w:p>
      <w:pPr>
        <w:spacing w:after="120" w:line="300"/>
        <w:jc w:val="both"/>
      </w:pPr>
      <w:r>
        <w:rPr>
          <w:rFonts w:ascii="Calibri" w:cs="Calibri" w:eastAsia="Calibri" w:hAnsi="Calibri"/>
          <w:sz w:val="22"/>
          <w:szCs w:val="22"/>
        </w:rPr>
        <w:t xml:space="preserve">Within a cohort of correct-interface designs, many will be near-duplicate poses (the design_3 v3 run had 57 correct-interface predictions, but visual inspection per notes 5 shows significant pose clustering). Before picking a single winner, cluster the predictions by effector-RMSD (say threshold 1 Å) and report one representative per cluster. This converts the "how do I pick the best of 57 tied designs" problem into "how do I pick the best of 5 cluster representatives", which has a genuine structural signal. Notes 3 §8 already identifies pose-clustering as a carried-forward item; this is a strong reason to promote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Clustering probably won't produce useful structure</w:t>
            </w:r>
          </w:p>
          <w:p>
            <w:pPr>
              <w:spacing w:after="80" w:line="280"/>
              <w:jc w:val="both"/>
            </w:pPr>
            <w:r>
              <w:rPr>
                <w:rFonts w:ascii="Calibri" w:cs="Calibri" w:eastAsia="Calibri" w:hAnsi="Calibri"/>
                <w:color w:val="4A2E00"/>
                <w:sz w:val="20"/>
                <w:szCs w:val="20"/>
              </w:rPr>
              <w:t xml:space="preserve">The reviewer pushes back on this one. On a small receptor with a single designed binding site and 100 sequences all ranked by finding that same site, the predictions </w:t>
            </w:r>
            <w:r>
              <w:rPr>
                <w:rFonts w:ascii="Calibri" w:cs="Calibri" w:eastAsia="Calibri" w:hAnsi="Calibri"/>
                <w:b/>
                <w:bCs/>
                <w:color w:val="4A2E00"/>
                <w:sz w:val="20"/>
                <w:szCs w:val="20"/>
              </w:rPr>
              <w:t xml:space="preserve">will all cluster into one or two large groups. </w:t>
            </w:r>
            <w:r>
              <w:rPr>
                <w:rFonts w:ascii="Calibri" w:cs="Calibri" w:eastAsia="Calibri" w:hAnsi="Calibri"/>
                <w:color w:val="4A2E00"/>
                <w:sz w:val="20"/>
                <w:szCs w:val="20"/>
              </w:rPr>
              <w:t xml:space="preserve">There is no "multiple alternative poses" structure to surface — they are all in essentially the same place, differing by ≤1 Å. The cluster representatives would just be the cohort itself.</w:t>
            </w:r>
          </w:p>
          <w:p>
            <w:pPr>
              <w:spacing w:after="80" w:line="280"/>
              <w:jc w:val="both"/>
            </w:pPr>
            <w:r>
              <w:rPr>
                <w:rFonts w:ascii="Calibri" w:cs="Calibri" w:eastAsia="Calibri" w:hAnsi="Calibri"/>
                <w:b/>
                <w:bCs/>
                <w:color w:val="4A2E00"/>
                <w:sz w:val="20"/>
                <w:szCs w:val="20"/>
              </w:rPr>
              <w:t xml:space="preserve">Concession: </w:t>
            </w:r>
            <w:r>
              <w:rPr>
                <w:rFonts w:ascii="Calibri" w:cs="Calibri" w:eastAsia="Calibri" w:hAnsi="Calibri"/>
                <w:color w:val="4A2E00"/>
                <w:sz w:val="20"/>
                <w:szCs w:val="20"/>
              </w:rPr>
              <w:t xml:space="preserve">the first-draft's clustering argument assumed cohort diversity that does not exist in the single-binding-site regime this pipeline operates on. Clustering is useful when designs genuinely occupy different pose families (e.g. rotated by 180°, or contacting different loops); it is not useful when designs are all microvariations on the same pose.</w:t>
            </w:r>
          </w:p>
          <w:p>
            <w:pPr>
              <w:spacing w:after="80" w:line="280"/>
              <w:jc w:val="both"/>
            </w:pPr>
            <w:r>
              <w:rPr>
                <w:rFonts w:ascii="Calibri" w:cs="Calibri" w:eastAsia="Calibri" w:hAnsi="Calibri"/>
                <w:b/>
                <w:bCs/>
                <w:color w:val="4A2E00"/>
                <w:sz w:val="20"/>
                <w:szCs w:val="20"/>
              </w:rPr>
              <w:t xml:space="preserve">Alternative: </w:t>
            </w:r>
            <w:r>
              <w:rPr>
                <w:rFonts w:ascii="Calibri" w:cs="Calibri" w:eastAsia="Calibri" w:hAnsi="Calibri"/>
                <w:color w:val="4A2E00"/>
                <w:sz w:val="20"/>
                <w:szCs w:val="20"/>
              </w:rPr>
              <w:t xml:space="preserve">the honest framing is the reviewer's "accept irreducible randomness" point from §5.5. If 30 designs are all at ra_eff 2.4 ± 0.3 Å with overlapping contact sets, the structural data </w:t>
            </w:r>
            <w:r>
              <w:rPr>
                <w:rFonts w:ascii="Calibri" w:cs="Calibri" w:eastAsia="Calibri" w:hAnsi="Calibri"/>
                <w:i/>
                <w:iCs/>
                <w:color w:val="4A2E00"/>
                <w:sz w:val="20"/>
                <w:szCs w:val="20"/>
              </w:rPr>
              <w:t xml:space="preserve">cannot </w:t>
            </w:r>
            <w:r>
              <w:rPr>
                <w:rFonts w:ascii="Calibri" w:cs="Calibri" w:eastAsia="Calibri" w:hAnsi="Calibri"/>
                <w:color w:val="4A2E00"/>
                <w:sz w:val="20"/>
                <w:szCs w:val="20"/>
              </w:rPr>
              <w:t xml:space="preserve">resolve them. The ranking must then fall to orthogonal metrics — BSA, Sc, Rosetta ΔΔG — computed on the shortlist, and if those are also tied, the cohort is a genuine tie and the right action is to accept that ~10 designs taken forward to wet lab may not be distinguishable </w:t>
            </w:r>
            <w:r>
              <w:rPr>
                <w:rFonts w:ascii="Calibri" w:cs="Calibri" w:eastAsia="Calibri" w:hAnsi="Calibri"/>
                <w:i/>
                <w:iCs/>
                <w:color w:val="4A2E00"/>
                <w:sz w:val="20"/>
                <w:szCs w:val="20"/>
              </w:rPr>
              <w:t xml:space="preserve">in silico</w:t>
            </w:r>
            <w:r>
              <w:rPr>
                <w:rFonts w:ascii="Calibri" w:cs="Calibri" w:eastAsia="Calibri" w:hAnsi="Calibri"/>
                <w:color w:val="4A2E00"/>
                <w:sz w:val="20"/>
                <w:szCs w:val="20"/>
              </w:rPr>
              <w:t xml:space="preserve"> and differentiate empirically.</w:t>
            </w:r>
          </w:p>
        </w:tc>
      </w:tr>
    </w:tbl>
    <w:p>
      <w:pPr>
        <w:pStyle w:val="Heading2"/>
        <w:spacing w:after="140" w:before="280"/>
      </w:pPr>
      <w:r>
        <w:rPr>
          <w:rFonts w:ascii="Calibri" w:cs="Calibri" w:eastAsia="Calibri" w:hAnsi="Calibri"/>
          <w:b/>
          <w:bCs/>
          <w:color w:val="1F3864"/>
          <w:sz w:val="26"/>
          <w:szCs w:val="26"/>
        </w:rPr>
        <w:t xml:space="preserve">5.4 Report confidence intervals, not point estimates</w:t>
      </w:r>
    </w:p>
    <w:p>
      <w:pPr>
        <w:spacing w:after="120" w:line="300"/>
        <w:jc w:val="both"/>
      </w:pPr>
      <w:r>
        <w:rPr>
          <w:rFonts w:ascii="Calibri" w:cs="Calibri" w:eastAsia="Calibri" w:hAnsi="Calibri"/>
          <w:sz w:val="22"/>
          <w:szCs w:val="22"/>
        </w:rPr>
        <w:t xml:space="preserve">The cleanest way to surface the tie problem to a human reviewer is to present the rank table with confidence intervals on every metric, so that overlapping intervals are visually apparent. Bootstrap intervals over the n ≥ 3 seeds give the honest uncertainty. When a reviewer looks at "design_X: ra_eff 2.5 (95% CI 2.0–3.1)" and "design_Y: ra_eff 2.7 (95% CI 2.1–3.4)", they will correctly conclude that these are not distinguishable on ra_eff alone. The pipeline currently reports point estimates, which is part of the reason the tie problem feels more acute than it is — visualising the uncertainty would convert invisible ties into visible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CIs in single-seed mode — use variance inherited from the design_24 10-seed characterisation</w:t>
            </w:r>
          </w:p>
          <w:p>
            <w:pPr>
              <w:spacing w:after="80" w:line="280"/>
              <w:jc w:val="both"/>
            </w:pPr>
            <w:r>
              <w:rPr>
                <w:rFonts w:ascii="Calibri" w:cs="Calibri" w:eastAsia="Calibri" w:hAnsi="Calibri"/>
                <w:color w:val="4A2E00"/>
                <w:sz w:val="20"/>
                <w:szCs w:val="20"/>
              </w:rPr>
              <w:t xml:space="preserve">Without multi-seed predictions the pipeline cannot bootstrap seed-level CIs. An alternative: use the </w:t>
            </w:r>
            <w:r>
              <w:rPr>
                <w:rFonts w:ascii="Calibri" w:cs="Calibri" w:eastAsia="Calibri" w:hAnsi="Calibri"/>
                <w:b/>
                <w:bCs/>
                <w:color w:val="4A2E00"/>
                <w:sz w:val="20"/>
                <w:szCs w:val="20"/>
              </w:rPr>
              <w:t xml:space="preserve">design_24 10-seed variance as a system-wide noise model, </w:t>
            </w:r>
            <w:r>
              <w:rPr>
                <w:rFonts w:ascii="Calibri" w:cs="Calibri" w:eastAsia="Calibri" w:hAnsi="Calibri"/>
                <w:color w:val="4A2E00"/>
                <w:sz w:val="20"/>
                <w:szCs w:val="20"/>
              </w:rPr>
              <w:t xml:space="preserve">and apply it to every sequence as the prior uncertainty on its single measurement. I.e. every per-sequence metric gets a ±SD halo inherited from the characterisation study, and designs within 1 SD of each other are flagged as tied.</w:t>
            </w:r>
          </w:p>
          <w:p>
            <w:pPr>
              <w:spacing w:after="80" w:line="280"/>
              <w:jc w:val="both"/>
            </w:pPr>
            <w:r>
              <w:rPr>
                <w:rFonts w:ascii="Calibri" w:cs="Calibri" w:eastAsia="Calibri" w:hAnsi="Calibri"/>
                <w:color w:val="4A2E00"/>
                <w:sz w:val="20"/>
                <w:szCs w:val="20"/>
              </w:rPr>
              <w:t xml:space="preserve">Concrete threshold: </w:t>
            </w:r>
            <w:r>
              <w:rPr>
                <w:rFonts w:ascii="Calibri" w:cs="Calibri" w:eastAsia="Calibri" w:hAnsi="Calibri"/>
                <w:b/>
                <w:bCs/>
                <w:color w:val="4A2E00"/>
                <w:sz w:val="20"/>
                <w:szCs w:val="20"/>
              </w:rPr>
              <w:t xml:space="preserve">treat any two designs whose ra_eff is within 0.5 Å </w:t>
            </w:r>
            <w:r>
              <w:rPr>
                <w:rFonts w:ascii="Calibri" w:cs="Calibri" w:eastAsia="Calibri" w:hAnsi="Calibri"/>
                <w:color w:val="4A2E00"/>
                <w:sz w:val="20"/>
                <w:szCs w:val="20"/>
              </w:rPr>
              <w:t xml:space="preserve">(= 1 SD from the design_24 10-seed study) as indistinguishable, and break the tie with orthogonal metrics, not with the ra_eff point estimate. Same for true_jaccard (±0.05), complex_plddt (±0.01), and iPTM (±0.02).</w:t>
            </w:r>
          </w:p>
          <w:p>
            <w:pPr>
              <w:spacing w:after="80" w:line="280"/>
              <w:jc w:val="both"/>
            </w:pPr>
            <w:r>
              <w:rPr>
                <w:rFonts w:ascii="Calibri" w:cs="Calibri" w:eastAsia="Calibri" w:hAnsi="Calibri"/>
                <w:color w:val="4A2E00"/>
                <w:sz w:val="20"/>
                <w:szCs w:val="20"/>
              </w:rPr>
              <w:t xml:space="preserve">Caveat: this assumes the noise floor is similar across design tasks, which is the kind of assumption the §7 cross-task experiment would test. Until then, it is a defensible working hypothesis.</w:t>
            </w:r>
          </w:p>
        </w:tc>
      </w:tr>
    </w:tbl>
    <w:p>
      <w:pPr>
        <w:pStyle w:val="Heading2"/>
        <w:spacing w:after="140" w:before="280"/>
      </w:pPr>
      <w:r>
        <w:rPr>
          <w:rFonts w:ascii="Calibri" w:cs="Calibri" w:eastAsia="Calibri" w:hAnsi="Calibri"/>
          <w:b/>
          <w:bCs/>
          <w:color w:val="1F3864"/>
          <w:sz w:val="26"/>
          <w:szCs w:val="26"/>
        </w:rPr>
        <w:t xml:space="preserve">5.5 Accept irreducible randomness as a feature</w:t>
      </w:r>
    </w:p>
    <w:p>
      <w:pPr>
        <w:spacing w:after="120" w:line="300"/>
        <w:jc w:val="both"/>
      </w:pPr>
      <w:r>
        <w:rPr>
          <w:rFonts w:ascii="Calibri" w:cs="Calibri" w:eastAsia="Calibri" w:hAnsi="Calibri"/>
          <w:sz w:val="22"/>
          <w:szCs w:val="22"/>
        </w:rPr>
        <w:t xml:space="preserve">A point worth making is that in a genuine tie zone (multiple designs genuinely indistinguishable by structure + physics + confidence), any selection strategy is equivalent. What matters is that irreducible ties are acknowledged as ties and treated accordingly: run more seeds, add more orthogonal metrics, or take several tied designs forward to wet lab. The worst outcome is pretending that a single metric with noise floor comparable to the differences being measured is a reliable ranker; the second-worst outcome is breaking ties by a lexicographically-arbitrary rule (e.g. "always pick the lower design number"), which introduces bias. Explicit acknowledgement of ties is not a weakness; it is correct statistics.</w:t>
      </w:r>
    </w:p>
    <w:p>
      <w:pPr>
        <w:pStyle w:val="Heading1"/>
        <w:spacing w:after="160" w:before="360"/>
      </w:pPr>
      <w:r>
        <w:rPr>
          <w:rFonts w:ascii="Calibri" w:cs="Calibri" w:eastAsia="Calibri" w:hAnsi="Calibri"/>
          <w:b/>
          <w:bCs/>
          <w:color w:val="1F3864"/>
          <w:sz w:val="32"/>
          <w:szCs w:val="32"/>
        </w:rPr>
        <w:t xml:space="preserve">6. Has negative steering been used before?</w:t>
      </w:r>
    </w:p>
    <w:p>
      <w:pPr>
        <w:spacing w:after="120" w:line="300"/>
        <w:jc w:val="both"/>
      </w:pPr>
      <w:r>
        <w:rPr>
          <w:rFonts w:ascii="Calibri" w:cs="Calibri" w:eastAsia="Calibri" w:hAnsi="Calibri"/>
          <w:sz w:val="22"/>
          <w:szCs w:val="22"/>
        </w:rPr>
        <w:t xml:space="preserve">The specific application — introducing mutations at the wrong-interface surface to force a structure prediction model to relocate the effector to the designed interface, as a validation step — appears to be novel in this form. There is however a substantial lineage of conceptually related prior work, and the technique fits into two well-established traditions: negative design in computational protein design, and decoy competition in AlphaFold-based ranking.</w:t>
      </w:r>
    </w:p>
    <w:p>
      <w:pPr>
        <w:pStyle w:val="Heading2"/>
        <w:spacing w:after="140" w:before="280"/>
      </w:pPr>
      <w:r>
        <w:rPr>
          <w:rFonts w:ascii="Calibri" w:cs="Calibri" w:eastAsia="Calibri" w:hAnsi="Calibri"/>
          <w:b/>
          <w:bCs/>
          <w:color w:val="1F3864"/>
          <w:sz w:val="26"/>
          <w:szCs w:val="26"/>
        </w:rPr>
        <w:t xml:space="preserve">6.1 Negative design in computational protein design (Kortemme, Harbury, Keating, Ashworth)</w:t>
      </w:r>
    </w:p>
    <w:p>
      <w:pPr>
        <w:spacing w:after="120" w:line="300"/>
        <w:jc w:val="both"/>
      </w:pPr>
      <w:r>
        <w:rPr>
          <w:rFonts w:ascii="Calibri" w:cs="Calibri" w:eastAsia="Calibri" w:hAnsi="Calibri"/>
          <w:sz w:val="22"/>
          <w:szCs w:val="22"/>
        </w:rPr>
        <w:t xml:space="preserve">The concept of "negative design" — explicitly destabilising competing states to achieve specificity — has been standard in computational protein design since the early 2000s. Havranek and Harbury (Nat. Struct. Biol. 2003) provided the theoretical foundation. Representative applications:</w:t>
      </w:r>
    </w:p>
    <w:p>
      <w:pPr>
        <w:pStyle w:val="ListParagraph"/>
        <w:numPr>
          <w:ilvl w:val="0"/>
          <w:numId w:val="3"/>
        </w:numPr>
        <w:spacing w:after="80" w:line="280"/>
      </w:pPr>
      <w:r>
        <w:rPr>
          <w:rFonts w:ascii="Calibri" w:cs="Calibri" w:eastAsia="Calibri" w:hAnsi="Calibri"/>
          <w:b/>
          <w:bCs/>
          <w:sz w:val="22"/>
          <w:szCs w:val="22"/>
        </w:rPr>
        <w:t xml:space="preserve">Kortemme &amp; Baker (2004). </w:t>
      </w:r>
      <w:r>
        <w:rPr>
          <w:rFonts w:ascii="Calibri" w:cs="Calibri" w:eastAsia="Calibri" w:hAnsi="Calibri"/>
          <w:sz w:val="22"/>
          <w:szCs w:val="22"/>
        </w:rPr>
        <w:t xml:space="preserve">Second-site suppressor design: identify interface mutations that weaken binding, then identify compensating mutations on the partner that rescue it. Applied to the colicin E7 / Im7 inhibitor pair to produce a 300-fold specificity switch.</w:t>
      </w:r>
    </w:p>
    <w:p>
      <w:pPr>
        <w:pStyle w:val="ListParagraph"/>
        <w:numPr>
          <w:ilvl w:val="0"/>
          <w:numId w:val="3"/>
        </w:numPr>
        <w:spacing w:after="80" w:line="280"/>
      </w:pPr>
      <w:r>
        <w:rPr>
          <w:rFonts w:ascii="Calibri" w:cs="Calibri" w:eastAsia="Calibri" w:hAnsi="Calibri"/>
          <w:b/>
          <w:bCs/>
          <w:sz w:val="22"/>
          <w:szCs w:val="22"/>
        </w:rPr>
        <w:t xml:space="preserve">Ashworth et al. (2006). </w:t>
      </w:r>
      <w:r>
        <w:rPr>
          <w:rFonts w:ascii="Calibri" w:cs="Calibri" w:eastAsia="Calibri" w:hAnsi="Calibri"/>
          <w:sz w:val="22"/>
          <w:szCs w:val="22"/>
        </w:rPr>
        <w:t xml:space="preserve">Redesigned an endonuclease's specificity such that designed-protein + mutated-DNA interacts but designed-protein + wild-type DNA does not (and natural endonuclease + mutated DNA does not). A canonical four-state negative-design problem.</w:t>
      </w:r>
    </w:p>
    <w:p>
      <w:pPr>
        <w:pStyle w:val="ListParagraph"/>
        <w:numPr>
          <w:ilvl w:val="0"/>
          <w:numId w:val="3"/>
        </w:numPr>
        <w:spacing w:after="80" w:line="280"/>
      </w:pPr>
      <w:r>
        <w:rPr>
          <w:rFonts w:ascii="Calibri" w:cs="Calibri" w:eastAsia="Calibri" w:hAnsi="Calibri"/>
          <w:b/>
          <w:bCs/>
          <w:sz w:val="22"/>
          <w:szCs w:val="22"/>
        </w:rPr>
        <w:t xml:space="preserve">Bolon et al. (2005, PNAS). </w:t>
      </w:r>
      <w:r>
        <w:rPr>
          <w:rFonts w:ascii="Calibri" w:cs="Calibri" w:eastAsia="Calibri" w:hAnsi="Calibri"/>
          <w:sz w:val="22"/>
          <w:szCs w:val="22"/>
        </w:rPr>
        <w:t xml:space="preserve">Showed that negative design is required for specificity when competing states have significant structural similarity — i.e. exactly the regime of the NLR-HMA pipeline, where the wrong and right interfaces share the receptor backbone.</w:t>
      </w:r>
    </w:p>
    <w:p>
      <w:pPr>
        <w:pStyle w:val="ListParagraph"/>
        <w:numPr>
          <w:ilvl w:val="0"/>
          <w:numId w:val="3"/>
        </w:numPr>
        <w:spacing w:after="80" w:line="280"/>
      </w:pPr>
      <w:r>
        <w:rPr>
          <w:rFonts w:ascii="Calibri" w:cs="Calibri" w:eastAsia="Calibri" w:hAnsi="Calibri"/>
          <w:b/>
          <w:bCs/>
          <w:sz w:val="22"/>
          <w:szCs w:val="22"/>
        </w:rPr>
        <w:t xml:space="preserve">Grigoryan, Reinke &amp; Keating (2009, Nature). </w:t>
      </w:r>
      <w:r>
        <w:rPr>
          <w:rFonts w:ascii="Calibri" w:cs="Calibri" w:eastAsia="Calibri" w:hAnsi="Calibri"/>
          <w:sz w:val="22"/>
          <w:szCs w:val="22"/>
        </w:rPr>
        <w:t xml:space="preserve">Design of selective bZIP-binding peptides; the largest-scale negative-design study at the time, requiring explicit consideration of off-target binders.</w:t>
      </w:r>
    </w:p>
    <w:p>
      <w:pPr>
        <w:pStyle w:val="ListParagraph"/>
        <w:numPr>
          <w:ilvl w:val="0"/>
          <w:numId w:val="3"/>
        </w:numPr>
        <w:spacing w:after="80" w:line="280"/>
      </w:pPr>
      <w:r>
        <w:rPr>
          <w:rFonts w:ascii="Calibri" w:cs="Calibri" w:eastAsia="Calibri" w:hAnsi="Calibri"/>
          <w:b/>
          <w:bCs/>
          <w:sz w:val="22"/>
          <w:szCs w:val="22"/>
        </w:rPr>
        <w:t xml:space="preserve">DisruPPI (Parker et al. 2018, Bioinformatics). </w:t>
      </w:r>
      <w:r>
        <w:rPr>
          <w:rFonts w:ascii="Calibri" w:cs="Calibri" w:eastAsia="Calibri" w:hAnsi="Calibri"/>
          <w:sz w:val="22"/>
          <w:szCs w:val="22"/>
        </w:rPr>
        <w:t xml:space="preserve">Explicitly designs disrupting mutations at a protein-protein interface using FoldX and INT5 scoring; applied to disrupt antibody–antigen binding while preserving protein stability. The method the pipeline is using to pick candidate steering positions is mechanistically analogous to DisruPPI, just applied to a wrong-interface rather than a functional interface.</w:t>
      </w:r>
    </w:p>
    <w:p>
      <w:pPr>
        <w:spacing w:after="120" w:line="300"/>
        <w:jc w:val="both"/>
      </w:pPr>
      <w:r>
        <w:rPr>
          <w:rFonts w:ascii="Calibri" w:cs="Calibri" w:eastAsia="Calibri" w:hAnsi="Calibri"/>
          <w:sz w:val="22"/>
          <w:szCs w:val="22"/>
        </w:rPr>
        <w:t xml:space="preserve">This tradition gives the pipeline theoretical grounding. The steering mutations are doing exactly what Kortemme and Baker, or Parker et al., would design them to do: destabilise one binding mode. The twist is that the pipeline uses this to probe a structure prediction rather than to engineer a binder — a novel direction.</w:t>
      </w:r>
    </w:p>
    <w:p>
      <w:pPr>
        <w:pStyle w:val="Heading2"/>
        <w:spacing w:after="140" w:before="280"/>
      </w:pPr>
      <w:r>
        <w:rPr>
          <w:rFonts w:ascii="Calibri" w:cs="Calibri" w:eastAsia="Calibri" w:hAnsi="Calibri"/>
          <w:b/>
          <w:bCs/>
          <w:color w:val="1F3864"/>
          <w:sz w:val="26"/>
          <w:szCs w:val="26"/>
        </w:rPr>
        <w:t xml:space="preserve">6.2 AlphaFold decoy competition (Chang &amp; Perez 2023, Vosbein 2024)</w:t>
      </w:r>
    </w:p>
    <w:p>
      <w:pPr>
        <w:spacing w:after="120" w:line="300"/>
        <w:jc w:val="both"/>
      </w:pPr>
      <w:r>
        <w:rPr>
          <w:rFonts w:ascii="Calibri" w:cs="Calibri" w:eastAsia="Calibri" w:hAnsi="Calibri"/>
          <w:sz w:val="22"/>
          <w:szCs w:val="22"/>
        </w:rPr>
        <w:t xml:space="preserve">The closest published analog in the structure-prediction context is the AlphaFold ensemble competition approach:</w:t>
      </w:r>
    </w:p>
    <w:p>
      <w:pPr>
        <w:pStyle w:val="ListParagraph"/>
        <w:numPr>
          <w:ilvl w:val="0"/>
          <w:numId w:val="3"/>
        </w:numPr>
        <w:spacing w:after="80" w:line="280"/>
      </w:pPr>
      <w:r>
        <w:rPr>
          <w:rFonts w:ascii="Calibri" w:cs="Calibri" w:eastAsia="Calibri" w:hAnsi="Calibri"/>
          <w:b/>
          <w:bCs/>
          <w:sz w:val="22"/>
          <w:szCs w:val="22"/>
        </w:rPr>
        <w:t xml:space="preserve">Chang &amp; Perez (2023, JCTC, doi 10.1021/acs.jctc.2c00946). </w:t>
      </w:r>
      <w:r>
        <w:rPr>
          <w:rFonts w:ascii="Calibri" w:cs="Calibri" w:eastAsia="Calibri" w:hAnsi="Calibri"/>
          <w:sz w:val="22"/>
          <w:szCs w:val="22"/>
        </w:rPr>
        <w:t xml:space="preserve">"Ranking Peptide Binders by Affinity with AlphaFold." AlphaFold is given a receptor plus two candidate peptide ligands in the same input and asked to predict the structure; the higher-affinity peptide is preferentially placed in the bound state across 25+ models. Tested on six protein receptors with known peptide affinities; works best for medium-to-strong binders that adopt stable secondary structures on binding.</w:t>
      </w:r>
    </w:p>
    <w:p>
      <w:pPr>
        <w:pStyle w:val="ListParagraph"/>
        <w:numPr>
          <w:ilvl w:val="0"/>
          <w:numId w:val="3"/>
        </w:numPr>
        <w:spacing w:after="80" w:line="280"/>
      </w:pPr>
      <w:r>
        <w:rPr>
          <w:rFonts w:ascii="Calibri" w:cs="Calibri" w:eastAsia="Calibri" w:hAnsi="Calibri"/>
          <w:b/>
          <w:bCs/>
          <w:sz w:val="22"/>
          <w:szCs w:val="22"/>
        </w:rPr>
        <w:t xml:space="preserve">Vosbein et al. / Thomson Lab (2024, ACS Chem. Biol. 19:2198). </w:t>
      </w:r>
      <w:r>
        <w:rPr>
          <w:rFonts w:ascii="Calibri" w:cs="Calibri" w:eastAsia="Calibri" w:hAnsi="Calibri"/>
          <w:sz w:val="22"/>
          <w:szCs w:val="22"/>
        </w:rPr>
        <w:t xml:space="preserve">"AlphaFold Ensemble Competition Screens Enable Peptide Binder Design with Single-Residue Sensitivity." Studies the Ub:UIM-1 interaction. Introduces a decoy binding site — a compromised version of the receptor surface where the native interaction is disrupted by mutations — and runs AlphaFold competition between the true interaction and a peptide ligand at the decoy site. Crucially, they find that "to fully recapitulate the binding trends observed for ubiquitin, it is necessary to screen AlphaFold models that incorporate a 'decoy' binding site to prevent the displaced peptide from interfering with the actual binding site."</w:t>
      </w:r>
    </w:p>
    <w:p>
      <w:pPr>
        <w:spacing w:after="120" w:line="300"/>
        <w:jc w:val="both"/>
      </w:pPr>
      <w:r>
        <w:rPr>
          <w:rFonts w:ascii="Calibri" w:cs="Calibri" w:eastAsia="Calibri" w:hAnsi="Calibri"/>
          <w:sz w:val="22"/>
          <w:szCs w:val="22"/>
        </w:rPr>
        <w:t xml:space="preserve">Vosbein et al.'s "decoy binding site" is conceptually the closest prior technique to the pipeline's negative steering. The difference is direction of use: Vosbein et al. put the decoy into the receptor to provide a parking spot for weaker ligands so that AlphaFold can cleanly rank them at the true site; the pipeline mutates the wrong-interface site to disrupt a decoy that Boltz is otherwise confidently drawn to, forcing Boltz to use the designed interface. Same tool, inverted usage. The Vosbein et al. paper is thus a direct prior-art citation for the negative-steering pipeline and should be cited in any publication of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On using a third competing sequence as a decoy</w:t>
            </w:r>
          </w:p>
          <w:p>
            <w:pPr>
              <w:spacing w:after="80" w:line="280"/>
              <w:jc w:val="both"/>
            </w:pPr>
            <w:r>
              <w:rPr>
                <w:rFonts w:ascii="Calibri" w:cs="Calibri" w:eastAsia="Calibri" w:hAnsi="Calibri"/>
                <w:color w:val="4A2E00"/>
                <w:sz w:val="20"/>
                <w:szCs w:val="20"/>
              </w:rPr>
              <w:t xml:space="preserve">The reviewer raises an interesting possibility: the known-MAX-binding face of HMA (the face Boltz is drawn to, i.e. the "wrong interface" in this pipeline's framing) is a biologically real binding site with known cognate effectors. That suggests a Chang-&amp;-Perez-style competition could be run with </w:t>
            </w:r>
            <w:r>
              <w:rPr>
                <w:rFonts w:ascii="Calibri" w:cs="Calibri" w:eastAsia="Calibri" w:hAnsi="Calibri"/>
                <w:b/>
                <w:bCs/>
                <w:color w:val="4A2E00"/>
                <w:sz w:val="20"/>
                <w:szCs w:val="20"/>
              </w:rPr>
              <w:t xml:space="preserve">a known MAX-binding effector </w:t>
            </w:r>
            <w:r>
              <w:rPr>
                <w:rFonts w:ascii="Calibri" w:cs="Calibri" w:eastAsia="Calibri" w:hAnsi="Calibri"/>
                <w:color w:val="4A2E00"/>
                <w:sz w:val="20"/>
                <w:szCs w:val="20"/>
              </w:rPr>
              <w:t xml:space="preserve">as the third sequence parked at the native HMA face, which would free the designed effector to find the designed face without needing disruptive mutations.</w:t>
            </w:r>
          </w:p>
          <w:p>
            <w:pPr>
              <w:spacing w:after="80" w:line="280"/>
              <w:jc w:val="both"/>
            </w:pPr>
            <w:r>
              <w:rPr>
                <w:rFonts w:ascii="Calibri" w:cs="Calibri" w:eastAsia="Calibri" w:hAnsi="Calibri"/>
                <w:b/>
                <w:bCs/>
                <w:color w:val="4A2E00"/>
                <w:sz w:val="20"/>
                <w:szCs w:val="20"/>
              </w:rPr>
              <w:t xml:space="preserve">Trade-off: </w:t>
            </w:r>
            <w:r>
              <w:rPr>
                <w:rFonts w:ascii="Calibri" w:cs="Calibri" w:eastAsia="Calibri" w:hAnsi="Calibri"/>
                <w:color w:val="4A2E00"/>
                <w:sz w:val="20"/>
                <w:szCs w:val="20"/>
              </w:rPr>
              <w:t xml:space="preserve">this requires a biologically validated decoy effector for every design task, which may not be available for all targets. The mutation-based negative steering is more universal. The decoy-competition alternative is best thought of as an orthogonal validation on the shortlist of ~10 designs: if the designed effector still places at the designed interface when a known-binder is present at the native face, that is independent evidence the designed interface is robust. Worth exploring as a shortlist-level validation step.</w:t>
            </w:r>
          </w:p>
        </w:tc>
      </w:tr>
    </w:tbl>
    <w:p>
      <w:pPr>
        <w:pStyle w:val="Heading2"/>
        <w:spacing w:after="140" w:before="280"/>
      </w:pPr>
      <w:r>
        <w:rPr>
          <w:rFonts w:ascii="Calibri" w:cs="Calibri" w:eastAsia="Calibri" w:hAnsi="Calibri"/>
          <w:b/>
          <w:bCs/>
          <w:color w:val="1F3864"/>
          <w:sz w:val="26"/>
          <w:szCs w:val="26"/>
        </w:rPr>
        <w:t xml:space="preserve">6.3 Boltz-1x steering and related inference-time techniques</w:t>
      </w:r>
    </w:p>
    <w:p>
      <w:pPr>
        <w:spacing w:after="120" w:line="300"/>
        <w:jc w:val="both"/>
      </w:pPr>
      <w:r>
        <w:rPr>
          <w:rFonts w:ascii="Calibri" w:cs="Calibri" w:eastAsia="Calibri" w:hAnsi="Calibri"/>
          <w:sz w:val="22"/>
          <w:szCs w:val="22"/>
        </w:rPr>
        <w:t xml:space="preserve">Boltz-1x (Wohlwend et al. 2024) introduced "Boltz-steering" — an inference-time method that applies physics-based potentials to improve physical plausibility of predictions, addressing steric clashes and chirality. This is a different kind of steering — it modifies the diffusion process with a physical-realism prior. The pipeline's negative steering is orthogonal: it modifies the input sequence to bias the diffusion toward the target binding mode, without changing the model. BoltzDesign1 (2025) inverts Boltz-1 for binder design using distogram-level optimisation. BindCraft (2024) does similar with AlphaFold2. BoltzGen (2025) is a full generative model. None of these techniques is negative steering in the pipeline's sense — they are all positive-design methods or inference-time regularisation.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Clarifying the BindCraft / BoltzDesign1 / RFDiffusion scope question</w:t>
            </w:r>
          </w:p>
          <w:p>
            <w:pPr>
              <w:spacing w:after="80" w:line="280"/>
              <w:jc w:val="both"/>
            </w:pPr>
            <w:r>
              <w:rPr>
                <w:rFonts w:ascii="Calibri" w:cs="Calibri" w:eastAsia="Calibri" w:hAnsi="Calibri"/>
                <w:color w:val="4A2E00"/>
                <w:sz w:val="20"/>
                <w:szCs w:val="20"/>
              </w:rPr>
              <w:t xml:space="preserve">The reviewer asks whether BindCraft and BoltzDesign1 design full proteins versus inpainting known regions. </w:t>
            </w:r>
            <w:r>
              <w:rPr>
                <w:rFonts w:ascii="Calibri" w:cs="Calibri" w:eastAsia="Calibri" w:hAnsi="Calibri"/>
                <w:b/>
                <w:bCs/>
                <w:color w:val="4A2E00"/>
                <w:sz w:val="20"/>
                <w:szCs w:val="20"/>
              </w:rPr>
              <w:t xml:space="preserve">Both BindCraft and BoltzDesign1 design full binders from scratch. </w:t>
            </w:r>
            <w:r>
              <w:rPr>
                <w:rFonts w:ascii="Calibri" w:cs="Calibri" w:eastAsia="Calibri" w:hAnsi="Calibri"/>
                <w:color w:val="4A2E00"/>
                <w:sz w:val="20"/>
                <w:szCs w:val="20"/>
              </w:rPr>
              <w:t xml:space="preserve">They are positive-design methods that hallucinate a complete binder backbone and sequence to maximise in silico interface metrics. They do not support "keep this region fixed, design only that region", which is the inpainting task RFDiffusion handles natively via the contigs/hotspot API.</w:t>
            </w:r>
          </w:p>
          <w:p>
            <w:pPr>
              <w:spacing w:after="80" w:line="280"/>
              <w:jc w:val="both"/>
            </w:pPr>
            <w:r>
              <w:rPr>
                <w:rFonts w:ascii="Calibri" w:cs="Calibri" w:eastAsia="Calibri" w:hAnsi="Calibri"/>
                <w:color w:val="4A2E00"/>
                <w:sz w:val="20"/>
                <w:szCs w:val="20"/>
              </w:rPr>
              <w:t xml:space="preserve">So the reviewer's reason for choosing RFDiffusion — wanting to inpaint a known HMA binding region while keeping the rest of the receptor fixed — is a correct and well-founded methodological choice. BindCraft and BoltzDesign1 would generate full de novo scaffolds that ignore the existing plant-immune-protein context, which is not what the project needs. Boltz-1x steering is a separate thing (inference-time physics potentials, not design), and is orthogonal.</w:t>
            </w:r>
          </w:p>
          <w:p>
            <w:pPr>
              <w:spacing w:after="80" w:line="280"/>
              <w:jc w:val="both"/>
            </w:pPr>
            <w:r>
              <w:rPr>
                <w:rFonts w:ascii="Calibri" w:cs="Calibri" w:eastAsia="Calibri" w:hAnsi="Calibri"/>
                <w:color w:val="4A2E00"/>
                <w:sz w:val="20"/>
                <w:szCs w:val="20"/>
              </w:rPr>
              <w:t xml:space="preserve">The reviewer's earlier experience with Boltz-steering (reportedly: got the contact residues partly right but the target orientation wrong) is consistent with the common experience: Boltz-steering is good at </w:t>
            </w:r>
            <w:r>
              <w:rPr>
                <w:rFonts w:ascii="Calibri" w:cs="Calibri" w:eastAsia="Calibri" w:hAnsi="Calibri"/>
                <w:i/>
                <w:iCs/>
                <w:color w:val="4A2E00"/>
                <w:sz w:val="20"/>
                <w:szCs w:val="20"/>
              </w:rPr>
              <w:t xml:space="preserve">local </w:t>
            </w:r>
            <w:r>
              <w:rPr>
                <w:rFonts w:ascii="Calibri" w:cs="Calibri" w:eastAsia="Calibri" w:hAnsi="Calibri"/>
                <w:color w:val="4A2E00"/>
                <w:sz w:val="20"/>
                <w:szCs w:val="20"/>
              </w:rPr>
              <w:t xml:space="preserve">interface geometry but less good at </w:t>
            </w:r>
            <w:r>
              <w:rPr>
                <w:rFonts w:ascii="Calibri" w:cs="Calibri" w:eastAsia="Calibri" w:hAnsi="Calibri"/>
                <w:i/>
                <w:iCs/>
                <w:color w:val="4A2E00"/>
                <w:sz w:val="20"/>
                <w:szCs w:val="20"/>
              </w:rPr>
              <w:t xml:space="preserve">global </w:t>
            </w:r>
            <w:r>
              <w:rPr>
                <w:rFonts w:ascii="Calibri" w:cs="Calibri" w:eastAsia="Calibri" w:hAnsi="Calibri"/>
                <w:color w:val="4A2E00"/>
                <w:sz w:val="20"/>
                <w:szCs w:val="20"/>
              </w:rPr>
              <w:t xml:space="preserve">orientation. AIR-constraint-based steering is a separate technique and quality depends heavily on the constraint file. Not a blocker for the pipeline as currently structured.</w:t>
            </w:r>
          </w:p>
        </w:tc>
      </w:tr>
    </w:tbl>
    <w:p>
      <w:pPr>
        <w:pStyle w:val="Heading2"/>
        <w:spacing w:after="140" w:before="280"/>
      </w:pPr>
      <w:r>
        <w:rPr>
          <w:rFonts w:ascii="Calibri" w:cs="Calibri" w:eastAsia="Calibri" w:hAnsi="Calibri"/>
          <w:b/>
          <w:bCs/>
          <w:color w:val="1F3864"/>
          <w:sz w:val="26"/>
          <w:szCs w:val="26"/>
        </w:rPr>
        <w:t xml:space="preserve">6.4 Conclusion</w:t>
      </w:r>
    </w:p>
    <w:p>
      <w:pPr>
        <w:spacing w:after="120" w:line="300"/>
        <w:jc w:val="both"/>
      </w:pPr>
      <w:r>
        <w:rPr>
          <w:rFonts w:ascii="Calibri" w:cs="Calibri" w:eastAsia="Calibri" w:hAnsi="Calibri"/>
          <w:sz w:val="22"/>
          <w:szCs w:val="22"/>
        </w:rPr>
        <w:t xml:space="preserve">Negative steering in the specific form the pipeline uses — a validation-time technique that introduces disruptive mutations at the wrong-interface surface to force Boltz to relocate the effector — is novel in this form, with Vosbein et al. 2024 as the closest prior art. The broader tradition of negative design (Kortemme, Harbury, Ashworth, Bolon, Keating, DisruPPI) provides the theoretical grounding. A publication of the method should cite Vosbein 2024, Chang &amp; Perez 2023, Kortemme &amp; Baker 2004, and Parker et al. 2018 as direct intellectual ancestors.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Commercial route, not academic route</w:t>
            </w:r>
          </w:p>
          <w:p>
            <w:pPr>
              <w:spacing w:after="80" w:line="280"/>
              <w:jc w:val="both"/>
            </w:pPr>
            <w:r>
              <w:rPr>
                <w:rFonts w:ascii="Calibri" w:cs="Calibri" w:eastAsia="Calibri" w:hAnsi="Calibri"/>
                <w:color w:val="4A2E00"/>
                <w:sz w:val="20"/>
                <w:szCs w:val="20"/>
              </w:rPr>
              <w:t xml:space="preserve">Per review, this work is being positioned for a spin-out developing plant-immune-protein binders, not an academic publication. </w:t>
            </w:r>
            <w:r>
              <w:rPr>
                <w:rFonts w:ascii="Calibri" w:cs="Calibri" w:eastAsia="Calibri" w:hAnsi="Calibri"/>
                <w:b/>
                <w:bCs/>
                <w:color w:val="4A2E00"/>
                <w:sz w:val="20"/>
                <w:szCs w:val="20"/>
              </w:rPr>
              <w:t xml:space="preserve">That changes the prior-art discussion from "citations for a methods paper" to "prior art for patentability and freedom-to-operate". </w:t>
            </w:r>
            <w:r>
              <w:rPr>
                <w:rFonts w:ascii="Calibri" w:cs="Calibri" w:eastAsia="Calibri" w:hAnsi="Calibri"/>
                <w:color w:val="4A2E00"/>
                <w:sz w:val="20"/>
                <w:szCs w:val="20"/>
              </w:rPr>
              <w:t xml:space="preserve">The same four references (Vosbein 2024, Chang &amp; Perez 2023, Kortemme &amp; Baker 2004, Parker et al. 2018) are the ones a patent examiner would find, so the landscape analysis is the same, but the framing should be:</w:t>
            </w:r>
          </w:p>
          <w:p>
            <w:pPr>
              <w:pStyle w:val="ListParagraph"/>
              <w:numPr>
                <w:ilvl w:val="0"/>
                <w:numId w:val="2"/>
              </w:numPr>
              <w:spacing w:after="60" w:line="280"/>
              <w:jc w:val="left"/>
            </w:pPr>
            <w:r>
              <w:rPr>
                <w:rFonts w:ascii="Calibri" w:cs="Calibri" w:eastAsia="Calibri" w:hAnsi="Calibri"/>
                <w:color w:val="4A2E00"/>
                <w:sz w:val="20"/>
                <w:szCs w:val="20"/>
              </w:rPr>
              <w:t xml:space="preserve">The technique as used here — disruptive mutations at the wrong-interface surface to redirect a structure prediction model, applied as a validation step in a plant-immune-protein design pipeline — appears novel.</w:t>
            </w:r>
          </w:p>
          <w:p>
            <w:pPr>
              <w:pStyle w:val="ListParagraph"/>
              <w:numPr>
                <w:ilvl w:val="0"/>
                <w:numId w:val="2"/>
              </w:numPr>
              <w:spacing w:after="60" w:line="280"/>
              <w:jc w:val="left"/>
            </w:pPr>
            <w:r>
              <w:rPr>
                <w:rFonts w:ascii="Calibri" w:cs="Calibri" w:eastAsia="Calibri" w:hAnsi="Calibri"/>
                <w:color w:val="4A2E00"/>
                <w:sz w:val="20"/>
                <w:szCs w:val="20"/>
              </w:rPr>
              <w:t xml:space="preserve">The domain (plant NLR-HMA effector recognition for crop resistance engineering) is not covered by any of the prior art; pharma-oriented binder-design prior art is not in the same technical space.</w:t>
            </w:r>
          </w:p>
          <w:p>
            <w:pPr>
              <w:pStyle w:val="ListParagraph"/>
              <w:numPr>
                <w:ilvl w:val="0"/>
                <w:numId w:val="2"/>
              </w:numPr>
              <w:spacing w:after="60" w:line="280"/>
              <w:jc w:val="left"/>
            </w:pPr>
            <w:r>
              <w:rPr>
                <w:rFonts w:ascii="Calibri" w:cs="Calibri" w:eastAsia="Calibri" w:hAnsi="Calibri"/>
                <w:color w:val="4A2E00"/>
                <w:sz w:val="20"/>
                <w:szCs w:val="20"/>
              </w:rPr>
              <w:t xml:space="preserve">Specific patentable elements plausibly include: the pipeline architecture (multi-cycle steering with reversion and contamination filtering), the specific candidate-pool selection logic, and the integration of the structure-prediction outputs with ProteinMPNN-designed sequences for in planta deployment.</w:t>
            </w:r>
          </w:p>
          <w:p>
            <w:pPr>
              <w:spacing w:after="80" w:line="280"/>
              <w:jc w:val="both"/>
            </w:pPr>
            <w:r>
              <w:rPr>
                <w:rFonts w:ascii="Calibri" w:cs="Calibri" w:eastAsia="Calibri" w:hAnsi="Calibri"/>
                <w:color w:val="4A2E00"/>
                <w:sz w:val="20"/>
                <w:szCs w:val="20"/>
              </w:rPr>
              <w:t xml:space="preserve">Filing a provisional before external presentation would preserve priority and the metric-reliability framework proposed in this memo could form part of the supporting data.</w:t>
            </w:r>
          </w:p>
        </w:tc>
      </w:tr>
    </w:tbl>
    <w:p>
      <w:pPr>
        <w:pStyle w:val="Heading1"/>
        <w:spacing w:after="160" w:before="360"/>
      </w:pPr>
      <w:r>
        <w:rPr>
          <w:rFonts w:ascii="Calibri" w:cs="Calibri" w:eastAsia="Calibri" w:hAnsi="Calibri"/>
          <w:b/>
          <w:bCs/>
          <w:color w:val="1F3864"/>
          <w:sz w:val="32"/>
          <w:szCs w:val="32"/>
        </w:rPr>
        <w:t xml:space="preserve">7. Computational experiments to increase metric confidence</w:t>
      </w:r>
    </w:p>
    <w:p>
      <w:pPr>
        <w:spacing w:after="120" w:line="300"/>
        <w:jc w:val="both"/>
      </w:pPr>
      <w:r>
        <w:rPr>
          <w:rFonts w:ascii="Calibri" w:cs="Calibri" w:eastAsia="Calibri" w:hAnsi="Calibri"/>
          <w:sz w:val="22"/>
          <w:szCs w:val="22"/>
        </w:rPr>
        <w:t xml:space="preserve">The metric choice proposed in §9 is supported by the v4 data, notes 8, and the literature, but several targeted computational experiments would either confirm the recommendations or identify cases where a different metric is preferable. They are listed in order of information gain relative to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Re-prioritised for the actual deployment scenario</w:t>
            </w:r>
          </w:p>
          <w:p>
            <w:pPr>
              <w:spacing w:after="80" w:line="280"/>
              <w:jc w:val="both"/>
            </w:pPr>
            <w:r>
              <w:rPr>
                <w:rFonts w:ascii="Calibri" w:cs="Calibri" w:eastAsia="Calibri" w:hAnsi="Calibri"/>
                <w:color w:val="4A2E00"/>
                <w:sz w:val="20"/>
                <w:szCs w:val="20"/>
              </w:rPr>
              <w:t xml:space="preserve">The first draft's experiment list was designed to establish metric behaviour on one system. Per review, the priority now is: </w:t>
            </w:r>
            <w:r>
              <w:rPr>
                <w:rFonts w:ascii="Calibri" w:cs="Calibri" w:eastAsia="Calibri" w:hAnsi="Calibri"/>
                <w:b/>
                <w:bCs/>
                <w:color w:val="4A2E00"/>
                <w:sz w:val="20"/>
                <w:szCs w:val="20"/>
              </w:rPr>
              <w:t xml:space="preserve">establish metric behaviour across multiple design tasks, using the production pipeline as the data source. </w:t>
            </w:r>
            <w:r>
              <w:rPr>
                <w:rFonts w:ascii="Calibri" w:cs="Calibri" w:eastAsia="Calibri" w:hAnsi="Calibri"/>
                <w:color w:val="4A2E00"/>
                <w:sz w:val="20"/>
                <w:szCs w:val="20"/>
              </w:rPr>
              <w:t xml:space="preserve">Rank order updated to match.</w:t>
            </w:r>
          </w:p>
          <w:p>
            <w:pPr>
              <w:pStyle w:val="ListParagraph"/>
              <w:numPr>
                <w:ilvl w:val="0"/>
                <w:numId w:val="2"/>
              </w:numPr>
              <w:spacing w:after="60" w:line="280"/>
              <w:jc w:val="left"/>
            </w:pPr>
            <w:r>
              <w:rPr>
                <w:rFonts w:ascii="Calibri" w:cs="Calibri" w:eastAsia="Calibri" w:hAnsi="Calibri"/>
                <w:b/>
                <w:bCs/>
                <w:color w:val="4A2E00"/>
                <w:sz w:val="20"/>
                <w:szCs w:val="20"/>
              </w:rPr>
              <w:t xml:space="preserve">Highest priority: </w:t>
            </w:r>
            <w:r>
              <w:rPr>
                <w:rFonts w:ascii="Calibri" w:cs="Calibri" w:eastAsia="Calibri" w:hAnsi="Calibri"/>
                <w:color w:val="4A2E00"/>
                <w:sz w:val="20"/>
                <w:szCs w:val="20"/>
              </w:rPr>
              <w:t xml:space="preserve">Cross-task ROC. Run 3–5 different design tasks (different binder–target pairs), each ~100 sequences, and after the ranker step compute per-metric AUROC for correct-vs-wrong-interface across the pooled cohort. This is the population-level analog of §2.3 and settles whether ipSAE behaves consistently across tasks or is system-specific. Zero extra Boltz calls beyond the production pipeline.</w:t>
            </w:r>
          </w:p>
          <w:p>
            <w:pPr>
              <w:pStyle w:val="ListParagraph"/>
              <w:numPr>
                <w:ilvl w:val="0"/>
                <w:numId w:val="2"/>
              </w:numPr>
              <w:spacing w:after="60" w:line="280"/>
              <w:jc w:val="left"/>
            </w:pPr>
            <w:r>
              <w:rPr>
                <w:rFonts w:ascii="Calibri" w:cs="Calibri" w:eastAsia="Calibri" w:hAnsi="Calibri"/>
                <w:b/>
                <w:bCs/>
                <w:color w:val="4A2E00"/>
                <w:sz w:val="20"/>
                <w:szCs w:val="20"/>
              </w:rPr>
              <w:t xml:space="preserve">Second priority: </w:t>
            </w:r>
            <w:r>
              <w:rPr>
                <w:rFonts w:ascii="Calibri" w:cs="Calibri" w:eastAsia="Calibri" w:hAnsi="Calibri"/>
                <w:color w:val="4A2E00"/>
                <w:sz w:val="20"/>
                <w:szCs w:val="20"/>
              </w:rPr>
              <w:t xml:space="preserve">Multi-model cross-validation of shortlisted candidates. For the top ~10 from each design task, re-predict with MSA-Boltz-2, AF3, and AF2-initial-guess. The reviewer has this benchmarking pipeline already in place; hooking it up to the steering pipeline's shortlist is a few hours of plumbing. Tests whether a "steered" interface is a Boltz-2-without-MSA-specific artefact or a robust prediction.</w:t>
            </w:r>
          </w:p>
          <w:p>
            <w:pPr>
              <w:pStyle w:val="ListParagraph"/>
              <w:numPr>
                <w:ilvl w:val="0"/>
                <w:numId w:val="2"/>
              </w:numPr>
              <w:spacing w:after="60" w:line="280"/>
              <w:jc w:val="left"/>
            </w:pPr>
            <w:r>
              <w:rPr>
                <w:rFonts w:ascii="Calibri" w:cs="Calibri" w:eastAsia="Calibri" w:hAnsi="Calibri"/>
                <w:b/>
                <w:bCs/>
                <w:color w:val="4A2E00"/>
                <w:sz w:val="20"/>
                <w:szCs w:val="20"/>
              </w:rPr>
              <w:t xml:space="preserve">Third priority: </w:t>
            </w:r>
            <w:r>
              <w:rPr>
                <w:rFonts w:ascii="Calibri" w:cs="Calibri" w:eastAsia="Calibri" w:hAnsi="Calibri"/>
                <w:color w:val="4A2E00"/>
                <w:sz w:val="20"/>
                <w:szCs w:val="20"/>
              </w:rPr>
              <w:t xml:space="preserve">Fix the confidence-metric column population in compute-final-metrics so that every row — not just filter-passing rows — has ipSAE, iPTM, complex_plddt, etc. populated. Enables the cross-task ROC properly. Pure post-processing.</w:t>
            </w:r>
          </w:p>
          <w:p>
            <w:pPr>
              <w:pStyle w:val="ListParagraph"/>
              <w:numPr>
                <w:ilvl w:val="0"/>
                <w:numId w:val="2"/>
              </w:numPr>
              <w:spacing w:after="60" w:line="280"/>
              <w:jc w:val="left"/>
            </w:pPr>
            <w:r>
              <w:rPr>
                <w:rFonts w:ascii="Calibri" w:cs="Calibri" w:eastAsia="Calibri" w:hAnsi="Calibri"/>
                <w:b/>
                <w:bCs/>
                <w:color w:val="4A2E00"/>
                <w:sz w:val="20"/>
                <w:szCs w:val="20"/>
              </w:rPr>
              <w:t xml:space="preserve">Fourth priority: </w:t>
            </w:r>
            <w:r>
              <w:rPr>
                <w:rFonts w:ascii="Calibri" w:cs="Calibri" w:eastAsia="Calibri" w:hAnsi="Calibri"/>
                <w:color w:val="4A2E00"/>
                <w:sz w:val="20"/>
                <w:szCs w:val="20"/>
              </w:rPr>
              <w:t xml:space="preserve">Expanded-protected-set experiment for contamination reduction. Rerun one design task with the expanded protected-set Cα cutoff (reviewer's planned fix). Compare contamination rate, clean-survivor count, and final composite score distribution against v4. Directly validates the highest-ROI pipeline change.</w:t>
            </w:r>
          </w:p>
          <w:p>
            <w:pPr>
              <w:pStyle w:val="ListParagraph"/>
              <w:numPr>
                <w:ilvl w:val="0"/>
                <w:numId w:val="2"/>
              </w:numPr>
              <w:spacing w:after="60" w:line="280"/>
              <w:jc w:val="left"/>
            </w:pPr>
            <w:r>
              <w:rPr>
                <w:rFonts w:ascii="Calibri" w:cs="Calibri" w:eastAsia="Calibri" w:hAnsi="Calibri"/>
                <w:b/>
                <w:bCs/>
                <w:color w:val="4A2E00"/>
                <w:sz w:val="20"/>
                <w:szCs w:val="20"/>
              </w:rPr>
              <w:t xml:space="preserve">Lower priority but retained: </w:t>
            </w:r>
            <w:r>
              <w:rPr>
                <w:rFonts w:ascii="Calibri" w:cs="Calibri" w:eastAsia="Calibri" w:hAnsi="Calibri"/>
                <w:color w:val="4A2E00"/>
                <w:sz w:val="20"/>
                <w:szCs w:val="20"/>
              </w:rPr>
              <w:t xml:space="preserve">Scrambled-sequence and poly-glycine-in-designed-region negative controls, run once per design task alongside the WT negative control. Reviewer already plans to implement.</w:t>
            </w:r>
          </w:p>
          <w:p>
            <w:pPr>
              <w:spacing w:after="80" w:line="280"/>
              <w:jc w:val="both"/>
            </w:pPr>
            <w:r>
              <w:rPr>
                <w:rFonts w:ascii="Calibri" w:cs="Calibri" w:eastAsia="Calibri" w:hAnsi="Calibri"/>
                <w:color w:val="4A2E00"/>
                <w:sz w:val="20"/>
                <w:szCs w:val="20"/>
              </w:rPr>
              <w:t xml:space="preserve">The original §7.3 (10-seed variance on a diverse panel) is dropped as a production priority per the seed-budget constraint. The original §7.6 (composite-weight sweep) is retained but is a post-processing exercise once the cross-task ROC data is available.</w:t>
            </w:r>
          </w:p>
        </w:tc>
      </w:tr>
    </w:tbl>
    <w:p>
      <w:pPr>
        <w:pStyle w:val="Heading2"/>
        <w:spacing w:after="140" w:before="280"/>
      </w:pPr>
      <w:r>
        <w:rPr>
          <w:rFonts w:ascii="Calibri" w:cs="Calibri" w:eastAsia="Calibri" w:hAnsi="Calibri"/>
          <w:b/>
          <w:bCs/>
          <w:color w:val="1F3864"/>
          <w:sz w:val="26"/>
          <w:szCs w:val="26"/>
        </w:rPr>
        <w:t xml:space="preserve">7.1 Per-cohort ROC on confidence metrics (days of wall-time)</w:t>
      </w:r>
    </w:p>
    <w:p>
      <w:pPr>
        <w:spacing w:after="120" w:line="300"/>
        <w:jc w:val="both"/>
      </w:pPr>
      <w:r>
        <w:rPr>
          <w:rFonts w:ascii="Calibri" w:cs="Calibri" w:eastAsia="Calibri" w:hAnsi="Calibri"/>
          <w:sz w:val="22"/>
          <w:szCs w:val="22"/>
        </w:rPr>
        <w:t xml:space="preserve">Currently the confidence metrics in the output are populated only for rows that survive the full filter. Run compute-final-metrics with relaxed thresholds (e.g. receptor_intact OR ra_eff &lt; 20 Å) on the full v4 dataset so that every prediction has populated confidence metrics. Then compute ROC curves for each metric (ipSAE, iPTM, complex_plddt, ipae, actifptm, pae_pass_frac, and the composites in §9) for the binary correct-vs-wrong interface classification (ra_eff &lt; 5). This resolves the within-cycle ranking question of §3.2 on real data rather than extrapolation. Expected cost: zero Boltz calls (rerun post-processing on cached PDBs), produces an authoritative per-metric AUROC for this system.</w:t>
      </w:r>
    </w:p>
    <w:p>
      <w:pPr>
        <w:pStyle w:val="Heading2"/>
        <w:spacing w:after="140" w:before="280"/>
      </w:pPr>
      <w:r>
        <w:rPr>
          <w:rFonts w:ascii="Calibri" w:cs="Calibri" w:eastAsia="Calibri" w:hAnsi="Calibri"/>
          <w:b/>
          <w:bCs/>
          <w:color w:val="1F3864"/>
          <w:sz w:val="26"/>
          <w:szCs w:val="26"/>
        </w:rPr>
        <w:t xml:space="preserve">7.2 Cross-system replication on the four benchmark complexes (reuse cached runs)</w:t>
      </w:r>
    </w:p>
    <w:p>
      <w:pPr>
        <w:spacing w:after="120" w:line="300"/>
        <w:jc w:val="both"/>
      </w:pPr>
      <w:r>
        <w:rPr>
          <w:rFonts w:ascii="Calibri" w:cs="Calibri" w:eastAsia="Calibri" w:hAnsi="Calibri"/>
          <w:sz w:val="22"/>
          <w:szCs w:val="22"/>
        </w:rPr>
        <w:t xml:space="preserve">Notes 3 establishes that the pipeline was benchmarked on four native complexes (7QPX, 7QZD, 6G10, 7B1I), with ipSAE reportedly well-distributed on some and near-zero on others. Re-run compute-final-metrics on those workdirs with the new metric definitions (median across seeds, composite score) and produce a four-complex table showing whether the metric recommendations hold cross-system or are design_3-specific. Expected cost: zero Boltz calls.</w:t>
      </w:r>
    </w:p>
    <w:p>
      <w:pPr>
        <w:pStyle w:val="Heading2"/>
        <w:spacing w:after="140" w:before="280"/>
      </w:pPr>
      <w:r>
        <w:rPr>
          <w:rFonts w:ascii="Calibri" w:cs="Calibri" w:eastAsia="Calibri" w:hAnsi="Calibri"/>
          <w:b/>
          <w:bCs/>
          <w:color w:val="1F3864"/>
          <w:sz w:val="26"/>
          <w:szCs w:val="26"/>
        </w:rPr>
        <w:t xml:space="preserve">7.3 Multi-seed variance on a diverse 10-design panel</w:t>
      </w:r>
    </w:p>
    <w:p>
      <w:pPr>
        <w:spacing w:after="120" w:line="300"/>
        <w:jc w:val="both"/>
      </w:pPr>
      <w:r>
        <w:rPr>
          <w:rFonts w:ascii="Calibri" w:cs="Calibri" w:eastAsia="Calibri" w:hAnsi="Calibri"/>
          <w:sz w:val="22"/>
          <w:szCs w:val="22"/>
        </w:rPr>
        <w:t xml:space="preserve">The design_24 10-seed data measures confidence variance on one correct-interface sequence. To check whether the sign of the Spearman(ipSAE, ra_eff) correlation is design_24-specific or system-wide, pick 10 sequences from the v4 run spanning the full ra_eff range (5 correct-interface, 5 wrong-interface) and run each with 10 seeds, ds=5. Expected cost: 100 Boltz predictions, ≈2 GPU-days. Produces a 10-seed variance distribution for each sequence and allows direct testing of whether the ipSAE rank agrees with ra_eff rank within wider sets of predictions.</w:t>
      </w:r>
    </w:p>
    <w:p>
      <w:pPr>
        <w:pStyle w:val="Heading2"/>
        <w:spacing w:after="140" w:before="280"/>
      </w:pPr>
      <w:r>
        <w:rPr>
          <w:rFonts w:ascii="Calibri" w:cs="Calibri" w:eastAsia="Calibri" w:hAnsi="Calibri"/>
          <w:b/>
          <w:bCs/>
          <w:color w:val="1F3864"/>
          <w:sz w:val="26"/>
          <w:szCs w:val="26"/>
        </w:rPr>
        <w:t xml:space="preserve">7.4 Seed-stratified cross-model agreement (Boltz-2 vs AF3 vs AF2-initial-guess)</w:t>
      </w:r>
    </w:p>
    <w:p>
      <w:pPr>
        <w:spacing w:after="120" w:line="300"/>
        <w:jc w:val="both"/>
      </w:pPr>
      <w:r>
        <w:rPr>
          <w:rFonts w:ascii="Calibri" w:cs="Calibri" w:eastAsia="Calibri" w:hAnsi="Calibri"/>
          <w:sz w:val="22"/>
          <w:szCs w:val="22"/>
        </w:rPr>
        <w:t xml:space="preserve">Overath et al. 2025 shows that cross-model agreement (AF3 + Boltz-1 both predicting the same thing) is a stronger predictor of experimental success than any single-model confidence. Predict the top 10 clean steered designs with both Boltz-2 and AF3 (and AF2-initial-guess, for the Baker-lab regime). Require that all three models place the effector at the designed interface for promotion to wet-lab triage. Expected cost: 30 AF3 predictions via the server + 30 AF2 initial-guess predictions, under one GPU-day. Very likely to eliminate false positives that Boltz-2 specifically is confident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Reviewer has this infrastructure in place</w:t>
            </w:r>
          </w:p>
          <w:p>
            <w:pPr>
              <w:spacing w:after="80" w:line="280"/>
              <w:jc w:val="both"/>
            </w:pPr>
            <w:r>
              <w:rPr>
                <w:rFonts w:ascii="Calibri" w:cs="Calibri" w:eastAsia="Calibri" w:hAnsi="Calibri"/>
                <w:color w:val="4A2E00"/>
                <w:sz w:val="20"/>
                <w:szCs w:val="20"/>
              </w:rPr>
              <w:t xml:space="preserve">The reviewer has already built a multi-model benchmarking pipeline covering Boltz-1, Boltz-2, AF3, AF2-Multimer, ColabFold, Chai-1, and soon RoseTTAFold, with and without MSA inputs. The uploaded benchmark CSV (302 predictions on the near-native 6G10) is the direct output of this.</w:t>
            </w:r>
          </w:p>
          <w:p>
            <w:pPr>
              <w:spacing w:after="80" w:line="280"/>
              <w:jc w:val="both"/>
            </w:pPr>
            <w:r>
              <w:rPr>
                <w:rFonts w:ascii="Calibri" w:cs="Calibri" w:eastAsia="Calibri" w:hAnsi="Calibri"/>
                <w:b/>
                <w:bCs/>
                <w:color w:val="4A2E00"/>
                <w:sz w:val="20"/>
                <w:szCs w:val="20"/>
              </w:rPr>
              <w:t xml:space="preserve">Plan: feed the top-10 steered designs from each production experiment through this benchmarking pipeline. </w:t>
            </w:r>
            <w:r>
              <w:rPr>
                <w:rFonts w:ascii="Calibri" w:cs="Calibri" w:eastAsia="Calibri" w:hAnsi="Calibri"/>
                <w:color w:val="4A2E00"/>
                <w:sz w:val="20"/>
                <w:szCs w:val="20"/>
              </w:rPr>
              <w:t xml:space="preserve">If MSA-Boltz-2, AF3, and AF2-initial-guess all place the effector at the designed interface on the steered sequence (which they may or may not do — the steering was done against no-MSA Boltz-2), that's a strong cross-model agreement signal. If only no-MSA Boltz-2 places it there, the design is a no-MSA-Boltz-2-specific artefact and should be de-prioritised.</w:t>
            </w:r>
          </w:p>
          <w:p>
            <w:pPr>
              <w:spacing w:after="80" w:line="280"/>
              <w:jc w:val="both"/>
            </w:pPr>
            <w:r>
              <w:rPr>
                <w:rFonts w:ascii="Calibri" w:cs="Calibri" w:eastAsia="Calibri" w:hAnsi="Calibri"/>
                <w:b/>
                <w:bCs/>
                <w:color w:val="4A2E00"/>
                <w:sz w:val="20"/>
                <w:szCs w:val="20"/>
              </w:rPr>
              <w:t xml:space="preserve">Runtime note: </w:t>
            </w:r>
            <w:r>
              <w:rPr>
                <w:rFonts w:ascii="Calibri" w:cs="Calibri" w:eastAsia="Calibri" w:hAnsi="Calibri"/>
                <w:color w:val="4A2E00"/>
                <w:sz w:val="20"/>
                <w:szCs w:val="20"/>
              </w:rPr>
              <w:t xml:space="preserve">AF3 predictions with MSA take significantly longer than no-MSA Boltz-2 (tens of minutes to an hour per prediction versus a few minutes). 10 shortlisted × ~4 models × ~30 min each = ~20 hours of wall-time per experiment for the cross-model check. Non-trivial but manageable as a shortlist step.</w:t>
            </w:r>
          </w:p>
        </w:tc>
      </w:tr>
    </w:tbl>
    <w:p>
      <w:pPr>
        <w:pStyle w:val="Heading2"/>
        <w:spacing w:after="140" w:before="280"/>
      </w:pPr>
      <w:r>
        <w:rPr>
          <w:rFonts w:ascii="Calibri" w:cs="Calibri" w:eastAsia="Calibri" w:hAnsi="Calibri"/>
          <w:b/>
          <w:bCs/>
          <w:color w:val="1F3864"/>
          <w:sz w:val="26"/>
          <w:szCs w:val="26"/>
        </w:rPr>
        <w:t xml:space="preserve">7.5 Adaptive contamination-aware design generation</w:t>
      </w:r>
    </w:p>
    <w:p>
      <w:pPr>
        <w:spacing w:after="120" w:line="300"/>
        <w:jc w:val="both"/>
      </w:pPr>
      <w:r>
        <w:rPr>
          <w:rFonts w:ascii="Calibri" w:cs="Calibri" w:eastAsia="Calibri" w:hAnsi="Calibri"/>
          <w:sz w:val="22"/>
          <w:szCs w:val="22"/>
        </w:rPr>
        <w:t xml:space="preserve">Re-run the v4 design generator with an expanded protected set (true interface + second shell within 6 Å) to reduce the 100% contamination rate observed. Direct test of whether contamination can be reduced without sacrificing steering power. Expected cost: a fresh 30 × 3 Boltz run, ≈2 GPU-days. Orthogonal to metric choice but addresses the more immediate pipeline loss.</w:t>
      </w:r>
    </w:p>
    <w:p>
      <w:pPr>
        <w:pStyle w:val="Heading2"/>
        <w:spacing w:after="140" w:before="280"/>
      </w:pPr>
      <w:r>
        <w:rPr>
          <w:rFonts w:ascii="Calibri" w:cs="Calibri" w:eastAsia="Calibri" w:hAnsi="Calibri"/>
          <w:b/>
          <w:bCs/>
          <w:color w:val="1F3864"/>
          <w:sz w:val="26"/>
          <w:szCs w:val="26"/>
        </w:rPr>
        <w:t xml:space="preserve">7.6 Sensitivity of the composite score to its weight</w:t>
      </w:r>
    </w:p>
    <w:p>
      <w:pPr>
        <w:spacing w:after="120" w:line="300"/>
        <w:jc w:val="both"/>
      </w:pPr>
      <w:r>
        <w:rPr>
          <w:rFonts w:ascii="Calibri" w:cs="Calibri" w:eastAsia="Calibri" w:hAnsi="Calibri"/>
          <w:sz w:val="22"/>
          <w:szCs w:val="22"/>
        </w:rPr>
        <w:t xml:space="preserve">The proposed composite score true_jaccard − wrong_jaccard − 0.1 · ra_eff has three free parameters (the two coefficients plus the structural cutoff). Sweep the coefficients (e.g. ra_eff weight in {0.05, 0.1, 0.2, 0.5}; wrong_jaccard weight in {0.5, 1.0, 2.0}) and pick the combination that maximises Spearman correlation with the in-silico gold standard (DockQ once computed). Expected cost: purely post-processing. Produces a defensible, data-driven composite rather than a hand-tuned one.</w:t>
      </w:r>
    </w:p>
    <w:p>
      <w:pPr>
        <w:pStyle w:val="Heading2"/>
        <w:spacing w:after="140" w:before="280"/>
      </w:pPr>
      <w:r>
        <w:rPr>
          <w:rFonts w:ascii="Calibri" w:cs="Calibri" w:eastAsia="Calibri" w:hAnsi="Calibri"/>
          <w:b/>
          <w:bCs/>
          <w:color w:val="1F3864"/>
          <w:sz w:val="26"/>
          <w:szCs w:val="26"/>
        </w:rPr>
        <w:t xml:space="preserve">7.7 Design-generation diversity vs num_seeds tradeoff</w:t>
      </w:r>
    </w:p>
    <w:p>
      <w:pPr>
        <w:spacing w:after="120" w:line="300"/>
        <w:jc w:val="both"/>
      </w:pPr>
      <w:r>
        <w:rPr>
          <w:rFonts w:ascii="Calibri" w:cs="Calibri" w:eastAsia="Calibri" w:hAnsi="Calibri"/>
          <w:sz w:val="22"/>
          <w:szCs w:val="22"/>
        </w:rPr>
        <w:t xml:space="preserve">The v3-vs-v4 comparison in notes 8 is suggestive (100 × 1 caught design_24 but v4's 30 × 3 did not) but is not a controlled experiment because the two runs used different random seeds and different sequence populations. Run a controlled factorial: fixed 90 GPU-predictions, distributed as (90 × 1), (45 × 2), (30 × 3), (18 × 5), (9 × 10). Count clean survivors in each condition. This gives a quantitative answer to the exploration-versus-confidence tradeoff and tells the team the right default num_seeds. Expected cost: 4 × 90 = 360 Boltz predictions if all four non-trivial arms run, ≈7 GPU-days.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Superseded by deployment policy</w:t>
            </w:r>
          </w:p>
          <w:p>
            <w:pPr>
              <w:spacing w:after="80" w:line="280"/>
              <w:jc w:val="both"/>
            </w:pPr>
            <w:r>
              <w:rPr>
                <w:rFonts w:ascii="Calibri" w:cs="Calibri" w:eastAsia="Calibri" w:hAnsi="Calibri"/>
                <w:color w:val="4A2E00"/>
                <w:sz w:val="20"/>
                <w:szCs w:val="20"/>
              </w:rPr>
              <w:t xml:space="preserve">The budget reality in §0 resolves this: num_seeds=1 at the ranker stage, num_seeds=10 for the shortlist. The factorial experiment is not needed to settle production policy; it would only be informative if we were free to revisit the ranker-stage seed count, which we're not.</w:t>
            </w:r>
          </w:p>
        </w:tc>
      </w:tr>
    </w:tbl>
    <w:p>
      <w:pPr>
        <w:pStyle w:val="Heading1"/>
        <w:spacing w:after="160" w:before="360"/>
      </w:pPr>
      <w:r>
        <w:rPr>
          <w:rFonts w:ascii="Calibri" w:cs="Calibri" w:eastAsia="Calibri" w:hAnsi="Calibri"/>
          <w:b/>
          <w:bCs/>
          <w:color w:val="1F3864"/>
          <w:sz w:val="32"/>
          <w:szCs w:val="32"/>
        </w:rPr>
        <w:t xml:space="preserve">8. Wet-lab experiments to validate metric choices</w:t>
      </w:r>
    </w:p>
    <w:p>
      <w:pPr>
        <w:spacing w:after="120" w:line="300"/>
        <w:jc w:val="both"/>
      </w:pPr>
      <w:r>
        <w:rPr>
          <w:rFonts w:ascii="Calibri" w:cs="Calibri" w:eastAsia="Calibri" w:hAnsi="Calibri"/>
          <w:sz w:val="22"/>
          <w:szCs w:val="22"/>
        </w:rPr>
        <w:t xml:space="preserve">Computational benchmarks establish internal consistency but only experimental binding data closes the loop on "does this metric predict real binding?". The HMA-domain effector-recognition system has well-characterised experimental assays (agroinfiltration binding tests; HMA-domain ITC / BLI) that can be deployed for metric validation. Listed in order of information-per-effort.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Calibration deferred — move to multi-task testing first</w:t>
            </w:r>
          </w:p>
          <w:p>
            <w:pPr>
              <w:spacing w:after="80" w:line="280"/>
              <w:jc w:val="both"/>
            </w:pPr>
            <w:r>
              <w:rPr>
                <w:rFonts w:ascii="Calibri" w:cs="Calibri" w:eastAsia="Calibri" w:hAnsi="Calibri"/>
                <w:color w:val="4A2E00"/>
                <w:sz w:val="20"/>
                <w:szCs w:val="20"/>
              </w:rPr>
              <w:t xml:space="preserve">Per review, the immediate priority is </w:t>
            </w:r>
            <w:r>
              <w:rPr>
                <w:rFonts w:ascii="Calibri" w:cs="Calibri" w:eastAsia="Calibri" w:hAnsi="Calibri"/>
                <w:b/>
                <w:bCs/>
                <w:color w:val="4A2E00"/>
                <w:sz w:val="20"/>
                <w:szCs w:val="20"/>
              </w:rPr>
              <w:t xml:space="preserve">getting designs out across multiple protein pairs for characterisation in planta, </w:t>
            </w:r>
            <w:r>
              <w:rPr>
                <w:rFonts w:ascii="Calibri" w:cs="Calibri" w:eastAsia="Calibri" w:hAnsi="Calibri"/>
                <w:color w:val="4A2E00"/>
                <w:sz w:val="20"/>
                <w:szCs w:val="20"/>
              </w:rPr>
              <w:t xml:space="preserve">not running a metric-calibration dataset. The supervisor wants data flowing through the pipeline. This is a reasonable call: a metric-calibration dataset built on one or two design tasks' worth of wet-lab results would overfit to those tasks; waiting until there is multi-task wet-lab data produces a dataset that is actually calibration-quality.</w:t>
            </w:r>
          </w:p>
          <w:p>
            <w:pPr>
              <w:spacing w:after="80" w:line="280"/>
              <w:jc w:val="both"/>
            </w:pPr>
            <w:r>
              <w:rPr>
                <w:rFonts w:ascii="Calibri" w:cs="Calibri" w:eastAsia="Calibri" w:hAnsi="Calibri"/>
                <w:color w:val="4A2E00"/>
                <w:sz w:val="20"/>
                <w:szCs w:val="20"/>
              </w:rPr>
              <w:t xml:space="preserve">Revised priorities:</w:t>
            </w:r>
          </w:p>
          <w:p>
            <w:pPr>
              <w:pStyle w:val="ListParagraph"/>
              <w:numPr>
                <w:ilvl w:val="0"/>
                <w:numId w:val="2"/>
              </w:numPr>
              <w:spacing w:after="60" w:line="280"/>
              <w:jc w:val="left"/>
            </w:pPr>
            <w:r>
              <w:rPr>
                <w:rFonts w:ascii="Calibri" w:cs="Calibri" w:eastAsia="Calibri" w:hAnsi="Calibri"/>
                <w:b/>
                <w:bCs/>
                <w:color w:val="4A2E00"/>
                <w:sz w:val="20"/>
                <w:szCs w:val="20"/>
              </w:rPr>
              <w:t xml:space="preserve">Run multi-task production experiments first </w:t>
            </w:r>
            <w:r>
              <w:rPr>
                <w:rFonts w:ascii="Calibri" w:cs="Calibri" w:eastAsia="Calibri" w:hAnsi="Calibri"/>
                <w:color w:val="4A2E00"/>
                <w:sz w:val="20"/>
                <w:szCs w:val="20"/>
              </w:rPr>
              <w:t xml:space="preserve">(the immediate next step, using the current metric definitions with the §9-revised composite). Track which designs are selected, which are tested in planta, and which bind.</w:t>
            </w:r>
          </w:p>
          <w:p>
            <w:pPr>
              <w:pStyle w:val="ListParagraph"/>
              <w:numPr>
                <w:ilvl w:val="0"/>
                <w:numId w:val="2"/>
              </w:numPr>
              <w:spacing w:after="60" w:line="280"/>
              <w:jc w:val="left"/>
            </w:pPr>
            <w:r>
              <w:rPr>
                <w:rFonts w:ascii="Calibri" w:cs="Calibri" w:eastAsia="Calibri" w:hAnsi="Calibri"/>
                <w:b/>
                <w:bCs/>
                <w:color w:val="4A2E00"/>
                <w:sz w:val="20"/>
                <w:szCs w:val="20"/>
              </w:rPr>
              <w:t xml:space="preserve">Build the calibration dataset retrospectively </w:t>
            </w:r>
            <w:r>
              <w:rPr>
                <w:rFonts w:ascii="Calibri" w:cs="Calibri" w:eastAsia="Calibri" w:hAnsi="Calibri"/>
                <w:color w:val="4A2E00"/>
                <w:sz w:val="20"/>
                <w:szCs w:val="20"/>
              </w:rPr>
              <w:t xml:space="preserve">after ~3–5 tasks have produced wet-lab data. This is §8.3 of the first draft, deferred not dropped.</w:t>
            </w:r>
          </w:p>
          <w:p>
            <w:pPr>
              <w:pStyle w:val="ListParagraph"/>
              <w:numPr>
                <w:ilvl w:val="0"/>
                <w:numId w:val="2"/>
              </w:numPr>
              <w:spacing w:after="60" w:line="280"/>
              <w:jc w:val="left"/>
            </w:pPr>
            <w:r>
              <w:rPr>
                <w:rFonts w:ascii="Calibri" w:cs="Calibri" w:eastAsia="Calibri" w:hAnsi="Calibri"/>
                <w:b/>
                <w:bCs/>
                <w:color w:val="4A2E00"/>
                <w:sz w:val="20"/>
                <w:szCs w:val="20"/>
              </w:rPr>
              <w:t xml:space="preserve">Keep §8.4 (negative-control battery) on the roadmap </w:t>
            </w:r>
            <w:r>
              <w:rPr>
                <w:rFonts w:ascii="Calibri" w:cs="Calibri" w:eastAsia="Calibri" w:hAnsi="Calibri"/>
                <w:color w:val="4A2E00"/>
                <w:sz w:val="20"/>
                <w:szCs w:val="20"/>
              </w:rPr>
              <w:t xml:space="preserve">with one addition the reviewer already flagged: scrambled sequence and all-glycine-in-designed-region are cheap to add to every experiment's negative-control set.</w:t>
            </w:r>
          </w:p>
        </w:tc>
      </w:tr>
    </w:tbl>
    <w:p>
      <w:pPr>
        <w:pStyle w:val="Heading2"/>
        <w:spacing w:after="140" w:before="280"/>
      </w:pPr>
      <w:r>
        <w:rPr>
          <w:rFonts w:ascii="Calibri" w:cs="Calibri" w:eastAsia="Calibri" w:hAnsi="Calibri"/>
          <w:b/>
          <w:bCs/>
          <w:color w:val="1F3864"/>
          <w:sz w:val="26"/>
          <w:szCs w:val="26"/>
        </w:rPr>
        <w:t xml:space="preserve">8.1 Triage triplet: best / median / worst by composite score</w:t>
      </w:r>
    </w:p>
    <w:p>
      <w:pPr>
        <w:spacing w:after="120" w:line="300"/>
        <w:jc w:val="both"/>
      </w:pPr>
      <w:r>
        <w:rPr>
          <w:rFonts w:ascii="Calibri" w:cs="Calibri" w:eastAsia="Calibri" w:hAnsi="Calibri"/>
          <w:sz w:val="22"/>
          <w:szCs w:val="22"/>
        </w:rPr>
        <w:t xml:space="preserve">For the first wet-lab round, pick three designs from the v4 passing set: the best-ranked by the proposed composite, the median-ranked, and the worst-ranked that still passes all filters. If the composite is a useful ranker, the best should bind, the worst should not (or bind worse), and the median should be intermediate. Three constructs is a cheap experiment and the result is directly informative about whether the composite score has predictive power. A key design note: also express the wild-type MPNN receptor as a negative control. If the wild-type binds (which it should not, per design intent), the entire pipeline's premise is wrong. If the wild-type does not bind but the best design does, the steering approach is validated at the affinity level.</w:t>
      </w:r>
    </w:p>
    <w:p>
      <w:pPr>
        <w:pStyle w:val="Heading2"/>
        <w:spacing w:after="140" w:before="280"/>
      </w:pPr>
      <w:r>
        <w:rPr>
          <w:rFonts w:ascii="Calibri" w:cs="Calibri" w:eastAsia="Calibri" w:hAnsi="Calibri"/>
          <w:b/>
          <w:bCs/>
          <w:color w:val="1F3864"/>
          <w:sz w:val="26"/>
          <w:szCs w:val="26"/>
        </w:rPr>
        <w:t xml:space="preserve">8.2 Contamination-reliance stress test</w:t>
      </w:r>
    </w:p>
    <w:p>
      <w:pPr>
        <w:spacing w:after="120" w:line="300"/>
        <w:jc w:val="both"/>
      </w:pPr>
      <w:r>
        <w:rPr>
          <w:rFonts w:ascii="Calibri" w:cs="Calibri" w:eastAsia="Calibri" w:hAnsi="Calibri"/>
          <w:sz w:val="22"/>
          <w:szCs w:val="22"/>
        </w:rPr>
        <w:t xml:space="preserve">Take the best design from the composite ranking (call it design_24-like) and also express two controls: (a) the wild-type MPNN receptor, and (b) a reversion-to-wild-type variant where every steering mutation is undone. If the designed construct binds in planta but the reversion-to-WT does not, the test confirms that the mutations themselves are necessary and the design is genuinely doing work. If the design and reversion both bind, the design is an MPNN-sequence win rather than a steering win, and the pipeline's steering contribution is over-claimed. This is the single most important experiment for establishing that the pipeline produces real binders rather than computational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Retracted — this experiment is conceptually confused</w:t>
            </w:r>
          </w:p>
          <w:p>
            <w:pPr>
              <w:spacing w:after="80" w:line="280"/>
              <w:jc w:val="both"/>
            </w:pPr>
            <w:r>
              <w:rPr>
                <w:rFonts w:ascii="Calibri" w:cs="Calibri" w:eastAsia="Calibri" w:hAnsi="Calibri"/>
                <w:b/>
                <w:bCs/>
                <w:color w:val="4A2E00"/>
                <w:sz w:val="20"/>
                <w:szCs w:val="20"/>
              </w:rPr>
              <w:t xml:space="preserve">The reviewer is right that this experiment doesn't make sense. </w:t>
            </w:r>
            <w:r>
              <w:rPr>
                <w:rFonts w:ascii="Calibri" w:cs="Calibri" w:eastAsia="Calibri" w:hAnsi="Calibri"/>
                <w:color w:val="4A2E00"/>
                <w:sz w:val="20"/>
                <w:szCs w:val="20"/>
              </w:rPr>
              <w:t xml:space="preserve">In the pipeline as designed, </w:t>
            </w:r>
            <w:r>
              <w:rPr>
                <w:rFonts w:ascii="Calibri" w:cs="Calibri" w:eastAsia="Calibri" w:hAnsi="Calibri"/>
                <w:i/>
                <w:iCs/>
                <w:color w:val="4A2E00"/>
                <w:sz w:val="20"/>
                <w:szCs w:val="20"/>
              </w:rPr>
              <w:t xml:space="preserve">the steering mutations are not carried forward into the wet-lab construct. </w:t>
            </w:r>
            <w:r>
              <w:rPr>
                <w:rFonts w:ascii="Calibri" w:cs="Calibri" w:eastAsia="Calibri" w:hAnsi="Calibri"/>
                <w:color w:val="4A2E00"/>
                <w:sz w:val="20"/>
                <w:szCs w:val="20"/>
              </w:rPr>
              <w:t xml:space="preserve"> The wet-lab construct is the unmodified ProteinMPNN receptor. The steering mutations exist only to convince Boltz-2 to predict the designed interface; they are a computational tool, not part of the molecule.</w:t>
            </w:r>
          </w:p>
          <w:p>
            <w:pPr>
              <w:spacing w:after="80" w:line="280"/>
              <w:jc w:val="both"/>
            </w:pPr>
            <w:r>
              <w:rPr>
                <w:rFonts w:ascii="Calibri" w:cs="Calibri" w:eastAsia="Calibri" w:hAnsi="Calibri"/>
                <w:b/>
                <w:bCs/>
                <w:color w:val="4A2E00"/>
                <w:sz w:val="20"/>
                <w:szCs w:val="20"/>
              </w:rPr>
              <w:t xml:space="preserve">So the "reversion-to-WT" and "WT MPNN receptor" controls are the same thing: </w:t>
            </w:r>
            <w:r>
              <w:rPr>
                <w:rFonts w:ascii="Calibri" w:cs="Calibri" w:eastAsia="Calibri" w:hAnsi="Calibri"/>
                <w:color w:val="4A2E00"/>
                <w:sz w:val="20"/>
                <w:szCs w:val="20"/>
              </w:rPr>
              <w:t xml:space="preserve">both are the unmodified MPNN sequence. Testing "WT" versus "reversion-to-WT" is testing the same construct twice. The test cannot distinguish a steering-driven win from an MPNN-sequence-driven win because no steered sequence ever enters the wet lab.</w:t>
            </w:r>
          </w:p>
          <w:p>
            <w:pPr>
              <w:spacing w:after="80" w:line="280"/>
              <w:jc w:val="both"/>
            </w:pPr>
            <w:r>
              <w:rPr>
                <w:rFonts w:ascii="Calibri" w:cs="Calibri" w:eastAsia="Calibri" w:hAnsi="Calibri"/>
                <w:b/>
                <w:bCs/>
                <w:color w:val="4A2E00"/>
                <w:sz w:val="20"/>
                <w:szCs w:val="20"/>
              </w:rPr>
              <w:t xml:space="preserve">What should replace §8.2: </w:t>
            </w:r>
            <w:r>
              <w:rPr>
                <w:rFonts w:ascii="Calibri" w:cs="Calibri" w:eastAsia="Calibri" w:hAnsi="Calibri"/>
                <w:color w:val="4A2E00"/>
                <w:sz w:val="20"/>
                <w:szCs w:val="20"/>
              </w:rPr>
              <w:t xml:space="preserve">an </w:t>
            </w:r>
            <w:r>
              <w:rPr>
                <w:rFonts w:ascii="Calibri" w:cs="Calibri" w:eastAsia="Calibri" w:hAnsi="Calibri"/>
                <w:i/>
                <w:iCs/>
                <w:color w:val="4A2E00"/>
                <w:sz w:val="20"/>
                <w:szCs w:val="20"/>
              </w:rPr>
              <w:t xml:space="preserve">alanine scan of the designed interface residues, </w:t>
            </w:r>
            <w:r>
              <w:rPr>
                <w:rFonts w:ascii="Calibri" w:cs="Calibri" w:eastAsia="Calibri" w:hAnsi="Calibri"/>
                <w:color w:val="4A2E00"/>
                <w:sz w:val="20"/>
                <w:szCs w:val="20"/>
              </w:rPr>
              <w:t xml:space="preserve">as the reviewer suggests. For a shortlisted design, express the WT MPNN construct alongside a set of alanine mutants at the predicted designed-interface positions, and use co-IP or affinity measurement to verify that those specific residues are load-bearing for binding. This is much cheaper than crystallography and directly tests the claim that the designed interface is the actual binding interface. It also generates a per-residue contribution map that can feed back into future design rounds.</w:t>
            </w:r>
          </w:p>
          <w:p>
            <w:pPr>
              <w:spacing w:after="80" w:line="280"/>
              <w:jc w:val="both"/>
            </w:pPr>
            <w:r>
              <w:rPr>
                <w:rFonts w:ascii="Calibri" w:cs="Calibri" w:eastAsia="Calibri" w:hAnsi="Calibri"/>
                <w:b/>
                <w:bCs/>
                <w:color w:val="4A2E00"/>
                <w:sz w:val="20"/>
                <w:szCs w:val="20"/>
              </w:rPr>
              <w:t xml:space="preserve">Revised §8.2: </w:t>
            </w:r>
            <w:r>
              <w:rPr>
                <w:rFonts w:ascii="Calibri" w:cs="Calibri" w:eastAsia="Calibri" w:hAnsi="Calibri"/>
                <w:color w:val="4A2E00"/>
                <w:sz w:val="20"/>
                <w:szCs w:val="20"/>
              </w:rPr>
              <w:t xml:space="preserve">Alanine scan of the designed interface on the shortlisted WT-MPNN construct. Co-IP readout. ~10–15 mutants per shortlisted design; batchable across the top-3 of any given experiment.</w:t>
            </w:r>
          </w:p>
        </w:tc>
      </w:tr>
    </w:tbl>
    <w:p>
      <w:pPr>
        <w:pStyle w:val="Heading2"/>
        <w:spacing w:after="140" w:before="280"/>
      </w:pPr>
      <w:r>
        <w:rPr>
          <w:rFonts w:ascii="Calibri" w:cs="Calibri" w:eastAsia="Calibri" w:hAnsi="Calibri"/>
          <w:b/>
          <w:bCs/>
          <w:color w:val="1F3864"/>
          <w:sz w:val="26"/>
          <w:szCs w:val="26"/>
        </w:rPr>
        <w:t xml:space="preserve">8.3 Calibration dataset: 10 designs across a metric range</w:t>
      </w:r>
    </w:p>
    <w:p>
      <w:pPr>
        <w:spacing w:after="120" w:line="300"/>
        <w:jc w:val="both"/>
      </w:pPr>
      <w:r>
        <w:rPr>
          <w:rFonts w:ascii="Calibri" w:cs="Calibri" w:eastAsia="Calibri" w:hAnsi="Calibri"/>
          <w:sz w:val="22"/>
          <w:szCs w:val="22"/>
        </w:rPr>
        <w:t xml:space="preserve">Pick 10 designs spanning the ipSAE range (say 0.2 to 0.9) and a range of ra_eff values (say 2–10 Å), express them all, measure binding affinity by BLI or ITC. This generates a small in-house calibration dataset analogous to Overath et al. 2025 but specific to the NLR-HMA system. Three uses: (1) establish which single metric best correlates with experimental Kd on this system; (2) fit a target-specific weighted composite; (3) identify designs that the metrics wrongly flagged (false positives) and (false negatives) for pipeline improvement. Roughly one month of wet-lab work, produces data that would directly inform a publication of the method.</w:t>
      </w:r>
    </w:p>
    <w:p>
      <w:pPr>
        <w:pStyle w:val="Heading2"/>
        <w:spacing w:after="140" w:before="280"/>
      </w:pPr>
      <w:r>
        <w:rPr>
          <w:rFonts w:ascii="Calibri" w:cs="Calibri" w:eastAsia="Calibri" w:hAnsi="Calibri"/>
          <w:b/>
          <w:bCs/>
          <w:color w:val="1F3864"/>
          <w:sz w:val="26"/>
          <w:szCs w:val="26"/>
        </w:rPr>
        <w:t xml:space="preserve">8.4 Negative control battery</w:t>
      </w:r>
    </w:p>
    <w:p>
      <w:pPr>
        <w:spacing w:after="120" w:line="300"/>
        <w:jc w:val="both"/>
      </w:pPr>
      <w:r>
        <w:rPr>
          <w:rFonts w:ascii="Calibri" w:cs="Calibri" w:eastAsia="Calibri" w:hAnsi="Calibri"/>
          <w:sz w:val="22"/>
          <w:szCs w:val="22"/>
        </w:rPr>
        <w:t xml:space="preserve">Express the following negative controls alongside any positive set: (a) the wild-type MPNN receptor, (b) a random-sequence receptor of matched length, (c) three RFDiffusion backbones with known-bad MPNN sequences (e.g. all-glycine de novo region or scrambled sequence). None should bind. If any does, Boltz is systematically predicting binding for sequences that should not bind, and the pipeline's hit rate needs to be corrected downward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Reviewer will implement the scrambled / poly-glycine controls</w:t>
            </w:r>
          </w:p>
          <w:p>
            <w:pPr>
              <w:spacing w:after="80" w:line="280"/>
              <w:jc w:val="both"/>
            </w:pPr>
            <w:r>
              <w:rPr>
                <w:rFonts w:ascii="Calibri" w:cs="Calibri" w:eastAsia="Calibri" w:hAnsi="Calibri"/>
                <w:color w:val="4A2E00"/>
                <w:sz w:val="20"/>
                <w:szCs w:val="20"/>
              </w:rPr>
              <w:t xml:space="preserve">These are cheap (one Boltz call each per experiment, no additional wet-lab constructs if they are used purely as in-silico negative controls). Per review, implementation is on the near-term roadmap. A failed scrambled-sequence prediction (i.e. one that produces high ipSAE or low ra_eff on a sequence that should not bind) would be a strong signal that the whole ranking system is biased and the thresholds need tightening.</w:t>
            </w:r>
          </w:p>
        </w:tc>
      </w:tr>
    </w:tbl>
    <w:p>
      <w:pPr>
        <w:pStyle w:val="Heading2"/>
        <w:spacing w:after="140" w:before="280"/>
      </w:pPr>
      <w:r>
        <w:rPr>
          <w:rFonts w:ascii="Calibri" w:cs="Calibri" w:eastAsia="Calibri" w:hAnsi="Calibri"/>
          <w:b/>
          <w:bCs/>
          <w:color w:val="1F3864"/>
          <w:sz w:val="26"/>
          <w:szCs w:val="26"/>
        </w:rPr>
        <w:t xml:space="preserve">8.5 Structural validation by cryo-EM or X-ray</w:t>
      </w:r>
    </w:p>
    <w:p>
      <w:pPr>
        <w:spacing w:after="120" w:line="300"/>
        <w:jc w:val="both"/>
      </w:pPr>
      <w:r>
        <w:rPr>
          <w:rFonts w:ascii="Calibri" w:cs="Calibri" w:eastAsia="Calibri" w:hAnsi="Calibri"/>
          <w:sz w:val="22"/>
          <w:szCs w:val="22"/>
        </w:rPr>
        <w:t xml:space="preserve">For the top 1–2 validated binders, solve the co-crystal structure (or cryo-EM). Compare the observed interface against the pipeline's predicted interface. If the observed interface matches the designed one, the pipeline's structure predictions are accurate and metrics can be trusted; if the observed interface is different but binding is strong, the pipeline is finding binders by luck rather than by design and the confidence metrics should be interpreted accordingly. Expensive but definitive.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Retracted — crystallography is too expensive for a dataset of this size</w:t>
            </w:r>
          </w:p>
          <w:p>
            <w:pPr>
              <w:spacing w:after="80" w:line="280"/>
              <w:jc w:val="both"/>
            </w:pPr>
            <w:r>
              <w:rPr>
                <w:rFonts w:ascii="Calibri" w:cs="Calibri" w:eastAsia="Calibri" w:hAnsi="Calibri"/>
                <w:color w:val="4A2E00"/>
                <w:sz w:val="20"/>
                <w:szCs w:val="20"/>
              </w:rPr>
              <w:t xml:space="preserve">Per review, crystallography is </w:t>
            </w:r>
            <w:r>
              <w:rPr>
                <w:rFonts w:ascii="Calibri" w:cs="Calibri" w:eastAsia="Calibri" w:hAnsi="Calibri"/>
                <w:i/>
                <w:iCs/>
                <w:color w:val="4A2E00"/>
                <w:sz w:val="20"/>
                <w:szCs w:val="20"/>
              </w:rPr>
              <w:t xml:space="preserve">not </w:t>
            </w:r>
            <w:r>
              <w:rPr>
                <w:rFonts w:ascii="Calibri" w:cs="Calibri" w:eastAsia="Calibri" w:hAnsi="Calibri"/>
                <w:color w:val="4A2E00"/>
                <w:sz w:val="20"/>
                <w:szCs w:val="20"/>
              </w:rPr>
              <w:t xml:space="preserve">a good use of effort at this stage. 1–2 structures is not statistically meaningful, each one costs months of wet-lab time and ~£50k in reagents/beam-time, and the alanine scan + co-IP approach in the revised §8.2 gives a better cost/information ratio for the "is the designed interface the real one?" question.</w:t>
            </w:r>
          </w:p>
          <w:p>
            <w:pPr>
              <w:spacing w:after="80" w:line="280"/>
              <w:jc w:val="both"/>
            </w:pPr>
            <w:r>
              <w:rPr>
                <w:rFonts w:ascii="Calibri" w:cs="Calibri" w:eastAsia="Calibri" w:hAnsi="Calibri"/>
                <w:b/>
                <w:bCs/>
                <w:color w:val="4A2E00"/>
                <w:sz w:val="20"/>
                <w:szCs w:val="20"/>
              </w:rPr>
              <w:t xml:space="preserve">Revised: </w:t>
            </w:r>
            <w:r>
              <w:rPr>
                <w:rFonts w:ascii="Calibri" w:cs="Calibri" w:eastAsia="Calibri" w:hAnsi="Calibri"/>
                <w:color w:val="4A2E00"/>
                <w:sz w:val="20"/>
                <w:szCs w:val="20"/>
              </w:rPr>
              <w:t xml:space="preserve">structural validation is deferred indefinitely. The alanine-scan result is the informative experiment at this stage.</w:t>
            </w:r>
          </w:p>
        </w:tc>
      </w:tr>
    </w:tbl>
    <w:p>
      <w:pPr>
        <w:pStyle w:val="Heading2"/>
        <w:spacing w:after="140" w:before="280"/>
      </w:pPr>
      <w:r>
        <w:rPr>
          <w:rFonts w:ascii="Calibri" w:cs="Calibri" w:eastAsia="Calibri" w:hAnsi="Calibri"/>
          <w:b/>
          <w:bCs/>
          <w:color w:val="1F3864"/>
          <w:sz w:val="26"/>
          <w:szCs w:val="26"/>
        </w:rPr>
        <w:t xml:space="preserve">8.6 Screening-scale validation</w:t>
      </w:r>
    </w:p>
    <w:p>
      <w:pPr>
        <w:spacing w:after="120" w:line="300"/>
        <w:jc w:val="both"/>
      </w:pPr>
      <w:r>
        <w:rPr>
          <w:rFonts w:ascii="Calibri" w:cs="Calibri" w:eastAsia="Calibri" w:hAnsi="Calibri"/>
          <w:sz w:val="22"/>
          <w:szCs w:val="22"/>
        </w:rPr>
        <w:t xml:space="preserve">If the triage triplet in §8.1 and the calibration set in §8.3 both succeed, scale to 96-well yeast-display screening of, say, 50 designs spanning the full composite score distribution. This is the approach used in Bennett et al. 2023 and in the antibody-design follow-up (Bennett et al. Nature 2025). Yeast display gives a per-design binary binder/non-binder readout that is directly usable as ground truth for ROC analysis of the pipeline metrics. Target: 50 designs → 50 binding tests → ROC curve of the composite score and ipSAE against experimental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Plant-assay-based screening, not yeast display</w:t>
            </w:r>
          </w:p>
          <w:p>
            <w:pPr>
              <w:spacing w:after="80" w:line="280"/>
              <w:jc w:val="both"/>
            </w:pPr>
            <w:r>
              <w:rPr>
                <w:rFonts w:ascii="Calibri" w:cs="Calibri" w:eastAsia="Calibri" w:hAnsi="Calibri"/>
                <w:color w:val="4A2E00"/>
                <w:sz w:val="20"/>
                <w:szCs w:val="20"/>
              </w:rPr>
              <w:t xml:space="preserve">For plant immune protein design, the relevant screen is agroinfiltration-based in planta assays (or protoplast / transient-expression assays at smaller scale), not yeast surface display. Yeast display is the canonical throughput assay for therapeutic antibody/binder campaigns but does not recapitulate the plant-cell environment the designed NLR-HMAs operate in. The reviewer has access to agroinfiltration; that is the screening format to build around, at whatever throughput is sustainable.</w:t>
            </w:r>
          </w:p>
        </w:tc>
      </w:tr>
    </w:tbl>
    <w:p>
      <w:pPr>
        <w:pStyle w:val="Heading1"/>
        <w:spacing w:after="160" w:before="360"/>
      </w:pPr>
      <w:r>
        <w:rPr>
          <w:rFonts w:ascii="Calibri" w:cs="Calibri" w:eastAsia="Calibri" w:hAnsi="Calibri"/>
          <w:b/>
          <w:bCs/>
          <w:color w:val="1F3864"/>
          <w:sz w:val="32"/>
          <w:szCs w:val="32"/>
        </w:rPr>
        <w:t xml:space="preserve">9. Concrete recommendations (revised per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Revised recommendation summary</w:t>
            </w:r>
          </w:p>
          <w:p>
            <w:pPr>
              <w:spacing w:after="80" w:line="280"/>
              <w:jc w:val="both"/>
            </w:pPr>
            <w:r>
              <w:rPr>
                <w:rFonts w:ascii="Calibri" w:cs="Calibri" w:eastAsia="Calibri" w:hAnsi="Calibri"/>
                <w:color w:val="4A2E00"/>
                <w:sz w:val="20"/>
                <w:szCs w:val="20"/>
              </w:rPr>
              <w:t xml:space="preserve">The first-draft §9 is preserved below for reference. The material changes in the revised version:</w:t>
            </w:r>
          </w:p>
          <w:p>
            <w:pPr>
              <w:pStyle w:val="ListParagraph"/>
              <w:numPr>
                <w:ilvl w:val="0"/>
                <w:numId w:val="2"/>
              </w:numPr>
              <w:spacing w:after="60" w:line="280"/>
              <w:jc w:val="left"/>
            </w:pPr>
            <w:r>
              <w:rPr>
                <w:rFonts w:ascii="Calibri" w:cs="Calibri" w:eastAsia="Calibri" w:hAnsi="Calibri"/>
                <w:color w:val="4A2E00"/>
                <w:sz w:val="20"/>
                <w:szCs w:val="20"/>
              </w:rPr>
              <w:t xml:space="preserve">Primary ranker simplified to true_jaccard − 0.05 · ra_eff (wrong_jaccard dropped).</w:t>
            </w:r>
          </w:p>
          <w:p>
            <w:pPr>
              <w:pStyle w:val="ListParagraph"/>
              <w:numPr>
                <w:ilvl w:val="0"/>
                <w:numId w:val="2"/>
              </w:numPr>
              <w:spacing w:after="60" w:line="280"/>
              <w:jc w:val="left"/>
            </w:pPr>
            <w:r>
              <w:rPr>
                <w:rFonts w:ascii="Calibri" w:cs="Calibri" w:eastAsia="Calibri" w:hAnsi="Calibri"/>
                <w:color w:val="4A2E00"/>
                <w:sz w:val="20"/>
                <w:szCs w:val="20"/>
              </w:rPr>
              <w:t xml:space="preserve">ra_eff coefficient reduced from 0.1 to 0.05 — it gates the 30 Å outliers, not fine-grained positioning.</w:t>
            </w:r>
          </w:p>
          <w:p>
            <w:pPr>
              <w:pStyle w:val="ListParagraph"/>
              <w:numPr>
                <w:ilvl w:val="0"/>
                <w:numId w:val="2"/>
              </w:numPr>
              <w:spacing w:after="60" w:line="280"/>
              <w:jc w:val="left"/>
            </w:pPr>
            <w:r>
              <w:rPr>
                <w:rFonts w:ascii="Calibri" w:cs="Calibri" w:eastAsia="Calibri" w:hAnsi="Calibri"/>
                <w:color w:val="4A2E00"/>
                <w:sz w:val="20"/>
                <w:szCs w:val="20"/>
              </w:rPr>
              <w:t xml:space="preserve">Single-seed operation at the ranker stage; multi-seed reserved for the shortlist via submit_final_validation.sh.</w:t>
            </w:r>
          </w:p>
          <w:p>
            <w:pPr>
              <w:pStyle w:val="ListParagraph"/>
              <w:numPr>
                <w:ilvl w:val="0"/>
                <w:numId w:val="2"/>
              </w:numPr>
              <w:spacing w:after="60" w:line="280"/>
              <w:jc w:val="left"/>
            </w:pPr>
            <w:r>
              <w:rPr>
                <w:rFonts w:ascii="Calibri" w:cs="Calibri" w:eastAsia="Calibri" w:hAnsi="Calibri"/>
                <w:color w:val="4A2E00"/>
                <w:sz w:val="20"/>
                <w:szCs w:val="20"/>
              </w:rPr>
              <w:t xml:space="preserve">Orthogonal metrics (BSA, Sc, Rosetta ΔΔG, DockQ) are post-ranker steps on the shortlist of ~10, not on all 100.</w:t>
            </w:r>
          </w:p>
          <w:p>
            <w:pPr>
              <w:pStyle w:val="ListParagraph"/>
              <w:numPr>
                <w:ilvl w:val="0"/>
                <w:numId w:val="2"/>
              </w:numPr>
              <w:spacing w:after="60" w:line="280"/>
              <w:jc w:val="left"/>
            </w:pPr>
            <w:r>
              <w:rPr>
                <w:rFonts w:ascii="Calibri" w:cs="Calibri" w:eastAsia="Calibri" w:hAnsi="Calibri"/>
                <w:color w:val="4A2E00"/>
                <w:sz w:val="20"/>
                <w:szCs w:val="20"/>
              </w:rPr>
              <w:t xml:space="preserve">Scrambled-sequence and all-glycine-in-designed-region added as cheap in-silico negative controls per experiment.</w:t>
            </w:r>
          </w:p>
          <w:p>
            <w:pPr>
              <w:pStyle w:val="ListParagraph"/>
              <w:numPr>
                <w:ilvl w:val="0"/>
                <w:numId w:val="2"/>
              </w:numPr>
              <w:spacing w:after="60" w:line="280"/>
              <w:jc w:val="left"/>
            </w:pPr>
            <w:r>
              <w:rPr>
                <w:rFonts w:ascii="Calibri" w:cs="Calibri" w:eastAsia="Calibri" w:hAnsi="Calibri"/>
                <w:color w:val="4A2E00"/>
                <w:sz w:val="20"/>
                <w:szCs w:val="20"/>
              </w:rPr>
              <w:t xml:space="preserve">Contamination fix via expanded protected-set Cα cutoff is a prerequisite to any further metric work, since it determines the size of the candidate pool the ranker is selecting from.</w:t>
            </w:r>
          </w:p>
        </w:tc>
      </w:tr>
    </w:tbl>
    <w:p>
      <w:pPr>
        <w:pStyle w:val="Heading2"/>
        <w:spacing w:after="140" w:before="280"/>
      </w:pPr>
      <w:r>
        <w:rPr>
          <w:rFonts w:ascii="Calibri" w:cs="Calibri" w:eastAsia="Calibri" w:hAnsi="Calibri"/>
          <w:b/>
          <w:bCs/>
          <w:color w:val="1F3864"/>
          <w:sz w:val="26"/>
          <w:szCs w:val="26"/>
        </w:rPr>
        <w:t xml:space="preserve">9.0 Revised primary ranker</w:t>
      </w:r>
    </w:p>
    <w:p>
      <w:pPr>
        <w:spacing w:after="160" w:before="160"/>
        <w:jc w:val="center"/>
      </w:pPr>
      <w:r>
        <w:rPr>
          <w:rFonts w:ascii="Cambria Math" w:cs="Cambria Math" w:eastAsia="Cambria Math" w:hAnsi="Cambria Math"/>
          <w:b/>
          <w:bCs/>
          <w:i/>
          <w:iCs/>
          <w:sz w:val="26"/>
          <w:szCs w:val="26"/>
        </w:rPr>
        <w:t xml:space="preserve">Score = true_jaccard − 0.05 × ra_eff_vs_truth</w:t>
      </w:r>
    </w:p>
    <w:p>
      <w:pPr>
        <w:spacing w:after="120" w:line="300"/>
        <w:jc w:val="both"/>
      </w:pPr>
      <w:r>
        <w:rPr>
          <w:rFonts w:ascii="Calibri" w:cs="Calibri" w:eastAsia="Calibri" w:hAnsi="Calibri"/>
          <w:sz w:val="22"/>
          <w:szCs w:val="22"/>
        </w:rPr>
        <w:t xml:space="preserve">Higher is better. Operated on single-seed output from the steering pipeline. Rationale:</w:t>
      </w:r>
    </w:p>
    <w:p>
      <w:pPr>
        <w:pStyle w:val="ListParagraph"/>
        <w:numPr>
          <w:ilvl w:val="0"/>
          <w:numId w:val="3"/>
        </w:numPr>
        <w:spacing w:after="80" w:line="280"/>
      </w:pPr>
      <w:r>
        <w:rPr>
          <w:rFonts w:ascii="Calibri" w:cs="Calibri" w:eastAsia="Calibri" w:hAnsi="Calibri"/>
          <w:sz w:val="22"/>
          <w:szCs w:val="22"/>
        </w:rPr>
        <w:t xml:space="preserve">true_jaccard is an fnat-equivalent metric — fraction of designed interface residues preserved. Cohen's d = +1.58 between correct and wrong interface on v4.</w:t>
      </w:r>
    </w:p>
    <w:p>
      <w:pPr>
        <w:pStyle w:val="ListParagraph"/>
        <w:numPr>
          <w:ilvl w:val="0"/>
          <w:numId w:val="3"/>
        </w:numPr>
        <w:spacing w:after="80" w:line="280"/>
      </w:pPr>
      <w:r>
        <w:rPr>
          <w:rFonts w:ascii="Calibri" w:cs="Calibri" w:eastAsia="Calibri" w:hAnsi="Calibri"/>
          <w:sz w:val="22"/>
          <w:szCs w:val="22"/>
        </w:rPr>
        <w:t xml:space="preserve">ra_eff enters with a small (0.05) weight to penalise wrong-interface outliers (30 Å) without spuriously distinguishing 2.2 Å from 2.7 Å, which is inside the Boltz-2 noise floor and below RFDiffusion's positional fidelity.</w:t>
      </w:r>
    </w:p>
    <w:p>
      <w:pPr>
        <w:pStyle w:val="ListParagraph"/>
        <w:numPr>
          <w:ilvl w:val="0"/>
          <w:numId w:val="3"/>
        </w:numPr>
        <w:spacing w:after="80" w:line="280"/>
      </w:pPr>
      <w:r>
        <w:rPr>
          <w:rFonts w:ascii="Calibri" w:cs="Calibri" w:eastAsia="Calibri" w:hAnsi="Calibri"/>
          <w:sz w:val="22"/>
          <w:szCs w:val="22"/>
        </w:rPr>
        <w:t xml:space="preserve">wrong_jaccard is dropped because on small receptors the wrong and right interfaces can share boundary residues; subtracting wrong_jaccard penalises correct designs whose interfaces touch the decoy face.</w:t>
      </w:r>
    </w:p>
    <w:p>
      <w:pPr>
        <w:pStyle w:val="ListParagraph"/>
        <w:numPr>
          <w:ilvl w:val="0"/>
          <w:numId w:val="3"/>
        </w:numPr>
        <w:spacing w:after="80" w:line="280"/>
      </w:pPr>
      <w:r>
        <w:rPr>
          <w:rFonts w:ascii="Calibri" w:cs="Calibri" w:eastAsia="Calibri" w:hAnsi="Calibri"/>
          <w:sz w:val="22"/>
          <w:szCs w:val="22"/>
        </w:rPr>
        <w:t xml:space="preserve">ipSAE, iPTM, complex_plddt, actifptm stay as filter and reporting columns only. Not in the ranker.</w:t>
      </w:r>
    </w:p>
    <w:p>
      <w:pPr>
        <w:pStyle w:val="Heading2"/>
        <w:spacing w:after="140" w:before="280"/>
      </w:pPr>
      <w:r>
        <w:rPr>
          <w:rFonts w:ascii="Calibri" w:cs="Calibri" w:eastAsia="Calibri" w:hAnsi="Calibri"/>
          <w:b/>
          <w:bCs/>
          <w:color w:val="1F3864"/>
          <w:sz w:val="26"/>
          <w:szCs w:val="26"/>
        </w:rPr>
        <w:t xml:space="preserve">9.1 (original) Primary ranker — superseded by 9.0</w:t>
      </w:r>
    </w:p>
    <w:p>
      <w:pPr>
        <w:spacing w:after="120" w:line="300"/>
        <w:jc w:val="both"/>
      </w:pPr>
      <w:r>
        <w:rPr>
          <w:rFonts w:ascii="Calibri" w:cs="Calibri" w:eastAsia="Calibri" w:hAnsi="Calibri"/>
          <w:sz w:val="22"/>
          <w:szCs w:val="22"/>
        </w:rPr>
        <w:t xml:space="preserve">For surviving designs (post-filter, post-reversion), rank by the following composite, computed as a median across at least three independent seeds:</w:t>
      </w:r>
    </w:p>
    <w:p>
      <w:pPr>
        <w:spacing w:after="160" w:before="160"/>
        <w:jc w:val="center"/>
      </w:pPr>
      <w:r>
        <w:rPr>
          <w:rFonts w:ascii="Cambria Math" w:cs="Cambria Math" w:eastAsia="Cambria Math" w:hAnsi="Cambria Math"/>
          <w:b/>
          <w:bCs/>
          <w:i/>
          <w:iCs/>
          <w:strike/>
          <w:sz w:val="26"/>
          <w:szCs w:val="26"/>
        </w:rPr>
        <w:t xml:space="preserve">Score = true_jaccard − wrong_jaccard − 0.1 × ra_eff_vs_truth</w:t>
      </w:r>
    </w:p>
    <w:p>
      <w:pPr>
        <w:spacing w:after="120" w:line="300"/>
        <w:jc w:val="both"/>
      </w:pPr>
      <w:r>
        <w:rPr>
          <w:rFonts w:ascii="Calibri" w:cs="Calibri" w:eastAsia="Calibri" w:hAnsi="Calibri"/>
          <w:sz w:val="22"/>
          <w:szCs w:val="22"/>
        </w:rPr>
        <w:t xml:space="preserve">(The strike-through is intentional — this is the superseded version. See §9.0.)</w:t>
      </w:r>
    </w:p>
    <w:p>
      <w:pPr>
        <w:pStyle w:val="Heading2"/>
        <w:spacing w:after="140" w:before="280"/>
      </w:pPr>
      <w:r>
        <w:rPr>
          <w:rFonts w:ascii="Calibri" w:cs="Calibri" w:eastAsia="Calibri" w:hAnsi="Calibri"/>
          <w:b/>
          <w:bCs/>
          <w:color w:val="1F3864"/>
          <w:sz w:val="26"/>
          <w:szCs w:val="26"/>
        </w:rPr>
        <w:t xml:space="preserve">9.2 Pass/fail filters</w:t>
      </w:r>
    </w:p>
    <w:p>
      <w:pPr>
        <w:spacing w:after="120" w:line="300"/>
        <w:jc w:val="both"/>
      </w:pPr>
      <w:r>
        <w:rPr>
          <w:rFonts w:ascii="Calibri" w:cs="Calibri" w:eastAsia="Calibri" w:hAnsi="Calibri"/>
          <w:sz w:val="22"/>
          <w:szCs w:val="22"/>
        </w:rPr>
        <w:t xml:space="preserve">Use confidence metrics as permissive filters that rule out pathologically bad predictions, not as rankers. Specifically: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Filter</w:t>
            </w:r>
          </w:p>
        </w:tc>
        <w:tc>
          <w:tcPr>
            <w:tcW w:type="dxa" w:w="18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Threshold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receptor_intact (rec ≤ 5 Å AND eff ≤ 5 Å)</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keep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Fold exists</w:t>
            </w:r>
          </w:p>
        </w:tc>
      </w:tr>
      <w:tr>
        <w:tc>
          <w:tcPr>
            <w:tcW w:type="dxa" w:w="3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pae_pass_frac</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0.10</w:t>
            </w:r>
          </w:p>
        </w:tc>
        <w:tc>
          <w:tcPr>
            <w:tcW w:type="dxa" w:w="45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 summarises enough pairs to mean anything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complex_plddt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0.65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Rules out catastrophic misfolds; permissive enough to admit both pose_holds</w:t>
            </w:r>
          </w:p>
        </w:tc>
      </w:tr>
      <w:tr>
        <w:tc>
          <w:tcPr>
            <w:tcW w:type="dxa" w:w="3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ipae (mean inter-chain PAE)</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20 Å</w:t>
            </w:r>
          </w:p>
        </w:tc>
        <w:tc>
          <w:tcPr>
            <w:tcW w:type="dxa" w:w="45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Relaxed 2× from Bennett's ≤ 10 to accommodate designed-interface regime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ipsae_min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report only, no gate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Calibrated on native PPI regime; do not gate</w:t>
            </w:r>
          </w:p>
        </w:tc>
      </w:tr>
      <w:tr>
        <w:tc>
          <w:tcPr>
            <w:tcW w:type="dxa" w:w="3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iptm</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0.3 informational only</w:t>
            </w:r>
          </w:p>
        </w:tc>
        <w:tc>
          <w:tcPr>
            <w:tcW w:type="dxa" w:w="45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AF-Multimer no-interaction boundary</w:t>
            </w:r>
          </w:p>
        </w:tc>
      </w:tr>
    </w:tbl>
    <w:p>
      <w:pPr>
        <w:spacing w:after="120"/>
      </w:pPr>
      <w:r>
        <w:t xml:space="preserve"/>
      </w:r>
    </w:p>
    <w:p>
      <w:pPr>
        <w:pStyle w:val="Heading2"/>
        <w:spacing w:after="140" w:before="280"/>
      </w:pPr>
      <w:r>
        <w:rPr>
          <w:rFonts w:ascii="Calibri" w:cs="Calibri" w:eastAsia="Calibri" w:hAnsi="Calibri"/>
          <w:b/>
          <w:bCs/>
          <w:color w:val="1F3864"/>
          <w:sz w:val="26"/>
          <w:szCs w:val="26"/>
        </w:rPr>
        <w:t xml:space="preserve">9.3 Without a high-quality reference</w:t>
      </w:r>
    </w:p>
    <w:p>
      <w:pPr>
        <w:spacing w:after="120" w:line="300"/>
        <w:jc w:val="both"/>
      </w:pPr>
      <w:r>
        <w:rPr>
          <w:rFonts w:ascii="Calibri" w:cs="Calibri" w:eastAsia="Calibri" w:hAnsi="Calibri"/>
          <w:sz w:val="22"/>
          <w:szCs w:val="22"/>
        </w:rPr>
        <w:t xml:space="preserve">When deploying on designs where only the RFDiffusion Cα backbone is available (no true_jaccard computable):</w:t>
      </w:r>
    </w:p>
    <w:p>
      <w:pPr>
        <w:pStyle w:val="ListParagraph"/>
        <w:numPr>
          <w:ilvl w:val="0"/>
          <w:numId w:val="3"/>
        </w:numPr>
        <w:spacing w:after="80" w:line="280"/>
      </w:pPr>
      <w:r>
        <w:rPr>
          <w:rFonts w:ascii="Calibri" w:cs="Calibri" w:eastAsia="Calibri" w:hAnsi="Calibri"/>
          <w:b/>
          <w:bCs/>
          <w:sz w:val="22"/>
          <w:szCs w:val="22"/>
        </w:rPr>
        <w:t xml:space="preserve">Primary ranker: </w:t>
      </w:r>
      <w:r>
        <w:rPr>
          <w:rFonts w:ascii="Calibri" w:cs="Calibri" w:eastAsia="Calibri" w:hAnsi="Calibri"/>
          <w:sz w:val="22"/>
          <w:szCs w:val="22"/>
        </w:rPr>
        <w:t xml:space="preserve">steered_ipae (mean inter-chain PAE) — the closest analog to Bennett's pae_interaction, which is the single most published-validated metric for this regime. Target ≤ 10 Å for strong candidates, ≤ 15 Å permissible.</w:t>
      </w:r>
    </w:p>
    <w:p>
      <w:pPr>
        <w:pStyle w:val="ListParagraph"/>
        <w:numPr>
          <w:ilvl w:val="0"/>
          <w:numId w:val="3"/>
        </w:numPr>
        <w:spacing w:after="80" w:line="280"/>
      </w:pPr>
      <w:r>
        <w:rPr>
          <w:rFonts w:ascii="Calibri" w:cs="Calibri" w:eastAsia="Calibri" w:hAnsi="Calibri"/>
          <w:b/>
          <w:bCs/>
          <w:sz w:val="22"/>
          <w:szCs w:val="22"/>
        </w:rPr>
        <w:t xml:space="preserve">Secondary: </w:t>
      </w:r>
      <w:r>
        <w:rPr>
          <w:rFonts w:ascii="Calibri" w:cs="Calibri" w:eastAsia="Calibri" w:hAnsi="Calibri"/>
          <w:sz w:val="22"/>
          <w:szCs w:val="22"/>
        </w:rPr>
        <w:t xml:space="preserve">mean pLDDT over RFDiffusion hotspot positions — a localised interface pLDDT using the design-time hotspots as the reference contact set.</w:t>
      </w:r>
    </w:p>
    <w:p>
      <w:pPr>
        <w:pStyle w:val="ListParagraph"/>
        <w:numPr>
          <w:ilvl w:val="0"/>
          <w:numId w:val="3"/>
        </w:numPr>
        <w:spacing w:after="80" w:line="280"/>
      </w:pPr>
      <w:r>
        <w:rPr>
          <w:rFonts w:ascii="Calibri" w:cs="Calibri" w:eastAsia="Calibri" w:hAnsi="Calibri"/>
          <w:b/>
          <w:bCs/>
          <w:sz w:val="22"/>
          <w:szCs w:val="22"/>
        </w:rPr>
        <w:t xml:space="preserve">Tiebreak: </w:t>
      </w:r>
      <w:r>
        <w:rPr>
          <w:rFonts w:ascii="Calibri" w:cs="Calibri" w:eastAsia="Calibri" w:hAnsi="Calibri"/>
          <w:sz w:val="22"/>
          <w:szCs w:val="22"/>
        </w:rPr>
        <w:t xml:space="preserve">ipSAE_min as diagnostic only, with pae_pass_frac ≥ 0.10 as pre-condition.</w:t>
      </w:r>
    </w:p>
    <w:p>
      <w:pPr>
        <w:pStyle w:val="ListParagraph"/>
        <w:numPr>
          <w:ilvl w:val="0"/>
          <w:numId w:val="3"/>
        </w:numPr>
        <w:spacing w:after="80" w:line="280"/>
      </w:pPr>
      <w:r>
        <w:rPr>
          <w:rFonts w:ascii="Calibri" w:cs="Calibri" w:eastAsia="Calibri" w:hAnsi="Calibri"/>
          <w:b/>
          <w:bCs/>
          <w:sz w:val="22"/>
          <w:szCs w:val="22"/>
        </w:rPr>
        <w:t xml:space="preserve">Cross-validation: </w:t>
      </w:r>
      <w:r>
        <w:rPr>
          <w:rFonts w:ascii="Calibri" w:cs="Calibri" w:eastAsia="Calibri" w:hAnsi="Calibri"/>
          <w:sz w:val="22"/>
          <w:szCs w:val="22"/>
        </w:rPr>
        <w:t xml:space="preserve">require Boltz-2 AND AF2-initial-guess both to pass on the same design (per Overath et al. 2025's cross-model-agreement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This is the production case, not the fallback</w:t>
            </w:r>
          </w:p>
          <w:p>
            <w:pPr>
              <w:spacing w:after="80" w:line="280"/>
              <w:jc w:val="both"/>
            </w:pPr>
            <w:r>
              <w:rPr>
                <w:rFonts w:ascii="Calibri" w:cs="Calibri" w:eastAsia="Calibri" w:hAnsi="Calibri"/>
                <w:color w:val="4A2E00"/>
                <w:sz w:val="20"/>
                <w:szCs w:val="20"/>
              </w:rPr>
              <w:t xml:space="preserve">Per review, </w:t>
            </w:r>
            <w:r>
              <w:rPr>
                <w:rFonts w:ascii="Calibri" w:cs="Calibri" w:eastAsia="Calibri" w:hAnsi="Calibri"/>
                <w:b/>
                <w:bCs/>
                <w:color w:val="4A2E00"/>
                <w:sz w:val="20"/>
                <w:szCs w:val="20"/>
              </w:rPr>
              <w:t xml:space="preserve">every design in the production pipeline has only the RFDiffusion Cα backbone as reference. </w:t>
            </w:r>
            <w:r>
              <w:rPr>
                <w:rFonts w:ascii="Calibri" w:cs="Calibri" w:eastAsia="Calibri" w:hAnsi="Calibri"/>
                <w:color w:val="4A2E00"/>
                <w:sz w:val="20"/>
                <w:szCs w:val="20"/>
              </w:rPr>
              <w:t xml:space="preserve">There is no high-quality reference structure available for any design task. So §9.3 is not a fallback — it is the always-applicable scenario.</w:t>
            </w:r>
          </w:p>
          <w:p>
            <w:pPr>
              <w:spacing w:after="80" w:line="280"/>
              <w:jc w:val="both"/>
            </w:pPr>
            <w:r>
              <w:rPr>
                <w:rFonts w:ascii="Calibri" w:cs="Calibri" w:eastAsia="Calibri" w:hAnsi="Calibri"/>
                <w:b/>
                <w:bCs/>
                <w:color w:val="4A2E00"/>
                <w:sz w:val="20"/>
                <w:szCs w:val="20"/>
              </w:rPr>
              <w:t xml:space="preserve">But: </w:t>
            </w:r>
            <w:r>
              <w:rPr>
                <w:rFonts w:ascii="Calibri" w:cs="Calibri" w:eastAsia="Calibri" w:hAnsi="Calibri"/>
                <w:color w:val="4A2E00"/>
                <w:sz w:val="20"/>
                <w:szCs w:val="20"/>
              </w:rPr>
              <w:t xml:space="preserve">the Cα-only backbone plus the protected-interface-indices file plus the design-region file together give the pipeline enough information to compute true_jaccard against the RFDiffusion-defined hotspot set. That is what the current pipeline already does — §9.0's ranker uses true_jaccard against that reference, and it works without a full-atom ground truth.</w:t>
            </w:r>
          </w:p>
          <w:p>
            <w:pPr>
              <w:spacing w:after="80" w:line="280"/>
              <w:jc w:val="both"/>
            </w:pPr>
            <w:r>
              <w:rPr>
                <w:rFonts w:ascii="Calibri" w:cs="Calibri" w:eastAsia="Calibri" w:hAnsi="Calibri"/>
                <w:color w:val="4A2E00"/>
                <w:sz w:val="20"/>
                <w:szCs w:val="20"/>
              </w:rPr>
              <w:t xml:space="preserve">So §9.0 is the primary ranker; §9.3 is a safety net for the edge case where even the Cα + hotspot reference is unavailable (which should be rare given the RFDiffusion workflow).</w:t>
            </w:r>
          </w:p>
        </w:tc>
      </w:tr>
    </w:tbl>
    <w:p>
      <w:pPr>
        <w:pStyle w:val="Heading2"/>
        <w:spacing w:after="140" w:before="280"/>
      </w:pPr>
      <w:r>
        <w:rPr>
          <w:rFonts w:ascii="Calibri" w:cs="Calibri" w:eastAsia="Calibri" w:hAnsi="Calibri"/>
          <w:b/>
          <w:bCs/>
          <w:color w:val="1F3864"/>
          <w:sz w:val="26"/>
          <w:szCs w:val="26"/>
        </w:rPr>
        <w:t xml:space="preserve">9.4 Fate of ipSAE</w:t>
      </w:r>
    </w:p>
    <w:p>
      <w:pPr>
        <w:pStyle w:val="ListParagraph"/>
        <w:numPr>
          <w:ilvl w:val="0"/>
          <w:numId w:val="3"/>
        </w:numPr>
        <w:spacing w:after="80" w:line="280"/>
      </w:pPr>
      <w:r>
        <w:rPr>
          <w:rFonts w:ascii="Calibri" w:cs="Calibri" w:eastAsia="Calibri" w:hAnsi="Calibri"/>
          <w:sz w:val="22"/>
          <w:szCs w:val="22"/>
        </w:rPr>
        <w:t xml:space="preserve">Retain as a reported column in the output — users familiar with Dunbrack 2025 expect to see it.</w:t>
      </w:r>
    </w:p>
    <w:p>
      <w:pPr>
        <w:pStyle w:val="ListParagraph"/>
        <w:numPr>
          <w:ilvl w:val="0"/>
          <w:numId w:val="3"/>
        </w:numPr>
        <w:spacing w:after="80" w:line="280"/>
      </w:pPr>
      <w:r>
        <w:rPr>
          <w:rFonts w:ascii="Calibri" w:cs="Calibri" w:eastAsia="Calibri" w:hAnsi="Calibri"/>
          <w:sz w:val="22"/>
          <w:szCs w:val="22"/>
        </w:rPr>
        <w:t xml:space="preserve">Remove rank_by_ipsae_min as a primary rank in passing_summary.csv, or relabel it as rank_diag_ipsae_min to clarify its diagnostic role.</w:t>
      </w:r>
    </w:p>
    <w:p>
      <w:pPr>
        <w:pStyle w:val="ListParagraph"/>
        <w:numPr>
          <w:ilvl w:val="0"/>
          <w:numId w:val="3"/>
        </w:numPr>
        <w:spacing w:after="80" w:line="280"/>
      </w:pPr>
      <w:r>
        <w:rPr>
          <w:rFonts w:ascii="Calibri" w:cs="Calibri" w:eastAsia="Calibri" w:hAnsi="Calibri"/>
          <w:sz w:val="22"/>
          <w:szCs w:val="22"/>
        </w:rPr>
        <w:t xml:space="preserve">Annotate columns.md with the caveat: "On novel designed interfaces, ipSAE is calibrated to a different regime (native PPIs per Dunbrack 2025, Overath et al. 2025); use as a filter with pae_pass_frac ≥ 0.10 rather than as a ranker for pose quality."</w:t>
      </w:r>
    </w:p>
    <w:p>
      <w:pPr>
        <w:pStyle w:val="ListParagraph"/>
        <w:numPr>
          <w:ilvl w:val="0"/>
          <w:numId w:val="3"/>
        </w:numPr>
        <w:spacing w:after="80" w:line="280"/>
      </w:pPr>
      <w:r>
        <w:rPr>
          <w:rFonts w:ascii="Calibri" w:cs="Calibri" w:eastAsia="Calibri" w:hAnsi="Calibri"/>
          <w:sz w:val="22"/>
          <w:szCs w:val="22"/>
        </w:rPr>
        <w:t xml:space="preserve">Consider reporting ipSAE at 10 Å AND at 15 Å PAE cutoffs (Dunbrack's recommended range). A 15 Å cutoff is more permissive and may capture more of the novel-interface residue pairs that Boltz-2 is less confident about.</w:t>
      </w:r>
    </w:p>
    <w:p>
      <w:pPr>
        <w:pStyle w:val="Heading2"/>
        <w:spacing w:after="140" w:before="280"/>
      </w:pPr>
      <w:r>
        <w:rPr>
          <w:rFonts w:ascii="Calibri" w:cs="Calibri" w:eastAsia="Calibri" w:hAnsi="Calibri"/>
          <w:b/>
          <w:bCs/>
          <w:color w:val="1F3864"/>
          <w:sz w:val="26"/>
          <w:szCs w:val="26"/>
        </w:rPr>
        <w:t xml:space="preserve">9.5 New metrics to add (post-ranker, on shortlist only)</w:t>
      </w:r>
    </w:p>
    <w:p>
      <w:pPr>
        <w:pStyle w:val="ListParagraph"/>
        <w:numPr>
          <w:ilvl w:val="0"/>
          <w:numId w:val="3"/>
        </w:numPr>
        <w:spacing w:after="80" w:line="280"/>
      </w:pPr>
      <w:r>
        <w:rPr>
          <w:rFonts w:ascii="Calibri" w:cs="Calibri" w:eastAsia="Calibri" w:hAnsi="Calibri"/>
          <w:b/>
          <w:bCs/>
          <w:sz w:val="22"/>
          <w:szCs w:val="22"/>
        </w:rPr>
        <w:t xml:space="preserve">DockQ (or at minimum iRMSD + fnat). </w:t>
      </w:r>
      <w:r>
        <w:rPr>
          <w:rFonts w:ascii="Calibri" w:cs="Calibri" w:eastAsia="Calibri" w:hAnsi="Calibri"/>
          <w:sz w:val="22"/>
          <w:szCs w:val="22"/>
        </w:rPr>
        <w:t xml:space="preserve">Community standard, CAPRI-validated, disordered-region-robust. Runtime: 1–5 s per pair. Add iRMSD first (easy one-day drop-in), then fnat, then full DockQ.</w:t>
      </w:r>
    </w:p>
    <w:p>
      <w:pPr>
        <w:pStyle w:val="ListParagraph"/>
        <w:numPr>
          <w:ilvl w:val="0"/>
          <w:numId w:val="3"/>
        </w:numPr>
        <w:spacing w:after="80" w:line="280"/>
      </w:pPr>
      <w:r>
        <w:rPr>
          <w:rFonts w:ascii="Calibri" w:cs="Calibri" w:eastAsia="Calibri" w:hAnsi="Calibri"/>
          <w:b/>
          <w:bCs/>
          <w:sz w:val="22"/>
          <w:szCs w:val="22"/>
        </w:rPr>
        <w:t xml:space="preserve">Interface buried surface area and shape complementarity. </w:t>
      </w:r>
      <w:r>
        <w:rPr>
          <w:rFonts w:ascii="Calibri" w:cs="Calibri" w:eastAsia="Calibri" w:hAnsi="Calibri"/>
          <w:sz w:val="22"/>
          <w:szCs w:val="22"/>
        </w:rPr>
        <w:t xml:space="preserve">Overath et al. 2025's strongest orthogonal predictors. Runtime: 1–15 s per complex combined (FreeSASA + CCP4 sc).</w:t>
      </w:r>
    </w:p>
    <w:p>
      <w:pPr>
        <w:pStyle w:val="ListParagraph"/>
        <w:numPr>
          <w:ilvl w:val="0"/>
          <w:numId w:val="3"/>
        </w:numPr>
        <w:spacing w:after="80" w:line="280"/>
      </w:pPr>
      <w:r>
        <w:rPr>
          <w:rFonts w:ascii="Calibri" w:cs="Calibri" w:eastAsia="Calibri" w:hAnsi="Calibri"/>
          <w:b/>
          <w:bCs/>
          <w:sz w:val="22"/>
          <w:szCs w:val="22"/>
        </w:rPr>
        <w:t xml:space="preserve">Rosetta ΔΔG_binding. </w:t>
      </w:r>
      <w:r>
        <w:rPr>
          <w:rFonts w:ascii="Calibri" w:cs="Calibri" w:eastAsia="Calibri" w:hAnsi="Calibri"/>
          <w:sz w:val="22"/>
          <w:szCs w:val="22"/>
        </w:rPr>
        <w:t xml:space="preserve">Canonical de novo binder rank metric (Bennett et al. 2023, Cao et al. 2022). Runtime: 30–60 s without FastRelax, 5–15 min with.</w:t>
      </w:r>
    </w:p>
    <w:p>
      <w:pPr>
        <w:pStyle w:val="ListParagraph"/>
        <w:numPr>
          <w:ilvl w:val="0"/>
          <w:numId w:val="3"/>
        </w:numPr>
        <w:spacing w:after="80" w:line="280"/>
      </w:pPr>
      <w:r>
        <w:rPr>
          <w:rFonts w:ascii="Calibri" w:cs="Calibri" w:eastAsia="Calibri" w:hAnsi="Calibri"/>
          <w:b/>
          <w:bCs/>
          <w:sz w:val="22"/>
          <w:szCs w:val="22"/>
        </w:rPr>
        <w:t xml:space="preserve">Interface-residue pLDDT. </w:t>
      </w:r>
      <w:r>
        <w:rPr>
          <w:rFonts w:ascii="Calibri" w:cs="Calibri" w:eastAsia="Calibri" w:hAnsi="Calibri"/>
          <w:sz w:val="22"/>
          <w:szCs w:val="22"/>
        </w:rPr>
        <w:t xml:space="preserve">Mean pLDDT over only the 8–15 designed interface residues; more discriminative than whole-complex pLDDT. Runtime: sub-second.</w:t>
      </w:r>
    </w:p>
    <w:p>
      <w:pPr>
        <w:pStyle w:val="ListParagraph"/>
        <w:numPr>
          <w:ilvl w:val="0"/>
          <w:numId w:val="3"/>
        </w:numPr>
        <w:spacing w:after="80" w:line="280"/>
      </w:pPr>
      <w:r>
        <w:rPr>
          <w:rFonts w:ascii="Calibri" w:cs="Calibri" w:eastAsia="Calibri" w:hAnsi="Calibri"/>
          <w:b/>
          <w:bCs/>
          <w:sz w:val="22"/>
          <w:szCs w:val="22"/>
        </w:rPr>
        <w:t xml:space="preserve">Delta-against-cold-start. </w:t>
      </w:r>
      <w:r>
        <w:rPr>
          <w:rFonts w:ascii="Calibri" w:cs="Calibri" w:eastAsia="Calibri" w:hAnsi="Calibri"/>
          <w:sz w:val="22"/>
          <w:szCs w:val="22"/>
        </w:rPr>
        <w:t xml:space="preserve">For every metric, report steered_metric − initial_metric on the same receptor's WT prediction. Absolute values are less informative than deltas given the calibration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6"/>
              <w:left w:val="single" w:color="D68910" w:sz="36"/>
              <w:bottom w:val="single" w:color="D68910" w:sz="6"/>
              <w:right w:val="single" w:color="D68910" w:sz="6"/>
            </w:tcBorders>
            <w:shd w:fill="FFF4E1" w:val="clear"/>
            <w:tcMar>
              <w:top w:type="dxa" w:w="160"/>
              <w:left w:type="dxa" w:w="240"/>
              <w:bottom w:type="dxa" w:w="160"/>
              <w:right w:type="dxa" w:w="200"/>
            </w:tcMar>
          </w:tcPr>
          <w:p>
            <w:pPr>
              <w:spacing w:after="80" w:before="60" w:line="280"/>
            </w:pPr>
            <w:r>
              <w:rPr>
                <w:rFonts w:ascii="Calibri" w:cs="Calibri" w:eastAsia="Calibri" w:hAnsi="Calibri"/>
                <w:b/>
                <w:bCs/>
                <w:color w:val="873600"/>
                <w:sz w:val="20"/>
                <w:szCs w:val="20"/>
              </w:rPr>
              <w:t xml:space="preserve">✎ Review annotation · 17 April 2026 · </w:t>
            </w:r>
            <w:r>
              <w:rPr>
                <w:rFonts w:ascii="Calibri" w:cs="Calibri" w:eastAsia="Calibri" w:hAnsi="Calibri"/>
                <w:i/>
                <w:iCs/>
                <w:color w:val="873600"/>
                <w:sz w:val="20"/>
                <w:szCs w:val="20"/>
              </w:rPr>
              <w:t xml:space="preserve">These are shortlist-stage metrics, not ranker-stage</w:t>
            </w:r>
          </w:p>
          <w:p>
            <w:pPr>
              <w:spacing w:after="80" w:line="280"/>
              <w:jc w:val="both"/>
            </w:pPr>
            <w:r>
              <w:rPr>
                <w:rFonts w:ascii="Calibri" w:cs="Calibri" w:eastAsia="Calibri" w:hAnsi="Calibri"/>
                <w:color w:val="4A2E00"/>
                <w:sz w:val="20"/>
                <w:szCs w:val="20"/>
              </w:rPr>
              <w:t xml:space="preserve">Per §0 framing, these metrics are computed on the ~10 designs selected by the primary ranker, not on all 100. Total shortlist-stage runtime: under 20 minutes of CPU per experiment (cheap ΔΔG without FastRelax), or 2.5 hours with FastRelax. Either way, negligible against the Boltz-2 GPU cost that produced the candidates in the first place.</w:t>
            </w:r>
          </w:p>
        </w:tc>
      </w:tr>
    </w:tbl>
    <w:p>
      <w:pPr>
        <w:pStyle w:val="Heading1"/>
        <w:spacing w:after="160" w:before="360"/>
      </w:pPr>
      <w:r>
        <w:rPr>
          <w:rFonts w:ascii="Calibri" w:cs="Calibri" w:eastAsia="Calibri" w:hAnsi="Calibri"/>
          <w:b/>
          <w:bCs/>
          <w:color w:val="1F3864"/>
          <w:sz w:val="32"/>
          <w:szCs w:val="32"/>
        </w:rPr>
        <w:t xml:space="preserve">10. Summary table — metric → action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300"/>
        <w:gridCol w:w="1860"/>
      </w:tblGrid>
      <w:tr>
        <w:trPr>
          <w:tblHeader/>
        </w:trPr>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Metric</w:t>
            </w:r>
          </w:p>
        </w:tc>
        <w:tc>
          <w:tcPr>
            <w:tcW w:type="dxa" w:w="2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Role</w:t>
            </w:r>
          </w:p>
        </w:tc>
        <w:tc>
          <w:tcPr>
            <w:tcW w:type="dxa" w:w="18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Threshold</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Stage</w:t>
            </w:r>
          </w:p>
        </w:tc>
        <w:tc>
          <w:tcPr>
            <w:tcW w:type="dxa" w:w="1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jc w:val="left"/>
            </w:pPr>
            <w:r>
              <w:rPr>
                <w:rFonts w:ascii="Calibri" w:cs="Calibri" w:eastAsia="Calibri" w:hAnsi="Calibri"/>
                <w:b/>
                <w:bCs/>
                <w:sz w:val="20"/>
                <w:szCs w:val="20"/>
              </w:rPr>
              <w:t xml:space="preserve">One-line justification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ra_eff_vs_truth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Primary ranker component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 5 Å filter; weight 0.05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Gates wrong-interface outliers; insensitive inside correct regime</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true_jaccard (vs design)</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Primary ranker component</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direct input</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fnat-equivalent; Cohen d +1.58 for correct-vs-wrong; always computable from RFDiffusion hotspots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wrong_jaccard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Not used in ranker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report only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Overlap with decoy face is not a reliable penalty on small receptors</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receptor_intact</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Hard filter</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required</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Sanity; replace with core-only RMSD when refactoring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ipae (mean inter-chain PAE)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Pass/fail filter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20 Å</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Bennett 2023's pae_interaction analog; permissive for designed regime</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complex_plddt</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Pass/fail filter</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0.65</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Catastrophic-misfold filter; most reproducible metric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pae_pass_frac</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Gating filter for ipSAE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Below this ipSAE is computed over too few pairs</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iptm</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Compute-and-report only</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0.30 informational</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AF-Multimer boundary; not a rank axis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actifptm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Compute-and-report 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Varga 2025 variant; report for future comparability</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ipsae_min</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Diagnostic only</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 gate</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Anti-informative for correct-vs-wrong on this system (AUROC 0.33)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ipSAE at 15 Å cutoff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Compute-and-report additional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More permissive for novel interfaces</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Delta-to-cold-start</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Diagnostic</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negative expected post-steering</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Sanity-check; confirms steering actually moved Boltz off its default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interface-residue pLDDT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 ranker-refinement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&gt; 0.75 guideline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More discriminative than whole-complex pLDDT</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DockQ (or iRMSD + fnat)</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0.23 / 0.49 / 0.80</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Community standard; 1–5 s per pair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Interface BSA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 tiebreaker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report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Overath 2025 orthogonal descriptor; &lt;5 s</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Interface Sc</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 tiebreaker</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&gt; 0.55 typical</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Lawrence-Colman standard; &lt;15 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Rosetta ΔΔG_binding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 tiebreaker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&lt; −30 REU (Bennett)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30–60 s no-relax / 5–15 min FastRelax</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H-bond count at interface</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 advisory</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report</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Overath 2025: correlates with target predictability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Multi-seed median (n=10)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Aggregation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applied to all metrics on shortlist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 validation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Reproducibility check via submit_final_validation.sh</w:t>
            </w:r>
          </w:p>
        </w:tc>
      </w:tr>
      <w:tr>
        <w:tc>
          <w:tcPr>
            <w:tcW w:type="dxa" w:w="24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Scrambled / all-Gly negative controls</w:t>
            </w:r>
          </w:p>
        </w:tc>
        <w:tc>
          <w:tcPr>
            <w:tcW w:type="dxa" w:w="20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per experiment</w:t>
            </w:r>
          </w:p>
        </w:tc>
        <w:tc>
          <w:tcPr>
            <w:tcW w:type="dxa" w:w="18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should fail all filters</w:t>
            </w:r>
          </w:p>
        </w:tc>
        <w:tc>
          <w:tcPr>
            <w:tcW w:type="dxa" w:w="130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Ranker</w:t>
            </w:r>
          </w:p>
        </w:tc>
        <w:tc>
          <w:tcPr>
            <w:tcW w:type="dxa" w:w="1860"/>
            <w:tcBorders>
              <w:top w:val="single" w:color="BFBFBF" w:sz="4"/>
              <w:left w:val="single" w:color="BFBFBF" w:sz="4"/>
              <w:bottom w:val="single" w:color="BFBFBF" w:sz="4"/>
              <w:right w:val="single" w:color="BFBFBF" w:sz="4"/>
            </w:tcBorders>
            <w:shd w:fill="F5F7FA"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Sanity on whole-pipeline miscalibration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Cross-model agreement (AF3 + MSA-Boltz-2 + AF2-IG)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Add; shortlist validation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all three place effector at designed site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Shortlist validation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Overath 2025: strongest experimental-success predictor</w:t>
            </w:r>
          </w:p>
        </w:tc>
      </w:tr>
    </w:tbl>
    <w:p>
      <w:pPr>
        <w:spacing w:after="120"/>
      </w:pPr>
      <w:r>
        <w:t xml:space="preserve"/>
      </w:r>
    </w:p>
    <w:p>
      <w:pPr>
        <w:pStyle w:val="Heading1"/>
        <w:spacing w:after="160" w:before="360"/>
      </w:pPr>
      <w:r>
        <w:rPr>
          <w:rFonts w:ascii="Calibri" w:cs="Calibri" w:eastAsia="Calibri" w:hAnsi="Calibri"/>
          <w:b/>
          <w:bCs/>
          <w:color w:val="1F3864"/>
          <w:sz w:val="32"/>
          <w:szCs w:val="32"/>
        </w:rPr>
        <w:t xml:space="preserve">11. References</w:t>
      </w:r>
    </w:p>
    <w:p>
      <w:pPr>
        <w:spacing w:after="100" w:line="280"/>
        <w:ind w:left="360" w:hanging="360"/>
      </w:pPr>
      <w:r>
        <w:rPr>
          <w:rFonts w:ascii="Calibri" w:cs="Calibri" w:eastAsia="Calibri" w:hAnsi="Calibri"/>
          <w:sz w:val="20"/>
          <w:szCs w:val="20"/>
        </w:rPr>
        <w:t xml:space="preserve">Abramson J. et al. (2024). Accurate structure prediction of biomolecular interactions with AlphaFold 3. Nature 630:493. doi 10.1038/s41586-024-07487-w</w:t>
      </w:r>
    </w:p>
    <w:p>
      <w:pPr>
        <w:spacing w:after="100" w:line="280"/>
        <w:ind w:left="360" w:hanging="360"/>
      </w:pPr>
      <w:r>
        <w:rPr>
          <w:rFonts w:ascii="Calibri" w:cs="Calibri" w:eastAsia="Calibri" w:hAnsi="Calibri"/>
          <w:sz w:val="20"/>
          <w:szCs w:val="20"/>
        </w:rPr>
        <w:t xml:space="preserve">Ashworth J. et al. (2006). Computational redesign of endonuclease DNA binding and cleavage specificity. Nature 441:656. doi 10.1038/nature04818</w:t>
      </w:r>
    </w:p>
    <w:p>
      <w:pPr>
        <w:spacing w:after="100" w:line="280"/>
        <w:ind w:left="360" w:hanging="360"/>
      </w:pPr>
      <w:r>
        <w:rPr>
          <w:rFonts w:ascii="Calibri" w:cs="Calibri" w:eastAsia="Calibri" w:hAnsi="Calibri"/>
          <w:sz w:val="20"/>
          <w:szCs w:val="20"/>
        </w:rPr>
        <w:t xml:space="preserve">Basu S. and Wallner B. (2016). DockQ: a quality measure for protein-protein docking models. PLOS ONE 11:e0161879. doi 10.1371/journal.pone.0161879</w:t>
      </w:r>
    </w:p>
    <w:p>
      <w:pPr>
        <w:spacing w:after="100" w:line="280"/>
        <w:ind w:left="360" w:hanging="360"/>
      </w:pPr>
      <w:r>
        <w:rPr>
          <w:rFonts w:ascii="Calibri" w:cs="Calibri" w:eastAsia="Calibri" w:hAnsi="Calibri"/>
          <w:sz w:val="20"/>
          <w:szCs w:val="20"/>
        </w:rPr>
        <w:t xml:space="preserve">Bennett N.R. et al. (2023). Improving de novo protein binder design with deep learning. Nat. Commun. 14:2625. doi 10.1038/s41467-023-38328-5</w:t>
      </w:r>
    </w:p>
    <w:p>
      <w:pPr>
        <w:spacing w:after="100" w:line="280"/>
        <w:ind w:left="360" w:hanging="360"/>
      </w:pPr>
      <w:r>
        <w:rPr>
          <w:rFonts w:ascii="Calibri" w:cs="Calibri" w:eastAsia="Calibri" w:hAnsi="Calibri"/>
          <w:sz w:val="20"/>
          <w:szCs w:val="20"/>
        </w:rPr>
        <w:t xml:space="preserve">Bennett N.R. et al. (2025). Atomically accurate de novo design of antibodies with RFdiffusion. Nature. doi 10.1038/s41586-025-09721-5</w:t>
      </w:r>
    </w:p>
    <w:p>
      <w:pPr>
        <w:spacing w:after="100" w:line="280"/>
        <w:ind w:left="360" w:hanging="360"/>
      </w:pPr>
      <w:r>
        <w:rPr>
          <w:rFonts w:ascii="Calibri" w:cs="Calibri" w:eastAsia="Calibri" w:hAnsi="Calibri"/>
          <w:sz w:val="20"/>
          <w:szCs w:val="20"/>
        </w:rPr>
        <w:t xml:space="preserve">Bertoni M. et al. (2017). Modeling protein quaternary structure of homo- and hetero-oligomers beyond binary interactions by homology. Sci. Rep. 7:10480.</w:t>
      </w:r>
    </w:p>
    <w:p>
      <w:pPr>
        <w:spacing w:after="100" w:line="280"/>
        <w:ind w:left="360" w:hanging="360"/>
      </w:pPr>
      <w:r>
        <w:rPr>
          <w:rFonts w:ascii="Calibri" w:cs="Calibri" w:eastAsia="Calibri" w:hAnsi="Calibri"/>
          <w:sz w:val="20"/>
          <w:szCs w:val="20"/>
        </w:rPr>
        <w:t xml:space="preserve">Bolon D.N., Grant R.A., Baker T.A., Sauer R.T. (2005). Specificity versus stability in computational protein design. PNAS 102:12724. doi 10.1073/pnas.0506124102</w:t>
      </w:r>
    </w:p>
    <w:p>
      <w:pPr>
        <w:spacing w:after="100" w:line="280"/>
        <w:ind w:left="360" w:hanging="360"/>
      </w:pPr>
      <w:r>
        <w:rPr>
          <w:rFonts w:ascii="Calibri" w:cs="Calibri" w:eastAsia="Calibri" w:hAnsi="Calibri"/>
          <w:sz w:val="20"/>
          <w:szCs w:val="20"/>
        </w:rPr>
        <w:t xml:space="preserve">Bryant P., Pozzati G., Elofsson A. (2022). Improved prediction of protein-protein interactions using AlphaFold2. Nat. Commun. 13:1265.</w:t>
      </w:r>
    </w:p>
    <w:p>
      <w:pPr>
        <w:spacing w:after="100" w:line="280"/>
        <w:ind w:left="360" w:hanging="360"/>
      </w:pPr>
      <w:r>
        <w:rPr>
          <w:rFonts w:ascii="Calibri" w:cs="Calibri" w:eastAsia="Calibri" w:hAnsi="Calibri"/>
          <w:sz w:val="20"/>
          <w:szCs w:val="20"/>
        </w:rPr>
        <w:t xml:space="preserve">Cao L. et al. (2022). Design of protein-binding proteins from the target structure alone. Nature 605:551. doi 10.1038/s41586-022-04654-9</w:t>
      </w:r>
    </w:p>
    <w:p>
      <w:pPr>
        <w:spacing w:after="100" w:line="280"/>
        <w:ind w:left="360" w:hanging="360"/>
      </w:pPr>
      <w:r>
        <w:rPr>
          <w:rFonts w:ascii="Calibri" w:cs="Calibri" w:eastAsia="Calibri" w:hAnsi="Calibri"/>
          <w:sz w:val="20"/>
          <w:szCs w:val="20"/>
        </w:rPr>
        <w:t xml:space="preserve">Chang L. and Perez A. (2023). Ranking peptide binders by affinity with AlphaFold. J. Chem. Theory Comput. doi 10.1021/acs.jctc.2c00946</w:t>
      </w:r>
    </w:p>
    <w:p>
      <w:pPr>
        <w:spacing w:after="100" w:line="280"/>
        <w:ind w:left="360" w:hanging="360"/>
      </w:pPr>
      <w:r>
        <w:rPr>
          <w:rFonts w:ascii="Calibri" w:cs="Calibri" w:eastAsia="Calibri" w:hAnsi="Calibri"/>
          <w:sz w:val="20"/>
          <w:szCs w:val="20"/>
        </w:rPr>
        <w:t xml:space="preserve">Dunbrack R.L. Jr. (2025). Rēs ipsae loquuntur: What's wrong with AlphaFold's ipTM score and how to fix it. bioRxiv 2025.02.10.637595 (v2 December 2025). doi 10.1101/2025.02.10.637595</w:t>
      </w:r>
    </w:p>
    <w:p>
      <w:pPr>
        <w:spacing w:after="100" w:line="280"/>
        <w:ind w:left="360" w:hanging="360"/>
      </w:pPr>
      <w:r>
        <w:rPr>
          <w:rFonts w:ascii="Calibri" w:cs="Calibri" w:eastAsia="Calibri" w:hAnsi="Calibri"/>
          <w:sz w:val="20"/>
          <w:szCs w:val="20"/>
        </w:rPr>
        <w:t xml:space="preserve">Evans R. et al. (2022). Protein complex prediction with AlphaFold-Multimer. bioRxiv 2021.10.04.463034.</w:t>
      </w:r>
    </w:p>
    <w:p>
      <w:pPr>
        <w:spacing w:after="100" w:line="280"/>
        <w:ind w:left="360" w:hanging="360"/>
      </w:pPr>
      <w:r>
        <w:rPr>
          <w:rFonts w:ascii="Calibri" w:cs="Calibri" w:eastAsia="Calibri" w:hAnsi="Calibri"/>
          <w:sz w:val="20"/>
          <w:szCs w:val="20"/>
        </w:rPr>
        <w:t xml:space="preserve">Genz L.R., Nair S., Nagar N., Topf M. (2025). Assessing scoring metrics for AlphaFold2 and AlphaFold3 protein complex predictions. Protein Sci. 34(11):e70327. doi 10.1002/pro.70327</w:t>
      </w:r>
    </w:p>
    <w:p>
      <w:pPr>
        <w:spacing w:after="100" w:line="280"/>
        <w:ind w:left="360" w:hanging="360"/>
      </w:pPr>
      <w:r>
        <w:rPr>
          <w:rFonts w:ascii="Calibri" w:cs="Calibri" w:eastAsia="Calibri" w:hAnsi="Calibri"/>
          <w:sz w:val="20"/>
          <w:szCs w:val="20"/>
        </w:rPr>
        <w:t xml:space="preserve">Grigoryan G., Reinke A.W., Keating A.E. (2009). Design of protein-interaction specificity gives selective bZIP-binding peptides. Nature 458:859.</w:t>
      </w:r>
    </w:p>
    <w:p>
      <w:pPr>
        <w:spacing w:after="100" w:line="280"/>
        <w:ind w:left="360" w:hanging="360"/>
      </w:pPr>
      <w:r>
        <w:rPr>
          <w:rFonts w:ascii="Calibri" w:cs="Calibri" w:eastAsia="Calibri" w:hAnsi="Calibri"/>
          <w:sz w:val="20"/>
          <w:szCs w:val="20"/>
        </w:rPr>
        <w:t xml:space="preserve">Havranek J.J. and Harbury P.B. (2003). Automated design of specificity in molecular recognition. Nat. Struct. Biol. 10:45.</w:t>
      </w:r>
    </w:p>
    <w:p>
      <w:pPr>
        <w:spacing w:after="100" w:line="280"/>
        <w:ind w:left="360" w:hanging="360"/>
      </w:pPr>
      <w:r>
        <w:rPr>
          <w:rFonts w:ascii="Calibri" w:cs="Calibri" w:eastAsia="Calibri" w:hAnsi="Calibri"/>
          <w:sz w:val="20"/>
          <w:szCs w:val="20"/>
        </w:rPr>
        <w:t xml:space="preserve">Kortemme T. and Baker D. (2004). Computational design of protein-protein interactions. Curr. Opin. Chem. Biol. 8:91.</w:t>
      </w:r>
    </w:p>
    <w:p>
      <w:pPr>
        <w:spacing w:after="100" w:line="280"/>
        <w:ind w:left="360" w:hanging="360"/>
      </w:pPr>
      <w:r>
        <w:rPr>
          <w:rFonts w:ascii="Calibri" w:cs="Calibri" w:eastAsia="Calibri" w:hAnsi="Calibri"/>
          <w:sz w:val="20"/>
          <w:szCs w:val="20"/>
        </w:rPr>
        <w:t xml:space="preserve">Lawrence M.C. and Colman P.M. (1993). Shape complementarity at protein-protein interfaces. J. Mol. Biol. 234:946.</w:t>
      </w:r>
    </w:p>
    <w:p>
      <w:pPr>
        <w:spacing w:after="100" w:line="280"/>
        <w:ind w:left="360" w:hanging="360"/>
      </w:pPr>
      <w:r>
        <w:rPr>
          <w:rFonts w:ascii="Calibri" w:cs="Calibri" w:eastAsia="Calibri" w:hAnsi="Calibri"/>
          <w:sz w:val="20"/>
          <w:szCs w:val="20"/>
        </w:rPr>
        <w:t xml:space="preserve">Mariani V. et al. (2013). lDDT: a local superposition-free score for comparing protein structures and models using distance difference tests. Bioinformatics 29:2722.</w:t>
      </w:r>
    </w:p>
    <w:p>
      <w:pPr>
        <w:spacing w:after="100" w:line="280"/>
        <w:ind w:left="360" w:hanging="360"/>
      </w:pPr>
      <w:r>
        <w:rPr>
          <w:rFonts w:ascii="Calibri" w:cs="Calibri" w:eastAsia="Calibri" w:hAnsi="Calibri"/>
          <w:sz w:val="20"/>
          <w:szCs w:val="20"/>
        </w:rPr>
        <w:t xml:space="preserve">Mirabello C. and Wallner B. (2024). DockQ v2: improved automatic quality measure for protein multimers, nucleic acids, and small molecules. Bioinformatics 40:btae586. doi 10.1093/bioinformatics/btae586</w:t>
      </w:r>
    </w:p>
    <w:p>
      <w:pPr>
        <w:spacing w:after="100" w:line="280"/>
        <w:ind w:left="360" w:hanging="360"/>
      </w:pPr>
      <w:r>
        <w:rPr>
          <w:rFonts w:ascii="Calibri" w:cs="Calibri" w:eastAsia="Calibri" w:hAnsi="Calibri"/>
          <w:sz w:val="20"/>
          <w:szCs w:val="20"/>
        </w:rPr>
        <w:t xml:space="preserve">Overath M.D., Rygaard A.S.H., Jacobsen C.P., Brasas V., Morell O., Sormanni P., Jenkins T.P. (2025). Predicting Experimental Success in De Novo Binder Design: A Meta-Analysis of 3,766 Experimentally Characterised Binders. bioRxiv 2025.08.14.670059. doi 10.1101/2025.08.14.670059</w:t>
      </w:r>
    </w:p>
    <w:p>
      <w:pPr>
        <w:spacing w:after="100" w:line="280"/>
        <w:ind w:left="360" w:hanging="360"/>
      </w:pPr>
      <w:r>
        <w:rPr>
          <w:rFonts w:ascii="Calibri" w:cs="Calibri" w:eastAsia="Calibri" w:hAnsi="Calibri"/>
          <w:sz w:val="20"/>
          <w:szCs w:val="20"/>
        </w:rPr>
        <w:t xml:space="preserve">Parker A.S. et al. (2018). DisruPPI: structure-based computational redesign algorithm for protein binding disruption. Bioinformatics 34:i245. doi 10.1093/bioinformatics/bty274</w:t>
      </w:r>
    </w:p>
    <w:p>
      <w:pPr>
        <w:spacing w:after="100" w:line="280"/>
        <w:ind w:left="360" w:hanging="360"/>
      </w:pPr>
      <w:r>
        <w:rPr>
          <w:rFonts w:ascii="Calibri" w:cs="Calibri" w:eastAsia="Calibri" w:hAnsi="Calibri"/>
          <w:sz w:val="20"/>
          <w:szCs w:val="20"/>
        </w:rPr>
        <w:t xml:space="preserve">Passaro S. et al. (2025). Boltz-2: Towards Accurate and Efficient Binding Affinity Prediction. bioRxiv 2025.06.14.659707.</w:t>
      </w:r>
    </w:p>
    <w:p>
      <w:pPr>
        <w:spacing w:after="100" w:line="280"/>
        <w:ind w:left="360" w:hanging="360"/>
      </w:pPr>
      <w:r>
        <w:rPr>
          <w:rFonts w:ascii="Calibri" w:cs="Calibri" w:eastAsia="Calibri" w:hAnsi="Calibri"/>
          <w:sz w:val="20"/>
          <w:szCs w:val="20"/>
        </w:rPr>
        <w:t xml:space="preserve">Varga J.K., Ovchinnikov S., Schueler-Furman O. (2025). actifpTM — A modified ipTM focusing on interacting residues.</w:t>
      </w:r>
    </w:p>
    <w:p>
      <w:pPr>
        <w:spacing w:after="100" w:line="280"/>
        <w:ind w:left="360" w:hanging="360"/>
      </w:pPr>
      <w:r>
        <w:rPr>
          <w:rFonts w:ascii="Calibri" w:cs="Calibri" w:eastAsia="Calibri" w:hAnsi="Calibri"/>
          <w:sz w:val="20"/>
          <w:szCs w:val="20"/>
        </w:rPr>
        <w:t xml:space="preserve">Vosbein P., Paredes Vergara P., Huang D.T., Thomson D. (2024). AlphaFold Ensemble Competition Screens Enable Peptide Binder Design with Single-Residue Sensitivity. ACS Chem. Biol. 19(10):2198–2205. doi 10.1021/acschembio.4c00418</w:t>
      </w:r>
    </w:p>
    <w:p>
      <w:pPr>
        <w:spacing w:after="100" w:line="280"/>
        <w:ind w:left="360" w:hanging="360"/>
      </w:pPr>
      <w:r>
        <w:rPr>
          <w:rFonts w:ascii="Calibri" w:cs="Calibri" w:eastAsia="Calibri" w:hAnsi="Calibri"/>
          <w:sz w:val="20"/>
          <w:szCs w:val="20"/>
        </w:rPr>
        <w:t xml:space="preserve">Vouros O. et al. (2025). Improved protein binder design using β-pairing targeted RFdiffusion. Nat. Commun. doi 10.1038/s41467-025-67866-3</w:t>
      </w:r>
    </w:p>
    <w:p>
      <w:pPr>
        <w:spacing w:after="100" w:line="280"/>
        <w:ind w:left="360" w:hanging="360"/>
      </w:pPr>
      <w:r>
        <w:rPr>
          <w:rFonts w:ascii="Calibri" w:cs="Calibri" w:eastAsia="Calibri" w:hAnsi="Calibri"/>
          <w:sz w:val="20"/>
          <w:szCs w:val="20"/>
        </w:rPr>
        <w:t xml:space="preserve">Watson J.L. et al. (2023). De novo design of protein structure and function with RFdiffusion. Nature 620:1089. doi 10.1038/s41586-023-06415-8</w:t>
      </w:r>
    </w:p>
    <w:p>
      <w:pPr>
        <w:spacing w:after="100" w:line="280"/>
        <w:ind w:left="360" w:hanging="360"/>
      </w:pPr>
      <w:r>
        <w:rPr>
          <w:rFonts w:ascii="Calibri" w:cs="Calibri" w:eastAsia="Calibri" w:hAnsi="Calibri"/>
          <w:sz w:val="20"/>
          <w:szCs w:val="20"/>
        </w:rPr>
        <w:t xml:space="preserve">Wohlwend J. et al. (2024). Boltz-1: Democratizing biomolecular interaction modeling. bioRxiv 2024.11.19.624167.</w:t>
      </w:r>
    </w:p>
    <w:p>
      <w:pPr>
        <w:spacing w:after="100" w:line="280"/>
        <w:ind w:left="360" w:hanging="360"/>
      </w:pPr>
      <w:r>
        <w:rPr>
          <w:rFonts w:ascii="Calibri" w:cs="Calibri" w:eastAsia="Calibri" w:hAnsi="Calibri"/>
          <w:sz w:val="20"/>
          <w:szCs w:val="20"/>
        </w:rPr>
        <w:t xml:space="preserve">Zhu W., Shenoy A., Kundrotas P., Elofsson A. (2023). Evaluation of AlphaFold-Multimer prediction on multi-chain protein complexes. Bioinformatics 39:btad424.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 reliability analysis for the negative-steering pipeline</dc:title>
  <dc:creator>Metric reliability analysis — revised</dc:creator>
  <dc:description>Research memo with review annotations</dc:description>
  <cp:lastModifiedBy>Un-named</cp:lastModifiedBy>
  <cp:revision>1</cp:revision>
  <dcterms:created xsi:type="dcterms:W3CDTF">2026-04-17T19:33:59.462Z</dcterms:created>
  <dcterms:modified xsi:type="dcterms:W3CDTF">2026-04-17T19:33:59.463Z</dcterms:modified>
</cp:coreProperties>
</file>

<file path=docProps/custom.xml><?xml version="1.0" encoding="utf-8"?>
<Properties xmlns="http://schemas.openxmlformats.org/officeDocument/2006/custom-properties" xmlns:vt="http://schemas.openxmlformats.org/officeDocument/2006/docPropsVTypes"/>
</file>