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sz w:val="40"/>
          <w:szCs w:val="40"/>
        </w:rPr>
        <w:t xml:space="preserve">Receptor Resurfacing Pipeline</w:t>
      </w:r>
    </w:p>
    <w:p>
      <w:pPr>
        <w:spacing w:after="120"/>
        <w:jc w:val="center"/>
      </w:pPr>
      <w:r>
        <w:rPr>
          <w:rFonts w:ascii="Arial" w:cs="Arial" w:eastAsia="Arial" w:hAnsi="Arial"/>
          <w:b/>
          <w:bCs/>
          <w:sz w:val="26"/>
          <w:szCs w:val="26"/>
        </w:rPr>
        <w:t xml:space="preserve">Todo list — v10</w:t>
      </w:r>
    </w:p>
    <w:p>
      <w:pPr>
        <w:spacing w:after="360"/>
        <w:jc w:val="center"/>
      </w:pPr>
      <w:r>
        <w:rPr>
          <w:rFonts w:ascii="Arial" w:cs="Arial" w:eastAsia="Arial" w:hAnsi="Arial"/>
          <w:i/>
          <w:iCs/>
          <w:color w:val="595959"/>
          <w:sz w:val="22"/>
          <w:szCs w:val="22"/>
        </w:rPr>
        <w:t xml:space="preserve">Updated 29 April 2026 (post supervisor-demo session)</w:t>
      </w:r>
    </w:p>
    <w:p>
      <w:pPr>
        <w:spacing w:after="720"/>
        <w:jc w:val="center"/>
      </w:pPr>
      <w:r>
        <w:rPr>
          <w:rFonts w:ascii="Arial" w:cs="Arial" w:eastAsia="Arial" w:hAnsi="Arial"/>
          <w:i/>
          <w:iCs/>
          <w:color w:val="808080"/>
          <w:sz w:val="20"/>
          <w:szCs w:val="20"/>
        </w:rPr>
        <w:t xml:space="preserve">Supersedes todo_list9.docx</w:t>
      </w:r>
    </w:p>
    <w:p>
      <w:pPr>
        <w:pStyle w:val="Heading1"/>
        <w:spacing w:after="180" w:before="360"/>
      </w:pPr>
      <w:r>
        <w:rPr>
          <w:rFonts w:ascii="Arial" w:cs="Arial" w:eastAsia="Arial" w:hAnsi="Arial"/>
          <w:b/>
          <w:bCs/>
          <w:sz w:val="32"/>
          <w:szCs w:val="32"/>
        </w:rPr>
        <w:t xml:space="preserve">What’s new in v10</w:t>
      </w:r>
    </w:p>
    <w:p>
      <w:pPr>
        <w:spacing w:after="80" w:before="80"/>
      </w:pPr>
      <w:r>
        <w:rPr>
          <w:rFonts w:ascii="Arial" w:cs="Arial" w:eastAsia="Arial" w:hAnsi="Arial"/>
          <w:sz w:val="22"/>
          <w:szCs w:val="22"/>
        </w:rPr>
        <w:t xml:space="preserve">v9 closed with the first full-pipeline overnight run submitted with the complete patched stack (HADDOCK → RFDiffusion → Rosetta filter → MPNN → Negsteer → Orthogonal Metrics). v10 captures what the user discovered when they came in to the completed run on 29 April 2026 and tried to use the cohort summary plot for supervisor demo prep.</w:t>
      </w:r>
    </w:p>
    <w:p>
      <w:pPr>
        <w:spacing w:after="80" w:before="80"/>
      </w:pPr>
      <w:r>
        <w:rPr>
          <w:rFonts w:ascii="Arial" w:cs="Arial" w:eastAsia="Arial" w:hAnsi="Arial"/>
          <w:sz w:val="22"/>
          <w:szCs w:val="22"/>
        </w:rPr>
        <w:t xml:space="preserve">The overnight run’s outputs revealed six silent-failure bugs, none of which were caught by the pipeline itself — the runs all reported “Succeeded” but the cohort plot showed missing or misleading data. Three were classic silent failures (Rosetta exit code logged to stdout but only stderr captured; AF3 parser found 1 prediction instead of 15 and trusted total_predictions=1; residue numbering mismatch between AF3 and ground-truth that one design narrowly survived by coincidence). One (Bug 4) was a latent bug unmasked once another fix opened a previously-unreached code path. The remaining two were a relative-path resolution leak in `params.yml` and a tier-none-fallback gap in `cross_sequence_summary.py`.</w:t>
      </w:r>
    </w:p>
    <w:p>
      <w:pPr>
        <w:spacing w:after="80" w:before="80"/>
      </w:pPr>
      <w:r>
        <w:rPr>
          <w:rFonts w:ascii="Arial" w:cs="Arial" w:eastAsia="Arial" w:hAnsi="Arial"/>
          <w:sz w:val="22"/>
          <w:szCs w:val="22"/>
        </w:rPr>
        <w:t xml:space="preserve">All six fixes were validated against the actual production cohort. The plot also received four structural improvements (tier-first sort, receptor RMSD column, AF3 iptm column removed, scatter recolouring by tier instead of pass/fail, and legend repositioning above data) that were either user requests or surfaced as the data became readable.</w:t>
      </w:r>
    </w:p>
    <w:p>
      <w:pPr>
        <w:spacing w:after="80" w:before="80"/>
      </w:pPr>
      <w:r>
        <w:rPr>
          <w:rFonts w:ascii="Arial" w:cs="Arial" w:eastAsia="Arial" w:hAnsi="Arial"/>
          <w:sz w:val="22"/>
          <w:szCs w:val="22"/>
        </w:rPr>
        <w:t xml:space="preserve">In passing, a systemic Nextflow caching gotcha was diagnosed (script-by-absolute-path invocations don’t invalidate cache when the script content changes — cost us 4 round-trips this session). Partial mitigation deployed; full audit added as Task 61.</w:t>
      </w:r>
    </w:p>
    <w:p>
      <w:pPr>
        <w:spacing w:after="80" w:before="80"/>
      </w:pPr>
      <w:r>
        <w:rPr>
          <w:rFonts w:ascii="Arial" w:cs="Arial" w:eastAsia="Arial" w:hAnsi="Arial"/>
          <w:sz w:val="22"/>
          <w:szCs w:val="22"/>
        </w:rPr>
        <w:t xml:space="preserve">Status flags below: items completed this session are highlighted green; items new in v10 are highlighted blue.</w:t>
      </w:r>
    </w:p>
    <w:p>
      <w:pPr>
        <w:pStyle w:val="Heading1"/>
        <w:pageBreakBefore/>
        <w:spacing w:after="180" w:before="360"/>
      </w:pPr>
      <w:r>
        <w:rPr>
          <w:rFonts w:ascii="Arial" w:cs="Arial" w:eastAsia="Arial" w:hAnsi="Arial"/>
          <w:b/>
          <w:bCs/>
          <w:sz w:val="32"/>
          <w:szCs w:val="32"/>
        </w:rPr>
        <w:t xml:space="preserve">1. Completed during the 2026-04-29 session</w:t>
      </w:r>
    </w:p>
    <w:p>
      <w:pPr>
        <w:spacing w:after="80" w:before="80"/>
      </w:pPr>
      <w:r>
        <w:rPr>
          <w:rFonts w:ascii="Arial" w:cs="Arial" w:eastAsia="Arial" w:hAnsi="Arial"/>
          <w:sz w:val="22"/>
          <w:szCs w:val="22"/>
        </w:rPr>
        <w:t xml:space="preserve">These are bugs that surfaced during the overnight-run inspection plus the structural plot improvements that the user requested or that emerged as the data became visible. All patches were staged in /mnt/user-data/outputs/ and deployed by the user to the cluster. All validated against real production data (32-design + 2-control end-to-end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400"/>
        <w:gridCol w:w="1200"/>
        <w:gridCol w:w="960"/>
      </w:tblGrid>
      <w:tr>
        <w:trPr>
          <w:tblHeader/>
        </w:trPr>
        <w:tc>
          <w:tcPr>
            <w:tcW w:type="dxa" w:w="8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sz w:val="20"/>
                <w:szCs w:val="20"/>
              </w:rPr>
              <w:t xml:space="preserve">№</w:t>
            </w:r>
          </w:p>
        </w:tc>
        <w:tc>
          <w:tcPr>
            <w:tcW w:type="dxa" w:w="64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1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96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sz w:val="20"/>
                <w:szCs w:val="20"/>
              </w:rPr>
              <w:t xml:space="preserve">Owner</w:t>
            </w:r>
          </w:p>
        </w:tc>
      </w:tr>
      <w:tr>
        <w:tc>
          <w:tcPr>
            <w:tcW w:type="dxa" w:w="8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bCs/>
                <w:sz w:val="20"/>
                <w:szCs w:val="20"/>
              </w:rPr>
              <w:t xml:space="preserve">Bug 1</w:t>
            </w:r>
          </w:p>
        </w:tc>
        <w:tc>
          <w:tcPr>
            <w:tcW w:type="dxa" w:w="64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Rosetta FastRelax XML schema mismatch — default_repeats moved from XML attribute (rejected by Rosetta 2025.37) to cmdline -relax:default_repeats. Wrapper now captures both stdout and stderr on failure (was stderr only — Rosetta logs schema errors to stdout). After fix, sc and rosetta_ddg populated for every survivor; ddg values land in −70 REU range, consistent with Bennett 2023 calibration. Task 14 follow-up.</w:t>
            </w:r>
          </w:p>
        </w:tc>
        <w:tc>
          <w:tcPr>
            <w:tcW w:type="dxa" w:w="12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Done</w:t>
            </w:r>
          </w:p>
        </w:tc>
        <w:tc>
          <w:tcPr>
            <w:tcW w:type="dxa" w:w="96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Claude</w:t>
            </w:r>
          </w:p>
        </w:tc>
      </w:tr>
      <w:tr>
        <w:tc>
          <w:tcPr>
            <w:tcW w:type="dxa" w:w="8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b/>
                <w:bCs/>
                <w:sz w:val="20"/>
                <w:szCs w:val="20"/>
              </w:rPr>
              <w:t xml:space="preserve">Bug 2</w:t>
            </w:r>
          </w:p>
        </w:tc>
        <w:tc>
          <w:tcPr>
            <w:tcW w:type="dxa" w:w="6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params.outdir relative-path leak — ${params.outdir} interpolated into shell command lines and passed to scripts that call Path.resolve() inside container resolves against task work dir, not launch dir. Manifest is_file() check rejected every row → orthogonal stage produced 0 outputs while pipeline reported success. Workaround: absolute path required in params.yml.</w:t>
            </w:r>
          </w:p>
        </w:tc>
        <w:tc>
          <w:tcPr>
            <w:tcW w:type="dxa" w:w="1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Workaround</w:t>
            </w:r>
          </w:p>
        </w:tc>
        <w:tc>
          <w:tcPr>
            <w:tcW w:type="dxa" w:w="9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Claude</w:t>
            </w:r>
          </w:p>
        </w:tc>
      </w:tr>
      <w:tr>
        <w:tc>
          <w:tcPr>
            <w:tcW w:type="dxa" w:w="8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bCs/>
                <w:sz w:val="20"/>
                <w:szCs w:val="20"/>
              </w:rPr>
              <w:t xml:space="preserve">Bug 3</w:t>
            </w:r>
          </w:p>
        </w:tc>
        <w:tc>
          <w:tcPr>
            <w:tcW w:type="dxa" w:w="64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tier-none rows showing all metrics blank — _pick_representative returned None when passing_summary.csv was empty. New _pick_representative_from_aggregated fallback in cross_sequence_summary.py reads aggregated_results.csv directly. 25/25 tier-none rows now populate.</w:t>
            </w:r>
          </w:p>
        </w:tc>
        <w:tc>
          <w:tcPr>
            <w:tcW w:type="dxa" w:w="12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Done</w:t>
            </w:r>
          </w:p>
        </w:tc>
        <w:tc>
          <w:tcPr>
            <w:tcW w:type="dxa" w:w="96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Claude</w:t>
            </w:r>
          </w:p>
        </w:tc>
      </w:tr>
      <w:tr>
        <w:tc>
          <w:tcPr>
            <w:tcW w:type="dxa" w:w="8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bCs/>
                <w:sz w:val="20"/>
                <w:szCs w:val="20"/>
              </w:rPr>
              <w:t xml:space="preserve">Bug 4</w:t>
            </w:r>
          </w:p>
        </w:tc>
        <w:tc>
          <w:tcPr>
            <w:tcW w:type="dxa" w:w="64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extract_row stage selection wrong for failed-reversion verdicts — used reverted_* only for pose_holds, falling back to steered_* for pose_collapses and new_contamination. Misleadingly surfaced cold-start metrics for designs that failed reversion (d11_s1: showed steered ra_eff=2.13 instead of reverted 31.33). Latent bug, only surfaced via Bug 3’s fallback.</w:t>
            </w:r>
          </w:p>
        </w:tc>
        <w:tc>
          <w:tcPr>
            <w:tcW w:type="dxa" w:w="12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Done</w:t>
            </w:r>
          </w:p>
        </w:tc>
        <w:tc>
          <w:tcPr>
            <w:tcW w:type="dxa" w:w="96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Claude</w:t>
            </w:r>
          </w:p>
        </w:tc>
      </w:tr>
      <w:tr>
        <w:tc>
          <w:tcPr>
            <w:tcW w:type="dxa" w:w="8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bCs/>
                <w:sz w:val="20"/>
                <w:szCs w:val="20"/>
              </w:rPr>
              <w:t xml:space="preserve">Bug 5</w:t>
            </w:r>
          </w:p>
        </w:tc>
        <w:tc>
          <w:tcPr>
            <w:tcW w:type="dxa" w:w="64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AF3 parser glob *_model.cif missed 14 of 15 predictions per survivor. AF3’s 15 per-sample CIFs are bare model.cif inside seed-N_sample-M/ subdirs; the glob only matched the top-level &lt;name&gt;_model.cif (a renamed copy of one sample). Fixed glob, added per-prediction stderr instrumentation.</w:t>
            </w:r>
          </w:p>
        </w:tc>
        <w:tc>
          <w:tcPr>
            <w:tcW w:type="dxa" w:w="12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Done</w:t>
            </w:r>
          </w:p>
        </w:tc>
        <w:tc>
          <w:tcPr>
            <w:tcW w:type="dxa" w:w="96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Claude</w:t>
            </w:r>
          </w:p>
        </w:tc>
      </w:tr>
      <w:tr>
        <w:tc>
          <w:tcPr>
            <w:tcW w:type="dxa" w:w="8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bCs/>
                <w:sz w:val="20"/>
                <w:szCs w:val="20"/>
              </w:rPr>
              <w:t xml:space="preserve">Bug 6</w:t>
            </w:r>
          </w:p>
        </w:tc>
        <w:tc>
          <w:tcPr>
            <w:tcW w:type="dxa" w:w="64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AF3 parser failed for 11/22 survivors due to residue numbering convention mismatch — ground-truth uses continuous numbering across chains (chain B 83-164), AF3 uses per-chain (chain B 1-82). Switched from intersect-by-resnum to pair-by-position. design_19 had narrowly slipped through with 5 residues of accidental overlap.</w:t>
            </w:r>
          </w:p>
        </w:tc>
        <w:tc>
          <w:tcPr>
            <w:tcW w:type="dxa" w:w="12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Done</w:t>
            </w:r>
          </w:p>
        </w:tc>
        <w:tc>
          <w:tcPr>
            <w:tcW w:type="dxa" w:w="96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Claude</w:t>
            </w:r>
          </w:p>
        </w:tc>
      </w:tr>
      <w:tr>
        <w:tc>
          <w:tcPr>
            <w:tcW w:type="dxa" w:w="8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bCs/>
                <w:sz w:val="20"/>
                <w:szCs w:val="20"/>
              </w:rPr>
              <w:t xml:space="preserve">Plot A</w:t>
            </w:r>
          </w:p>
        </w:tc>
        <w:tc>
          <w:tcPr>
            <w:tcW w:type="dxa" w:w="64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Cohort summary tier-first row sort — sort key changed from -composite to (tier_order, -composite). Mirrors cross_rank_by_composite in the CSV.</w:t>
            </w:r>
          </w:p>
        </w:tc>
        <w:tc>
          <w:tcPr>
            <w:tcW w:type="dxa" w:w="12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Done</w:t>
            </w:r>
          </w:p>
        </w:tc>
        <w:tc>
          <w:tcPr>
            <w:tcW w:type="dxa" w:w="96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Claude</w:t>
            </w:r>
          </w:p>
        </w:tc>
      </w:tr>
      <w:tr>
        <w:tc>
          <w:tcPr>
            <w:tcW w:type="dxa" w:w="8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bCs/>
                <w:sz w:val="20"/>
                <w:szCs w:val="20"/>
              </w:rPr>
              <w:t xml:space="preserve">Plot B</w:t>
            </w:r>
          </w:p>
        </w:tc>
        <w:tc>
          <w:tcPr>
            <w:tcW w:type="dxa" w:w="64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Cohort summary receptor RMSD column added (representative_independent_receptor_rmsd_median) immediately after Boltz_ra_eff. Threshold ≤5.0 matching the pipeline’s existing intact-check.</w:t>
            </w:r>
          </w:p>
        </w:tc>
        <w:tc>
          <w:tcPr>
            <w:tcW w:type="dxa" w:w="12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Done</w:t>
            </w:r>
          </w:p>
        </w:tc>
        <w:tc>
          <w:tcPr>
            <w:tcW w:type="dxa" w:w="96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Claude</w:t>
            </w:r>
          </w:p>
        </w:tc>
      </w:tr>
      <w:tr>
        <w:tc>
          <w:tcPr>
            <w:tcW w:type="dxa" w:w="8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bCs/>
                <w:sz w:val="20"/>
                <w:szCs w:val="20"/>
              </w:rPr>
              <w:t xml:space="preserve">Plot C</w:t>
            </w:r>
          </w:p>
        </w:tc>
        <w:tc>
          <w:tcPr>
            <w:tcW w:type="dxa" w:w="64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Cohort summary AF3 iptm column removed — redundant with AF3 ra_eff for triage.</w:t>
            </w:r>
          </w:p>
        </w:tc>
        <w:tc>
          <w:tcPr>
            <w:tcW w:type="dxa" w:w="12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Done</w:t>
            </w:r>
          </w:p>
        </w:tc>
        <w:tc>
          <w:tcPr>
            <w:tcW w:type="dxa" w:w="96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Claude</w:t>
            </w:r>
          </w:p>
        </w:tc>
      </w:tr>
      <w:tr>
        <w:tc>
          <w:tcPr>
            <w:tcW w:type="dxa" w:w="8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bCs/>
                <w:sz w:val="20"/>
                <w:szCs w:val="20"/>
              </w:rPr>
              <w:t xml:space="preserve">Plot D</w:t>
            </w:r>
          </w:p>
        </w:tc>
        <w:tc>
          <w:tcPr>
            <w:tcW w:type="dxa" w:w="64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af3_vs_boltz and metrics_vs_composite scatter recoloured by tier (was global pass/fail). Z-stack: A on top of B on top of C on top of none. Threshold lines + shaded fail-regions still convey per-metric pass/fail visually. Side-effect: fixes a per-panel pass/fail-mismatch bug in metrics_vs_composite where every panel showed “Fail” for any row failing any one filter.</w:t>
            </w:r>
          </w:p>
        </w:tc>
        <w:tc>
          <w:tcPr>
            <w:tcW w:type="dxa" w:w="12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Done</w:t>
            </w:r>
          </w:p>
        </w:tc>
        <w:tc>
          <w:tcPr>
            <w:tcW w:type="dxa" w:w="96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Claude</w:t>
            </w:r>
          </w:p>
        </w:tc>
      </w:tr>
      <w:tr>
        <w:tc>
          <w:tcPr>
            <w:tcW w:type="dxa" w:w="8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bCs/>
                <w:sz w:val="20"/>
                <w:szCs w:val="20"/>
              </w:rPr>
              <w:t xml:space="preserve">Plot E</w:t>
            </w:r>
          </w:p>
        </w:tc>
        <w:tc>
          <w:tcPr>
            <w:tcW w:type="dxa" w:w="64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Legends moved above data points across all three scatter/cascade plots. metrics_vs_composite per-panel legends replaced with one shared figure-level legend; per-panel threshold values moved into x-axis labels with unicode ≤ / ≥ glyphs.</w:t>
            </w:r>
          </w:p>
        </w:tc>
        <w:tc>
          <w:tcPr>
            <w:tcW w:type="dxa" w:w="12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Done</w:t>
            </w:r>
          </w:p>
        </w:tc>
        <w:tc>
          <w:tcPr>
            <w:tcW w:type="dxa" w:w="96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Claude</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Three of the bugs (1, 5, 6) were classic silent failures — the pipeline reported success but the data was wrong. Each one underscores why Task 59 (unit tests for failure-mode-prone parts of the pipeline) is worth doing soon: a handful of tests with known-good inputs would have caught all three before they reached the cohort plot.</w:t>
      </w:r>
    </w:p>
    <w:p>
      <w:pPr>
        <w:spacing w:after="80" w:before="80"/>
      </w:pPr>
      <w:r>
        <w:rPr>
          <w:rFonts w:ascii="Arial" w:cs="Arial" w:eastAsia="Arial" w:hAnsi="Arial"/>
          <w:sz w:val="22"/>
          <w:szCs w:val="22"/>
        </w:rPr>
        <w:t xml:space="preserve">Bug 4 was a different category — the pipeline’s existing logic was wrong for verdicts it didn’t normally see, and the bug only surfaced once Bug 3’s fallback started exercising the previously-unreached code path. The pattern: a function branches on a discriminator (verdict, status, type, etc.) and only some values of the discriminator actually reach it through current callers; the code paths for the other values are untested. Worth folding this audit pattern into Task 59.</w:t>
      </w:r>
    </w:p>
    <w:p>
      <w:pPr>
        <w:pStyle w:val="Heading1"/>
        <w:pageBreakBefore/>
        <w:spacing w:after="180" w:before="360"/>
      </w:pPr>
      <w:r>
        <w:rPr>
          <w:rFonts w:ascii="Arial" w:cs="Arial" w:eastAsia="Arial" w:hAnsi="Arial"/>
          <w:b/>
          <w:bCs/>
          <w:sz w:val="32"/>
          <w:szCs w:val="32"/>
        </w:rPr>
        <w:t xml:space="preserve">2. New strategic items added in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400"/>
        <w:gridCol w:w="1200"/>
        <w:gridCol w:w="960"/>
      </w:tblGrid>
      <w:tr>
        <w:trPr>
          <w:tblHeader/>
        </w:trPr>
        <w:tc>
          <w:tcPr>
            <w:tcW w:type="dxa" w:w="8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sz w:val="20"/>
                <w:szCs w:val="20"/>
              </w:rPr>
              <w:t xml:space="preserve">№</w:t>
            </w:r>
          </w:p>
        </w:tc>
        <w:tc>
          <w:tcPr>
            <w:tcW w:type="dxa" w:w="64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1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96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sz w:val="20"/>
                <w:szCs w:val="20"/>
              </w:rPr>
              <w:t xml:space="preserve">Owner</w:t>
            </w:r>
          </w:p>
        </w:tc>
      </w:tr>
      <w:tr>
        <w:tc>
          <w:tcPr>
            <w:tcW w:type="dxa" w:w="800"/>
            <w:tcBorders>
              <w:top w:val="single" w:color="BFBFBF" w:sz="4"/>
              <w:left w:val="single" w:color="BFBFBF" w:sz="4"/>
              <w:bottom w:val="single" w:color="BFBFBF" w:sz="4"/>
              <w:right w:val="single" w:color="BFBFBF" w:sz="4"/>
            </w:tcBorders>
            <w:shd w:fill="DAE8FC" w:val="clear"/>
            <w:tcMar>
              <w:top w:type="dxa" w:w="80"/>
              <w:left w:type="dxa" w:w="120"/>
              <w:bottom w:type="dxa" w:w="80"/>
              <w:right w:type="dxa" w:w="120"/>
            </w:tcMar>
          </w:tcPr>
          <w:p>
            <w:r>
              <w:rPr>
                <w:rFonts w:ascii="Arial" w:cs="Arial" w:eastAsia="Arial" w:hAnsi="Arial"/>
                <w:b/>
                <w:bCs/>
                <w:sz w:val="20"/>
                <w:szCs w:val="20"/>
              </w:rPr>
              <w:t xml:space="preserve">60</w:t>
            </w:r>
          </w:p>
        </w:tc>
        <w:tc>
          <w:tcPr>
            <w:tcW w:type="dxa" w:w="6400"/>
            <w:tcBorders>
              <w:top w:val="single" w:color="BFBFBF" w:sz="4"/>
              <w:left w:val="single" w:color="BFBFBF" w:sz="4"/>
              <w:bottom w:val="single" w:color="BFBFBF" w:sz="4"/>
              <w:right w:val="single" w:color="BFBFBF" w:sz="4"/>
            </w:tcBorders>
            <w:shd w:fill="DAE8FC" w:val="clear"/>
            <w:tcMar>
              <w:top w:type="dxa" w:w="80"/>
              <w:left w:type="dxa" w:w="120"/>
              <w:bottom w:type="dxa" w:w="80"/>
              <w:right w:type="dxa" w:w="120"/>
            </w:tcMar>
          </w:tcPr>
          <w:p>
            <w:r>
              <w:rPr>
                <w:rFonts w:ascii="Arial" w:cs="Arial" w:eastAsia="Arial" w:hAnsi="Arial"/>
                <w:b w:val="false"/>
                <w:bCs w:val="false"/>
                <w:sz w:val="20"/>
                <w:szCs w:val="20"/>
              </w:rPr>
              <w:t xml:space="preserve">Real fix for params.outdir relative-path handling. Workaround in place (absolute path required in params.yml) but anyone editing the file could re-introduce the trap. Either toAbsolutePath() at workflow entry block before any process sees the value, or validate params.yml requires absolute paths.</w:t>
            </w:r>
          </w:p>
        </w:tc>
        <w:tc>
          <w:tcPr>
            <w:tcW w:type="dxa" w:w="1200"/>
            <w:tcBorders>
              <w:top w:val="single" w:color="BFBFBF" w:sz="4"/>
              <w:left w:val="single" w:color="BFBFBF" w:sz="4"/>
              <w:bottom w:val="single" w:color="BFBFBF" w:sz="4"/>
              <w:right w:val="single" w:color="BFBFBF" w:sz="4"/>
            </w:tcBorders>
            <w:shd w:fill="DAE8FC" w:val="clear"/>
            <w:tcMar>
              <w:top w:type="dxa" w:w="80"/>
              <w:left w:type="dxa" w:w="120"/>
              <w:bottom w:type="dxa" w:w="80"/>
              <w:right w:type="dxa" w:w="120"/>
            </w:tcMar>
          </w:tcPr>
          <w:p>
            <w:r>
              <w:rPr>
                <w:rFonts w:ascii="Arial" w:cs="Arial" w:eastAsia="Arial" w:hAnsi="Arial"/>
                <w:b w:val="false"/>
                <w:bCs w:val="false"/>
                <w:sz w:val="20"/>
                <w:szCs w:val="20"/>
              </w:rPr>
              <w:t xml:space="preserve">New</w:t>
            </w:r>
          </w:p>
        </w:tc>
        <w:tc>
          <w:tcPr>
            <w:tcW w:type="dxa" w:w="960"/>
            <w:tcBorders>
              <w:top w:val="single" w:color="BFBFBF" w:sz="4"/>
              <w:left w:val="single" w:color="BFBFBF" w:sz="4"/>
              <w:bottom w:val="single" w:color="BFBFBF" w:sz="4"/>
              <w:right w:val="single" w:color="BFBFBF" w:sz="4"/>
            </w:tcBorders>
            <w:shd w:fill="DAE8FC"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800"/>
            <w:tcBorders>
              <w:top w:val="single" w:color="BFBFBF" w:sz="4"/>
              <w:left w:val="single" w:color="BFBFBF" w:sz="4"/>
              <w:bottom w:val="single" w:color="BFBFBF" w:sz="4"/>
              <w:right w:val="single" w:color="BFBFBF" w:sz="4"/>
            </w:tcBorders>
            <w:shd w:fill="DAE8FC" w:val="clear"/>
            <w:tcMar>
              <w:top w:type="dxa" w:w="80"/>
              <w:left w:type="dxa" w:w="120"/>
              <w:bottom w:type="dxa" w:w="80"/>
              <w:right w:type="dxa" w:w="120"/>
            </w:tcMar>
          </w:tcPr>
          <w:p>
            <w:r>
              <w:rPr>
                <w:rFonts w:ascii="Arial" w:cs="Arial" w:eastAsia="Arial" w:hAnsi="Arial"/>
                <w:b/>
                <w:bCs/>
                <w:sz w:val="20"/>
                <w:szCs w:val="20"/>
              </w:rPr>
              <w:t xml:space="preserve">61</w:t>
            </w:r>
          </w:p>
        </w:tc>
        <w:tc>
          <w:tcPr>
            <w:tcW w:type="dxa" w:w="6400"/>
            <w:tcBorders>
              <w:top w:val="single" w:color="BFBFBF" w:sz="4"/>
              <w:left w:val="single" w:color="BFBFBF" w:sz="4"/>
              <w:bottom w:val="single" w:color="BFBFBF" w:sz="4"/>
              <w:right w:val="single" w:color="BFBFBF" w:sz="4"/>
            </w:tcBorders>
            <w:shd w:fill="DAE8FC" w:val="clear"/>
            <w:tcMar>
              <w:top w:type="dxa" w:w="80"/>
              <w:left w:type="dxa" w:w="120"/>
              <w:bottom w:type="dxa" w:w="80"/>
              <w:right w:type="dxa" w:w="120"/>
            </w:tcMar>
          </w:tcPr>
          <w:p>
            <w:r>
              <w:rPr>
                <w:rFonts w:ascii="Arial" w:cs="Arial" w:eastAsia="Arial" w:hAnsi="Arial"/>
                <w:b w:val="false"/>
                <w:bCs w:val="false"/>
                <w:sz w:val="20"/>
                <w:szCs w:val="20"/>
              </w:rPr>
              <w:t xml:space="preserve">Audit every ${projectDir}/bin/&lt;script&gt;.py invocation in the .nf modules and convert to path script_input pattern. Nextflow’s task-cache hash is computed over the interpolated script command string, NOT the contents of external scripts the command references — so editing a python script doesn’t bust the cache and -resume silently returns the previous (broken) output. Bit us 4 times this session. Mitigations done for AF3_PARSE_OUTPUT and ORTHOG_PLOTS; everything else needs the same treatment. Until done, every script edit needs a corresponding .nf body touch (any change — comment edit is sufficient) to invalidate the cache.</w:t>
            </w:r>
          </w:p>
        </w:tc>
        <w:tc>
          <w:tcPr>
            <w:tcW w:type="dxa" w:w="1200"/>
            <w:tcBorders>
              <w:top w:val="single" w:color="BFBFBF" w:sz="4"/>
              <w:left w:val="single" w:color="BFBFBF" w:sz="4"/>
              <w:bottom w:val="single" w:color="BFBFBF" w:sz="4"/>
              <w:right w:val="single" w:color="BFBFBF" w:sz="4"/>
            </w:tcBorders>
            <w:shd w:fill="DAE8FC" w:val="clear"/>
            <w:tcMar>
              <w:top w:type="dxa" w:w="80"/>
              <w:left w:type="dxa" w:w="120"/>
              <w:bottom w:type="dxa" w:w="80"/>
              <w:right w:type="dxa" w:w="120"/>
            </w:tcMar>
          </w:tcPr>
          <w:p>
            <w:r>
              <w:rPr>
                <w:rFonts w:ascii="Arial" w:cs="Arial" w:eastAsia="Arial" w:hAnsi="Arial"/>
                <w:b w:val="false"/>
                <w:bCs w:val="false"/>
                <w:sz w:val="20"/>
                <w:szCs w:val="20"/>
              </w:rPr>
              <w:t xml:space="preserve">New</w:t>
            </w:r>
          </w:p>
        </w:tc>
        <w:tc>
          <w:tcPr>
            <w:tcW w:type="dxa" w:w="960"/>
            <w:tcBorders>
              <w:top w:val="single" w:color="BFBFBF" w:sz="4"/>
              <w:left w:val="single" w:color="BFBFBF" w:sz="4"/>
              <w:bottom w:val="single" w:color="BFBFBF" w:sz="4"/>
              <w:right w:val="single" w:color="BFBFBF" w:sz="4"/>
            </w:tcBorders>
            <w:shd w:fill="DAE8FC"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800"/>
            <w:tcBorders>
              <w:top w:val="single" w:color="BFBFBF" w:sz="4"/>
              <w:left w:val="single" w:color="BFBFBF" w:sz="4"/>
              <w:bottom w:val="single" w:color="BFBFBF" w:sz="4"/>
              <w:right w:val="single" w:color="BFBFBF" w:sz="4"/>
            </w:tcBorders>
            <w:shd w:fill="DAE8FC" w:val="clear"/>
            <w:tcMar>
              <w:top w:type="dxa" w:w="80"/>
              <w:left w:type="dxa" w:w="120"/>
              <w:bottom w:type="dxa" w:w="80"/>
              <w:right w:type="dxa" w:w="120"/>
            </w:tcMar>
          </w:tcPr>
          <w:p>
            <w:r>
              <w:rPr>
                <w:rFonts w:ascii="Arial" w:cs="Arial" w:eastAsia="Arial" w:hAnsi="Arial"/>
                <w:b/>
                <w:bCs/>
                <w:sz w:val="20"/>
                <w:szCs w:val="20"/>
              </w:rPr>
              <w:t xml:space="preserve">62</w:t>
            </w:r>
          </w:p>
        </w:tc>
        <w:tc>
          <w:tcPr>
            <w:tcW w:type="dxa" w:w="6400"/>
            <w:tcBorders>
              <w:top w:val="single" w:color="BFBFBF" w:sz="4"/>
              <w:left w:val="single" w:color="BFBFBF" w:sz="4"/>
              <w:bottom w:val="single" w:color="BFBFBF" w:sz="4"/>
              <w:right w:val="single" w:color="BFBFBF" w:sz="4"/>
            </w:tcBorders>
            <w:shd w:fill="DAE8FC" w:val="clear"/>
            <w:tcMar>
              <w:top w:type="dxa" w:w="80"/>
              <w:left w:type="dxa" w:w="120"/>
              <w:bottom w:type="dxa" w:w="80"/>
              <w:right w:type="dxa" w:w="120"/>
            </w:tcMar>
          </w:tcPr>
          <w:p>
            <w:r>
              <w:rPr>
                <w:rFonts w:ascii="Arial" w:cs="Arial" w:eastAsia="Arial" w:hAnsi="Arial"/>
                <w:b w:val="false"/>
                <w:bCs w:val="false"/>
                <w:sz w:val="20"/>
                <w:szCs w:val="20"/>
              </w:rPr>
              <w:t xml:space="preserve">Surface aggregated_verdict in cohort summary plot. Tier-none rows currently leave the reader to guess WHY they failed (pose_collapses vs new_contamination vs no_data vs mixed). An annotation column or a tag next to the tier stripe would make the failure mode visible at a glance. Came up via the d11_s1 confusion this session — user couldn’t tell why a row with good-looking metrics was tier-none until we dug into the verdict semantics.</w:t>
            </w:r>
          </w:p>
        </w:tc>
        <w:tc>
          <w:tcPr>
            <w:tcW w:type="dxa" w:w="1200"/>
            <w:tcBorders>
              <w:top w:val="single" w:color="BFBFBF" w:sz="4"/>
              <w:left w:val="single" w:color="BFBFBF" w:sz="4"/>
              <w:bottom w:val="single" w:color="BFBFBF" w:sz="4"/>
              <w:right w:val="single" w:color="BFBFBF" w:sz="4"/>
            </w:tcBorders>
            <w:shd w:fill="DAE8FC" w:val="clear"/>
            <w:tcMar>
              <w:top w:type="dxa" w:w="80"/>
              <w:left w:type="dxa" w:w="120"/>
              <w:bottom w:type="dxa" w:w="80"/>
              <w:right w:type="dxa" w:w="120"/>
            </w:tcMar>
          </w:tcPr>
          <w:p>
            <w:r>
              <w:rPr>
                <w:rFonts w:ascii="Arial" w:cs="Arial" w:eastAsia="Arial" w:hAnsi="Arial"/>
                <w:b w:val="false"/>
                <w:bCs w:val="false"/>
                <w:sz w:val="20"/>
                <w:szCs w:val="20"/>
              </w:rPr>
              <w:t xml:space="preserve">New</w:t>
            </w:r>
          </w:p>
        </w:tc>
        <w:tc>
          <w:tcPr>
            <w:tcW w:type="dxa" w:w="960"/>
            <w:tcBorders>
              <w:top w:val="single" w:color="BFBFBF" w:sz="4"/>
              <w:left w:val="single" w:color="BFBFBF" w:sz="4"/>
              <w:bottom w:val="single" w:color="BFBFBF" w:sz="4"/>
              <w:right w:val="single" w:color="BFBFBF" w:sz="4"/>
            </w:tcBorders>
            <w:shd w:fill="DAE8FC"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800"/>
            <w:tcBorders>
              <w:top w:val="single" w:color="BFBFBF" w:sz="4"/>
              <w:left w:val="single" w:color="BFBFBF" w:sz="4"/>
              <w:bottom w:val="single" w:color="BFBFBF" w:sz="4"/>
              <w:right w:val="single" w:color="BFBFBF" w:sz="4"/>
            </w:tcBorders>
            <w:shd w:fill="DAE8FC" w:val="clear"/>
            <w:tcMar>
              <w:top w:type="dxa" w:w="80"/>
              <w:left w:type="dxa" w:w="120"/>
              <w:bottom w:type="dxa" w:w="80"/>
              <w:right w:type="dxa" w:w="120"/>
            </w:tcMar>
          </w:tcPr>
          <w:p>
            <w:r>
              <w:rPr>
                <w:rFonts w:ascii="Arial" w:cs="Arial" w:eastAsia="Arial" w:hAnsi="Arial"/>
                <w:b/>
                <w:bCs/>
                <w:sz w:val="20"/>
                <w:szCs w:val="20"/>
              </w:rPr>
              <w:t xml:space="preserve">63</w:t>
            </w:r>
          </w:p>
        </w:tc>
        <w:tc>
          <w:tcPr>
            <w:tcW w:type="dxa" w:w="6400"/>
            <w:tcBorders>
              <w:top w:val="single" w:color="BFBFBF" w:sz="4"/>
              <w:left w:val="single" w:color="BFBFBF" w:sz="4"/>
              <w:bottom w:val="single" w:color="BFBFBF" w:sz="4"/>
              <w:right w:val="single" w:color="BFBFBF" w:sz="4"/>
            </w:tcBorders>
            <w:shd w:fill="DAE8FC" w:val="clear"/>
            <w:tcMar>
              <w:top w:type="dxa" w:w="80"/>
              <w:left w:type="dxa" w:w="120"/>
              <w:bottom w:type="dxa" w:w="80"/>
              <w:right w:type="dxa" w:w="120"/>
            </w:tcMar>
          </w:tcPr>
          <w:p>
            <w:r>
              <w:rPr>
                <w:rFonts w:ascii="Arial" w:cs="Arial" w:eastAsia="Arial" w:hAnsi="Arial"/>
                <w:b w:val="false"/>
                <w:bCs w:val="false"/>
                <w:sz w:val="20"/>
                <w:szCs w:val="20"/>
              </w:rPr>
              <w:t xml:space="preserve">Configurable AF3 num_diffusion_samples. Currently hard-wired to 5 (AF3 default) → 15 predictions per survivor with 3 seeds. Worth a params knob for compute-constrained runs.</w:t>
            </w:r>
          </w:p>
        </w:tc>
        <w:tc>
          <w:tcPr>
            <w:tcW w:type="dxa" w:w="1200"/>
            <w:tcBorders>
              <w:top w:val="single" w:color="BFBFBF" w:sz="4"/>
              <w:left w:val="single" w:color="BFBFBF" w:sz="4"/>
              <w:bottom w:val="single" w:color="BFBFBF" w:sz="4"/>
              <w:right w:val="single" w:color="BFBFBF" w:sz="4"/>
            </w:tcBorders>
            <w:shd w:fill="DAE8FC" w:val="clear"/>
            <w:tcMar>
              <w:top w:type="dxa" w:w="80"/>
              <w:left w:type="dxa" w:w="120"/>
              <w:bottom w:type="dxa" w:w="80"/>
              <w:right w:type="dxa" w:w="120"/>
            </w:tcMar>
          </w:tcPr>
          <w:p>
            <w:r>
              <w:rPr>
                <w:rFonts w:ascii="Arial" w:cs="Arial" w:eastAsia="Arial" w:hAnsi="Arial"/>
                <w:b w:val="false"/>
                <w:bCs w:val="false"/>
                <w:sz w:val="20"/>
                <w:szCs w:val="20"/>
              </w:rPr>
              <w:t xml:space="preserve">New</w:t>
            </w:r>
          </w:p>
        </w:tc>
        <w:tc>
          <w:tcPr>
            <w:tcW w:type="dxa" w:w="960"/>
            <w:tcBorders>
              <w:top w:val="single" w:color="BFBFBF" w:sz="4"/>
              <w:left w:val="single" w:color="BFBFBF" w:sz="4"/>
              <w:bottom w:val="single" w:color="BFBFBF" w:sz="4"/>
              <w:right w:val="single" w:color="BFBFBF" w:sz="4"/>
            </w:tcBorders>
            <w:shd w:fill="DAE8FC" w:val="clear"/>
            <w:tcMar>
              <w:top w:type="dxa" w:w="80"/>
              <w:left w:type="dxa" w:w="120"/>
              <w:bottom w:type="dxa" w:w="80"/>
              <w:right w:type="dxa" w:w="120"/>
            </w:tcMar>
          </w:tcPr>
          <w:p>
            <w:r>
              <w:rPr>
                <w:rFonts w:ascii="Arial" w:cs="Arial" w:eastAsia="Arial" w:hAnsi="Arial"/>
                <w:b w:val="false"/>
                <w:bCs w:val="false"/>
                <w:sz w:val="20"/>
                <w:szCs w:val="20"/>
              </w:rPr>
              <w:t xml:space="preserve">—</w:t>
            </w:r>
          </w:p>
        </w:tc>
      </w:tr>
    </w:tbl>
    <w:p>
      <w:pPr>
        <w:pStyle w:val="Heading1"/>
        <w:pageBreakBefore/>
        <w:spacing w:after="180" w:before="360"/>
      </w:pPr>
      <w:r>
        <w:rPr>
          <w:rFonts w:ascii="Arial" w:cs="Arial" w:eastAsia="Arial" w:hAnsi="Arial"/>
          <w:b/>
          <w:bCs/>
          <w:sz w:val="32"/>
          <w:szCs w:val="32"/>
        </w:rPr>
        <w:t xml:space="preserve">3. Items carried forward from v9</w:t>
      </w:r>
    </w:p>
    <w:p>
      <w:pPr>
        <w:spacing w:after="80" w:before="80"/>
      </w:pPr>
      <w:r>
        <w:rPr>
          <w:rFonts w:ascii="Arial" w:cs="Arial" w:eastAsia="Arial" w:hAnsi="Arial"/>
          <w:sz w:val="22"/>
          <w:szCs w:val="22"/>
        </w:rPr>
        <w:t xml:space="preserve">The v9 todo had a substantial backlog of strategic items that remain open. The most relevant for the next working session are listed below. See todo_list9.docx for the full v9 task list with detailed descriptions.</w:t>
      </w:r>
    </w:p>
    <w:p>
      <w:pPr>
        <w:pStyle w:val="Heading2"/>
        <w:spacing w:after="120" w:before="240"/>
      </w:pPr>
      <w:r>
        <w:rPr>
          <w:rFonts w:ascii="Arial" w:cs="Arial" w:eastAsia="Arial" w:hAnsi="Arial"/>
          <w:b/>
          <w:bCs/>
          <w:sz w:val="26"/>
          <w:szCs w:val="26"/>
        </w:rPr>
        <w:t xml:space="preserve">3.1 Open items most relevant to next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400"/>
        <w:gridCol w:w="1200"/>
        <w:gridCol w:w="960"/>
      </w:tblGrid>
      <w:tr>
        <w:trPr>
          <w:tblHeader/>
        </w:trPr>
        <w:tc>
          <w:tcPr>
            <w:tcW w:type="dxa" w:w="8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sz w:val="20"/>
                <w:szCs w:val="20"/>
              </w:rPr>
              <w:t xml:space="preserve">№</w:t>
            </w:r>
          </w:p>
        </w:tc>
        <w:tc>
          <w:tcPr>
            <w:tcW w:type="dxa" w:w="64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1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96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sz w:val="20"/>
                <w:szCs w:val="20"/>
              </w:rPr>
              <w:t xml:space="preserve">Owner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47</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Threshold audit — now meaningfully actionable because v9’s FastRelax integration brings the −30 REU calibration into scope and Bug 1’s fix means rosetta_ddg is actually populated. The 4 tier-A candidates from this session’s overnight run all clear −30 REU comfortably; question is whether the threshold should be tighter.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Open</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46</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Final reporting module — collect tier-A/B candidates and generate a per-candidate report PDF. The cohort summary plot is now in good shape; the next deliverable for downstream wet-lab handoff is per-candidate reports including the design specification, mutation list, all metric medians, AF3/Boltz comparison, and structural figures.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Open</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56</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Code refactoring, deduplication, dead-code removal, styling. Several bin/ scripts grew organically during v8/v9; many have repeated patterns (CSV loading, manifest aggregation, command-line wiring). Extract into a small library; reduces bug surface and makes the per-script docstrings easier to maintain. This session’s bugs in extract_passing.py, parse_af3_output.py, and cross_sequence_summary.py would have been easier to spot with cleaner code.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Open</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57</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Output footprint review — audit every output published by every module and decide: keep on disk, keep zipped, delete after use, or never publish. Pipeline produces ~thousands of intermediate files per design × seed × cycle.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Open</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58</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Weighted Jaccard ranker question — currently computed everywhere but never used by any ranker formula. Decide whether it should be promoted into the composite score or removed.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Open</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59</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Unit test coverage — build out the testing layer for bin/ scripts. Strongly elevated priority after this session: extract_passing.extract_row, parse_af3_output’s RMSD computation, and cross_sequence_summary’s manifest path resolution would all have benefited from even minimal regression tests. Folding the latent-bug-unmasked-by-fallback audit pattern (from Bug 4) into this task.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Open</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bl>
    <w:p>
      <w:pPr>
        <w:pStyle w:val="Heading2"/>
        <w:spacing w:after="120" w:before="240"/>
      </w:pPr>
      <w:r>
        <w:rPr>
          <w:rFonts w:ascii="Arial" w:cs="Arial" w:eastAsia="Arial" w:hAnsi="Arial"/>
          <w:b/>
          <w:bCs/>
          <w:sz w:val="26"/>
          <w:szCs w:val="26"/>
        </w:rPr>
        <w:t xml:space="preserve">3.2 Items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400"/>
        <w:gridCol w:w="1200"/>
        <w:gridCol w:w="960"/>
      </w:tblGrid>
      <w:tr>
        <w:trPr>
          <w:tblHeader/>
        </w:trPr>
        <w:tc>
          <w:tcPr>
            <w:tcW w:type="dxa" w:w="8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sz w:val="20"/>
                <w:szCs w:val="20"/>
              </w:rPr>
              <w:t xml:space="preserve">№</w:t>
            </w:r>
          </w:p>
        </w:tc>
        <w:tc>
          <w:tcPr>
            <w:tcW w:type="dxa" w:w="64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1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96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sz w:val="20"/>
                <w:szCs w:val="20"/>
              </w:rPr>
              <w:t xml:space="preserve">Owner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6</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Negative controls — v9 wired controls into the test workflow; v9’s overnight run discovered controls typically skip steering entirely (cold-start → no contact residues → empty candidate pool → planner short-circuits). Documented as semantically defensible but worth deciding whether we want a different control behaviour.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43</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Negsteer plots wired into production. v9 STAGED; this session’s overnight run is the validation event. The cohort plots produced by main.nf during the overnight run were not inspected this session (focus was on orthogonal cohort summary). Worth checking they render cleanly before flipping to DONE.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Staged</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44</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Orthogonal-metrics plots wired into production. v9 STAGED; iterated heavily this session and now in good shape. Production bin/orthogonal_metrics_plots.py kept in sync with test counterpart via the test-then-mirror workflow.</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Staged</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bl>
    <w:p>
      <w:pPr>
        <w:pStyle w:val="Heading1"/>
        <w:pageBreakBefore/>
        <w:spacing w:after="180" w:before="360"/>
      </w:pPr>
      <w:r>
        <w:rPr>
          <w:rFonts w:ascii="Arial" w:cs="Arial" w:eastAsia="Arial" w:hAnsi="Arial"/>
          <w:b/>
          <w:bCs/>
          <w:sz w:val="32"/>
          <w:szCs w:val="32"/>
        </w:rPr>
        <w:t xml:space="preserve">4. Operating notes for next session</w:t>
      </w:r>
    </w:p>
    <w:p>
      <w:pPr>
        <w:pStyle w:val="Heading2"/>
        <w:spacing w:after="120" w:before="240"/>
      </w:pPr>
      <w:r>
        <w:rPr>
          <w:rFonts w:ascii="Arial" w:cs="Arial" w:eastAsia="Arial" w:hAnsi="Arial"/>
          <w:b/>
          <w:bCs/>
          <w:sz w:val="26"/>
          <w:szCs w:val="26"/>
        </w:rPr>
        <w:t xml:space="preserve">4.1 Hard rules carried forward</w:t>
      </w:r>
    </w:p>
    <w:p>
      <w:pPr>
        <w:pStyle w:val="ListParagraph"/>
        <w:numPr>
          <w:ilvl w:val="0"/>
          <w:numId w:val="2"/>
        </w:numPr>
        <w:spacing w:after="40" w:before="40"/>
      </w:pPr>
      <w:r>
        <w:rPr>
          <w:rFonts w:ascii="Arial" w:cs="Arial" w:eastAsia="Arial" w:hAnsi="Arial"/>
          <w:sz w:val="22"/>
          <w:szCs w:val="22"/>
        </w:rPr>
        <w:t xml:space="preserve">Never guess. Read source. If source isn’t available, ask via stdlib-only diagnostic on the login node.</w:t>
      </w:r>
    </w:p>
    <w:p>
      <w:pPr>
        <w:pStyle w:val="ListParagraph"/>
        <w:numPr>
          <w:ilvl w:val="0"/>
          <w:numId w:val="2"/>
        </w:numPr>
        <w:spacing w:after="40" w:before="40"/>
      </w:pPr>
      <w:r>
        <w:rPr>
          <w:rFonts w:ascii="Arial" w:cs="Arial" w:eastAsia="Arial" w:hAnsi="Arial"/>
          <w:sz w:val="22"/>
          <w:szCs w:val="22"/>
        </w:rPr>
        <w:t xml:space="preserve">Stdlib only on the login node. No numpy, no pandas, no gemmi. The cluster compute nodes are different — those have full environments via Singularity, but sub02 / sub03 don’t.</w:t>
      </w:r>
    </w:p>
    <w:p>
      <w:pPr>
        <w:pStyle w:val="ListParagraph"/>
        <w:numPr>
          <w:ilvl w:val="0"/>
          <w:numId w:val="2"/>
        </w:numPr>
        <w:spacing w:after="40" w:before="40"/>
      </w:pPr>
      <w:r>
        <w:rPr>
          <w:rFonts w:ascii="Arial" w:cs="Arial" w:eastAsia="Arial" w:hAnsi="Arial"/>
          <w:sz w:val="22"/>
          <w:szCs w:val="22"/>
        </w:rPr>
        <w:t xml:space="preserve">CSVs go through csv.DictReader, never awk. Quote-comma delimiters break awk silently.</w:t>
      </w:r>
    </w:p>
    <w:p>
      <w:pPr>
        <w:pStyle w:val="ListParagraph"/>
        <w:numPr>
          <w:ilvl w:val="0"/>
          <w:numId w:val="2"/>
        </w:numPr>
        <w:spacing w:after="40" w:before="40"/>
      </w:pPr>
      <w:r>
        <w:rPr>
          <w:rFonts w:ascii="Arial" w:cs="Arial" w:eastAsia="Arial" w:hAnsi="Arial"/>
          <w:sz w:val="22"/>
          <w:szCs w:val="22"/>
        </w:rPr>
        <w:t xml:space="preserve">Treat user observations as truth. If they say a plot looks wrong, it’s wrong — investigate, don’t explain why it must be right.</w:t>
      </w:r>
    </w:p>
    <w:p>
      <w:pPr>
        <w:pStyle w:val="ListParagraph"/>
        <w:numPr>
          <w:ilvl w:val="0"/>
          <w:numId w:val="2"/>
        </w:numPr>
        <w:spacing w:after="40" w:before="40"/>
      </w:pPr>
      <w:r>
        <w:rPr>
          <w:rFonts w:ascii="Arial" w:cs="Arial" w:eastAsia="Arial" w:hAnsi="Arial"/>
          <w:sz w:val="22"/>
          <w:szCs w:val="22"/>
        </w:rPr>
        <w:t xml:space="preserve">Never say “must be” without proof in the same message.</w:t>
      </w:r>
    </w:p>
    <w:p>
      <w:pPr>
        <w:pStyle w:val="Heading2"/>
        <w:spacing w:after="120" w:before="240"/>
      </w:pPr>
      <w:r>
        <w:rPr>
          <w:rFonts w:ascii="Arial" w:cs="Arial" w:eastAsia="Arial" w:hAnsi="Arial"/>
          <w:b/>
          <w:bCs/>
          <w:sz w:val="26"/>
          <w:szCs w:val="26"/>
        </w:rPr>
        <w:t xml:space="preserve">4.2 Nextflow caching gotcha workaround</w:t>
      </w:r>
    </w:p>
    <w:p>
      <w:pPr>
        <w:spacing w:after="80" w:before="80"/>
      </w:pPr>
      <w:r>
        <w:rPr>
          <w:rFonts w:ascii="Arial" w:cs="Arial" w:eastAsia="Arial" w:hAnsi="Arial"/>
          <w:sz w:val="22"/>
          <w:szCs w:val="22"/>
        </w:rPr>
        <w:t xml:space="preserve">Until Task 61 is done, every edit to a python script in bin/ requires a corresponding touch of the .nf process body that invokes it (any change — comment edit is sufficient). Without this, -resume cache-hits and silently returns the previous (broken) output.</w:t>
      </w:r>
    </w:p>
    <w:p>
      <w:pPr>
        <w:spacing w:after="80" w:before="80"/>
      </w:pPr>
      <w:r>
        <w:rPr>
          <w:rFonts w:ascii="Arial" w:cs="Arial" w:eastAsia="Arial" w:hAnsi="Arial"/>
          <w:sz w:val="22"/>
          <w:szCs w:val="22"/>
        </w:rPr>
        <w:t xml:space="preserve">If you forget the .nf touch, the symptom is: hash check on the cluster matches your staged file, but rerunning produces identical output to before. Look at file mtimes in results/&lt;stage&gt;/&lt;survivor&gt;/ — if they’re from a previous run, the task didn’t actually re-execute.</w:t>
      </w:r>
    </w:p>
    <w:p>
      <w:pPr>
        <w:pStyle w:val="Heading2"/>
        <w:spacing w:after="120" w:before="240"/>
      </w:pPr>
      <w:r>
        <w:rPr>
          <w:rFonts w:ascii="Arial" w:cs="Arial" w:eastAsia="Arial" w:hAnsi="Arial"/>
          <w:b/>
          <w:bCs/>
          <w:sz w:val="26"/>
          <w:szCs w:val="26"/>
        </w:rPr>
        <w:t xml:space="preserve">4.3 Latent-bug-unmasked-by-fallback pattern</w:t>
      </w:r>
    </w:p>
    <w:p>
      <w:pPr>
        <w:spacing w:after="80" w:before="80"/>
      </w:pPr>
      <w:r>
        <w:rPr>
          <w:rFonts w:ascii="Arial" w:cs="Arial" w:eastAsia="Arial" w:hAnsi="Arial"/>
          <w:sz w:val="22"/>
          <w:szCs w:val="22"/>
        </w:rPr>
        <w:t xml:space="preserve">Bug 4 in this session was the canonical example: extract_row used a verdict-specific rule that was wrong for verdicts it didn’t normally see (because main() filtered them out upstream). When Bug 3’s new fallback started exercising the previously-unreached code path, the bug surfaced.</w:t>
      </w:r>
    </w:p>
    <w:p>
      <w:pPr>
        <w:spacing w:after="80" w:before="80"/>
      </w:pPr>
      <w:r>
        <w:rPr>
          <w:rFonts w:ascii="Arial" w:cs="Arial" w:eastAsia="Arial" w:hAnsi="Arial"/>
          <w:sz w:val="22"/>
          <w:szCs w:val="22"/>
        </w:rPr>
        <w:t xml:space="preserve">Audit pattern (folded into Task 59): for any function that branches on a discriminator (verdict, status, type, etc.), check whether all values of the discriminator actually reach the function in the current pipeline. If some don’t, the code paths for those values are untested. Fix or document.</w:t>
      </w:r>
    </w:p>
    <w:p>
      <w:pPr>
        <w:pStyle w:val="Heading2"/>
        <w:spacing w:after="120" w:before="240"/>
      </w:pPr>
      <w:r>
        <w:rPr>
          <w:rFonts w:ascii="Arial" w:cs="Arial" w:eastAsia="Arial" w:hAnsi="Arial"/>
          <w:b/>
          <w:bCs/>
          <w:sz w:val="26"/>
          <w:szCs w:val="26"/>
        </w:rPr>
        <w:t xml:space="preserve">4.4 Demo numbers — 4 tier-A candidates</w:t>
      </w:r>
    </w:p>
    <w:p>
      <w:pPr>
        <w:spacing w:after="80" w:before="80"/>
      </w:pPr>
      <w:r>
        <w:rPr>
          <w:rFonts w:ascii="Arial" w:cs="Arial" w:eastAsia="Arial" w:hAnsi="Arial"/>
          <w:sz w:val="22"/>
          <w:szCs w:val="22"/>
        </w:rPr>
        <w:t xml:space="preserve">Demo material is ready. The 4 tier-A candidates are the ones to highlight. Numbers below for quick reference at the demo:</w:t>
      </w:r>
    </w:p>
    <w:p>
      <w:pPr>
        <w:pStyle w:val="ListParagraph"/>
        <w:numPr>
          <w:ilvl w:val="0"/>
          <w:numId w:val="2"/>
        </w:numPr>
        <w:spacing w:after="40" w:before="40"/>
      </w:pPr>
      <w:r>
        <w:rPr>
          <w:rFonts w:ascii="Arial" w:cs="Arial" w:eastAsia="Arial" w:hAnsi="Arial"/>
          <w:sz w:val="22"/>
          <w:szCs w:val="22"/>
        </w:rPr>
        <w:t xml:space="preserve">d19_s1: composite=0.573, Boltz_ra_eff=3.08, true_jaccard=0.73, AF3_ra_eff=17.23, Sc=0.671, BSA=1012, ΔΔG=−72.5 REU. The best-overall candidate; 4 mutations.</w:t>
      </w:r>
    </w:p>
    <w:p>
      <w:pPr>
        <w:pStyle w:val="ListParagraph"/>
        <w:numPr>
          <w:ilvl w:val="0"/>
          <w:numId w:val="2"/>
        </w:numPr>
        <w:spacing w:after="40" w:before="40"/>
      </w:pPr>
      <w:r>
        <w:rPr>
          <w:rFonts w:ascii="Arial" w:cs="Arial" w:eastAsia="Arial" w:hAnsi="Arial"/>
          <w:sz w:val="22"/>
          <w:szCs w:val="22"/>
        </w:rPr>
        <w:t xml:space="preserve">d0_s2:  composite=0.444, Boltz_ra_eff=2.54, true_jaccard=0.57, AF3_ra_eff=24.91, Sc=0.635, BSA=767,  ΔΔG=−41.0 REU. 6 mutations.</w:t>
      </w:r>
    </w:p>
    <w:p>
      <w:pPr>
        <w:pStyle w:val="ListParagraph"/>
        <w:numPr>
          <w:ilvl w:val="0"/>
          <w:numId w:val="2"/>
        </w:numPr>
        <w:spacing w:after="40" w:before="40"/>
      </w:pPr>
      <w:r>
        <w:rPr>
          <w:rFonts w:ascii="Arial" w:cs="Arial" w:eastAsia="Arial" w:hAnsi="Arial"/>
          <w:sz w:val="22"/>
          <w:szCs w:val="22"/>
        </w:rPr>
        <w:t xml:space="preserve">d13_s1: composite=0.443, Boltz_ra_eff=1.58, true_jaccard=0.52, AF3_ra_eff=37.35, Sc=0.664, BSA=971,  ΔΔG=−52.7 REU. Lowest Boltz_ra_eff in the cohort; 0 mutations (cold-start passes outright).</w:t>
      </w:r>
    </w:p>
    <w:p>
      <w:pPr>
        <w:pStyle w:val="ListParagraph"/>
        <w:numPr>
          <w:ilvl w:val="0"/>
          <w:numId w:val="2"/>
        </w:numPr>
        <w:spacing w:after="40" w:before="40"/>
      </w:pPr>
      <w:r>
        <w:rPr>
          <w:rFonts w:ascii="Arial" w:cs="Arial" w:eastAsia="Arial" w:hAnsi="Arial"/>
          <w:sz w:val="22"/>
          <w:szCs w:val="22"/>
        </w:rPr>
        <w:t xml:space="preserve">d13_s2: composite=0.408, Boltz_ra_eff=2.28, true_jaccard=0.52, AF3_ra_eff=9.98,  Sc=0.691, BSA=1089, ΔΔG=−81.5 REU. Best ΔΔG in the cohort; 4 mutations.</w:t>
      </w:r>
    </w:p>
    <w:p>
      <w:pPr>
        <w:spacing w:after="80" w:before="80"/>
      </w:pPr>
      <w:r>
        <w:rPr>
          <w:rFonts w:ascii="Arial" w:cs="Arial" w:eastAsia="Arial" w:hAnsi="Arial"/>
          <w:sz w:val="22"/>
          <w:szCs w:val="22"/>
        </w:rPr>
        <w:t xml:space="preserve">AF3 disagrees with Boltz across the board (AF3_ra_eff is universally larger), but that’s expected with the no-MSA AF3 setup — informational rather than gating. d13_s2’s AF3_ra_eff=9.98 is the closest cross-model agreement among the tier-A set.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Receptor Resurfacing Pipeline — Todo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2026-04-29T12:10:20.347Z</dcterms:created>
  <dcterms:modified xsi:type="dcterms:W3CDTF">2026-04-29T12:10:20.348Z</dcterms:modified>
</cp:coreProperties>
</file>

<file path=docProps/custom.xml><?xml version="1.0" encoding="utf-8"?>
<Properties xmlns="http://schemas.openxmlformats.org/officeDocument/2006/custom-properties" xmlns:vt="http://schemas.openxmlformats.org/officeDocument/2006/docPropsVTypes"/>
</file>