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rPr>
          <w:b/>
          <w:bCs/>
          <w:sz w:val="36"/>
          <w:szCs w:val="36"/>
        </w:rPr>
        <w:t xml:space="preserve">Negative-steering pipeline — consolidated to-do list</w:t>
      </w:r>
    </w:p>
    <w:p>
      <w:pPr>
        <w:spacing w:after="120"/>
        <w:jc w:val="center"/>
      </w:pPr>
      <w:r>
        <w:rPr>
          <w:i/>
          <w:iCs/>
          <w:sz w:val="24"/>
          <w:szCs w:val="24"/>
        </w:rPr>
        <w:t xml:space="preserve">Workflow improvements, metrics, and generalisation experiments</w:t>
      </w:r>
    </w:p>
    <w:p>
      <w:pPr>
        <w:spacing w:after="240"/>
        <w:jc w:val="center"/>
      </w:pPr>
      <w:r>
        <w:rPr>
          <w:sz w:val="22"/>
          <w:szCs w:val="22"/>
        </w:rPr>
        <w:t xml:space="preserve">Version 5  ·  22 April 2026 (revised)</w:t>
      </w:r>
    </w:p>
    <w:p>
      <w:pPr>
        <w:spacing w:after="120"/>
      </w:pPr>
      <w:r>
        <w:rPr>
          <w:b/>
          <w:bCs/>
        </w:rPr>
        <w:t xml:space="preserve">✎ Revision note · v5, 2026-04-22. </w:t>
      </w:r>
      <w:r>
        <w:t xml:space="preserve">Version 5 tracks progress against v4 (21 April 2026). Substantive changes: </w:t>
      </w:r>
      <w:r>
        <w:rPr>
          <w:b/>
          <w:bCs/>
        </w:rPr>
        <w:t xml:space="preserve">(a) </w:t>
      </w:r>
      <w:r>
        <w:t xml:space="preserve">P0-30 container rebuild is now fully DONE at the build-time level — pipeline_notes5 documents the NGC-style architectural fix (system CUDA 12.8 via rhel9 yum repo, torch installed </w:t>
      </w:r>
      <w:r>
        <w:rPr>
          <w:rFonts w:ascii="Consolas" w:cs="Consolas" w:eastAsia="Consolas" w:hAnsi="Consolas"/>
        </w:rPr>
        <w:t xml:space="preserve">--no-deps</w:t>
      </w:r>
      <w:r>
        <w:t xml:space="preserve">, purge of 12 stale </w:t>
      </w:r>
      <w:r>
        <w:rPr>
          <w:rFonts w:ascii="Consolas" w:cs="Consolas" w:eastAsia="Consolas" w:hAnsi="Consolas"/>
        </w:rPr>
        <w:t xml:space="preserve">nvidia-*-cu12</w:t>
      </w:r>
      <w:r>
        <w:t xml:space="preserve"> wheels, </w:t>
      </w:r>
      <w:r>
        <w:rPr>
          <w:rFonts w:ascii="Consolas" w:cs="Consolas" w:eastAsia="Consolas" w:hAnsi="Consolas"/>
        </w:rPr>
        <w:t xml:space="preserve">pynvml</w:t>
      </w:r>
      <w:r>
        <w:t xml:space="preserve"> side-fix) that resolves the </w:t>
      </w:r>
      <w:r>
        <w:rPr>
          <w:rFonts w:ascii="Consolas" w:cs="Consolas" w:eastAsia="Consolas" w:hAnsi="Consolas"/>
        </w:rPr>
        <w:t xml:space="preserve">cublasGemmGroupedBatchedEx</w:t>
      </w:r>
      <w:r>
        <w:t xml:space="preserve"> undefined-symbol blocker. The rebuilt </w:t>
      </w:r>
      <w:r>
        <w:rPr>
          <w:rFonts w:ascii="Consolas" w:cs="Consolas" w:eastAsia="Consolas" w:hAnsi="Consolas"/>
        </w:rPr>
        <w:t xml:space="preserve">boltz2_negsteer.img</w:t>
      </w:r>
      <w:r>
        <w:t xml:space="preserve"> passes six smoke-test criteria end-to-end on GPU. </w:t>
      </w:r>
      <w:r>
        <w:rPr>
          <w:b/>
          <w:bCs/>
        </w:rPr>
        <w:t xml:space="preserve">(b) </w:t>
      </w:r>
      <w:r>
        <w:t xml:space="preserve">P0-35 runtime smoke-test is IN PROGRESS as of this revision — a real test_negative_steering run with negsteer_no_kernels=false has been on the GPU queue for just under an hour, still live at write time. Decision on the ≥20% wall-clock drop is pending completion. </w:t>
      </w:r>
      <w:r>
        <w:rPr>
          <w:b/>
          <w:bCs/>
        </w:rPr>
        <w:t xml:space="preserve">(c) </w:t>
      </w:r>
      <w:r>
        <w:t xml:space="preserve">Weighted Jaccard contact overlap (previously P1-38) promoted to P0 — it feeds the primary geometric composite term and should land before Task 7 so the three-target cohort uses it from the start. </w:t>
      </w:r>
      <w:r>
        <w:rPr>
          <w:b/>
          <w:bCs/>
        </w:rPr>
        <w:t xml:space="preserve">(d) </w:t>
      </w:r>
      <w:r>
        <w:t xml:space="preserve">Rational-engineering validation framing folded into Task 7 as an interpretation note plus a small calibration-target-definition sub-deliverable, rather than standing as its own P0. </w:t>
      </w:r>
      <w:r>
        <w:rPr>
          <w:b/>
          <w:bCs/>
        </w:rPr>
        <w:t xml:space="preserve">(e) </w:t>
      </w:r>
      <w:r>
        <w:t xml:space="preserve">RFDiffusion design-region strategy assessment moved out of the task list into a new “Experimental design notes” section — it is strategic analysis, not a pipeline task. A small follow-up code change (shell-radius contig mode) is noted as P3-41 for later consideration. </w:t>
      </w:r>
      <w:r>
        <w:rPr>
          <w:b/>
          <w:bCs/>
        </w:rPr>
        <w:t xml:space="preserve">(f) </w:t>
      </w:r>
      <w:r>
        <w:t xml:space="preserve">Task 33 (tier-none failure diagnosis) CLOSED per user decision — no longer considered blocking for the next production run. </w:t>
      </w:r>
      <w:r>
        <w:rPr>
          <w:b/>
          <w:bCs/>
        </w:rPr>
        <w:t xml:space="preserve">(g) </w:t>
      </w:r>
      <w:r>
        <w:t xml:space="preserve">Task 32 (RFDiffusion parallelisation) scope sharpened: a code review of rfdiffusion.nf shows the RFDIFFUSION process invokes run_inference.py with </w:t>
      </w:r>
      <w:r>
        <w:rPr>
          <w:rFonts w:ascii="Consolas" w:cs="Consolas" w:eastAsia="Consolas" w:hAnsi="Consolas"/>
        </w:rPr>
        <w:t xml:space="preserve">inference.num_designs=${num_designs}</w:t>
      </w:r>
      <w:r>
        <w:t xml:space="preserve"> internally, so RFDiffusion loops over designs serially inside one Python process on one GPU. Task 32 now has a cheap trace.txt verification step before any refactor work. </w:t>
      </w:r>
      <w:r>
        <w:rPr>
          <w:b/>
          <w:bCs/>
        </w:rPr>
        <w:t xml:space="preserve">(h) </w:t>
      </w:r>
      <w:r>
        <w:t xml:space="preserve">Task 6 (negative controls) flagged as low-effort — ~100–150 lines total, land alongside P0-34 once the new cross-sequence columns are in place. </w:t>
      </w:r>
      <w:r>
        <w:rPr>
          <w:b/>
          <w:bCs/>
        </w:rPr>
        <w:t xml:space="preserve">(i) </w:t>
      </w:r>
      <w:r>
        <w:t xml:space="preserve">Task 18 (noise-halo thresholds) kept at P2 and expanded with an inline definition: the observed per-metric 1 SD from the design_24 10-seed variance test (ra_eff ±0.5 Å, true_jaccard ±0.05, complex_plddt ±0.01) defines a “halo” band around each hard threshold; designs inside the band are tiebroken on an orthogonal metric rather than pass/fail on a noisy point estimate. Still gated on Task 8 because the halo widths need re-derivation under the new metric set. </w:t>
      </w:r>
      <w:r>
        <w:rPr>
          <w:b/>
          <w:bCs/>
        </w:rPr>
        <w:t xml:space="preserve">(j) </w:t>
      </w:r>
      <w:r>
        <w:t xml:space="preserve">P1-39 DockQ vs experimental-structure integration and P2-40 full-length autoactivity filter carry forward unchanged from the initial v5 draft. </w:t>
      </w:r>
      <w:r>
        <w:rPr>
          <w:b/>
          <w:bCs/>
        </w:rPr>
        <w:t xml:space="preserve">(k) </w:t>
      </w:r>
      <w:r>
        <w:t xml:space="preserve">Task status table is now sorted by status (DONE → PARTIAL → IN PROGRESS → OPEN → NEW) rather than by task number, with priority as secondary sort inside each status. Full task-number index preserved as a secondary table at the bottom.</w:t>
      </w:r>
    </w:p>
    <w:p>
      <w:pPr>
        <w:pStyle w:val="Heading1"/>
        <w:spacing w:after="180" w:before="360"/>
      </w:pPr>
      <w:r>
        <w:t xml:space="preserve">Purpose</w:t>
      </w:r>
    </w:p>
    <w:p>
      <w:pPr>
        <w:spacing w:after="120"/>
      </w:pPr>
      <w:r>
        <w:t xml:space="preserve">This document lists the concrete actions needed to mature the negative-steering pipeline from a development exercise into a deployable ranking stage of the outer design pipeline — HADDOCK → RFDiffusion → Rosetta filtering → ProteinMPNN → Boltz-2 Negative Steering → Orthogonal Metrics — run at ~100 MPNN sequences per design task across multiple target pairs.</w:t>
      </w:r>
    </w:p>
    <w:p>
      <w:pPr>
        <w:spacing w:after="120"/>
      </w:pPr>
      <w:r>
        <w:t xml:space="preserve">As of v5 (22 April 2026, revised), the pipeline has completed end-to-end integration, a first overnight validation run on 16 MPNN sequences, a container rebuild with pinned deps and a working cuEquivariance kernel stack (build-time verified; runtime test in flight), and the infrastructure for two post-negative-steering validation stages (P0-29 interface-restricted metrics, P0-31 orthogonal metrics). Outstanding work falls into three horizons: (i) closing the infrastructure loop — main.nf wiring (P0-34) and runtime kernel verification (P0-35); (ii) metric-scoring refinements that need to land before Task 7 — weighted Jaccard (P0-38) and the Task 6 negative controls; (iii) the three-target generalisation run (Task 7) and downstream metric audits (Task 8) once that data lands.</w:t>
      </w:r>
    </w:p>
    <w:p>
      <w:pPr>
        <w:spacing w:after="120"/>
      </w:pPr>
      <w:r>
        <w:t xml:space="preserve">Each task is numbered, tagged with a priority band (P0 / P1 / P2 / P3), and labelled by stage (PIPELINE code change · EXPERIMENT in silico · EXPERIMENT wet lab · METRIC change · GENERALISATION).</w:t>
      </w:r>
    </w:p>
    <w:p>
      <w:pPr>
        <w:pStyle w:val="Heading2"/>
        <w:spacing w:after="140" w:before="280"/>
      </w:pPr>
      <w:r>
        <w:t xml:space="preserve">Status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sz w:val="20"/>
                <w:szCs w:val="20"/>
              </w:rPr>
              <w:t xml:space="preserve">Marker</w:t>
            </w:r>
          </w:p>
        </w:tc>
        <w:tc>
          <w:tcPr>
            <w:tcW w:type="dxa" w:w="75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sz w:val="20"/>
                <w:szCs w:val="20"/>
              </w:rPr>
              <w:t xml:space="preserve">Meaning</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 DONE</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Shipped and validated; archived out of active work</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 PARTIAL</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Partially delivered; acceptance criteria not fully met or follow-up remains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 IN PROGRESS</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Actively running or under implementation right now</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 NEW</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Added in v5 — did not exist in v4</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 REVISED</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Exists in v4 but scope or acceptance changed materially in v5</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 OPEN</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Still open, unchanged from v4</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 CLOSED</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Explicitly dropped — no longer tracked</w:t>
            </w:r>
          </w:p>
        </w:tc>
      </w:tr>
    </w:tbl>
    <w:p>
      <w:pPr>
        <w:pStyle w:val="Heading2"/>
        <w:spacing w:after="140" w:before="280"/>
      </w:pPr>
      <w:r>
        <w:t xml:space="preserve">Priority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80"/>
        <w:gridCol w:w="288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sz w:val="20"/>
                <w:szCs w:val="20"/>
              </w:rPr>
              <w:t xml:space="preserve">Band</w:t>
            </w:r>
          </w:p>
        </w:tc>
        <w:tc>
          <w:tcPr>
            <w:tcW w:type="dxa" w:w="558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sz w:val="20"/>
                <w:szCs w:val="20"/>
              </w:rPr>
              <w:t xml:space="preserve">Meaning</w:t>
            </w:r>
          </w:p>
        </w:tc>
        <w:tc>
          <w:tcPr>
            <w:tcW w:type="dxa" w:w="288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sz w:val="20"/>
                <w:szCs w:val="20"/>
              </w:rPr>
              <w:t xml:space="preserve">Expected turnaround</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P0</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Blocking — ranker cannot be trusted or pipeline cannot scale without this</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This iteration</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P1</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Critical next steps once P0 items land; mostly pre-wet-lab validation</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Within the next 2–3 weeks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P2</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Important generalisation, metric additions, and post-wet-lab validation</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Over the next 1–2 months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P3</w:t>
            </w:r>
          </w:p>
        </w:tc>
        <w:tc>
          <w:tcPr>
            <w:tcW w:type="dxa" w:w="5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Useful but not on the critical path; infrastructure or deferred items</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When time permits / on refactor</w:t>
            </w:r>
          </w:p>
        </w:tc>
      </w:tr>
    </w:tbl>
    <w:p>
      <w:pPr>
        <w:pStyle w:val="Heading1"/>
        <w:spacing w:after="180" w:before="360"/>
      </w:pPr>
      <w:r>
        <w:t xml:space="preserve">Executive summary — v5 status overview</w:t>
      </w:r>
    </w:p>
    <w:p>
      <w:pPr>
        <w:pStyle w:val="Heading2"/>
        <w:spacing w:after="140" w:before="280"/>
      </w:pPr>
      <w:r>
        <w:t xml:space="preserve">What is DONE since v4</w:t>
      </w:r>
    </w:p>
    <w:p>
      <w:pPr>
        <w:pStyle w:val="ListParagraph"/>
        <w:numPr>
          <w:ilvl w:val="0"/>
          <w:numId w:val="2"/>
        </w:numPr>
        <w:spacing w:after="80"/>
      </w:pPr>
      <w:r>
        <w:rPr>
          <w:b/>
          <w:bCs/>
        </w:rPr>
        <w:t xml:space="preserve">P0-30</w:t>
      </w:r>
      <w:r>
        <w:t xml:space="preserve"> · cuEquivariance kernel availability — architectural fix landed. Root cause (cuBLAS 12.5-symbol requirement + torch’s pip-bundled cuBLAS 12.4 + one-SONAME-per-process dlopen policy) fully documented in pipeline_notes5. NGC-style rebuild with system CUDA 12.8, torch installed </w:t>
      </w:r>
      <w:r>
        <w:rPr>
          <w:rFonts w:ascii="Consolas" w:cs="Consolas" w:eastAsia="Consolas" w:hAnsi="Consolas"/>
        </w:rPr>
        <w:t xml:space="preserve">--no-deps</w:t>
      </w:r>
      <w:r>
        <w:t xml:space="preserve">, 12 stale </w:t>
      </w:r>
      <w:r>
        <w:rPr>
          <w:rFonts w:ascii="Consolas" w:cs="Consolas" w:eastAsia="Consolas" w:hAnsi="Consolas"/>
        </w:rPr>
        <w:t xml:space="preserve">nvidia-*-cu12</w:t>
      </w:r>
      <w:r>
        <w:t xml:space="preserve"> wheels purged, </w:t>
      </w:r>
      <w:r>
        <w:rPr>
          <w:rFonts w:ascii="Consolas" w:cs="Consolas" w:eastAsia="Consolas" w:hAnsi="Consolas"/>
        </w:rPr>
        <w:t xml:space="preserve">pynvml</w:t>
      </w:r>
      <w:r>
        <w:t xml:space="preserve"> side-fix applied. Four non-working approaches explicitly ruled out with evidence. Build-time six-point smoke test passes on rebuilt image. </w:t>
      </w:r>
      <w:r>
        <w:rPr>
          <w:b/>
          <w:bCs/>
        </w:rPr>
        <w:t xml:space="preserve">Runtime acceptance: </w:t>
      </w:r>
      <w:r>
        <w:t xml:space="preserve">in flight as P0-35.</w:t>
      </w:r>
    </w:p>
    <w:p>
      <w:pPr>
        <w:pStyle w:val="Heading2"/>
        <w:spacing w:after="140" w:before="280"/>
      </w:pPr>
      <w:r>
        <w:t xml:space="preserve">Active P0 — current blocking work</w:t>
      </w:r>
    </w:p>
    <w:p>
      <w:pPr>
        <w:pStyle w:val="ListParagraph"/>
        <w:numPr>
          <w:ilvl w:val="0"/>
          <w:numId w:val="2"/>
        </w:numPr>
        <w:spacing w:after="80"/>
      </w:pPr>
      <w:r>
        <w:rPr>
          <w:b/>
          <w:bCs/>
        </w:rPr>
        <w:t xml:space="preserve">○ OPEN  P0-34</w:t>
      </w:r>
      <w:r>
        <w:t xml:space="preserve"> · Wire P0-29 + P0-31 modules into main.nf. Test harness has validated the pattern — mechanical copy-and-simplify. Blocks 29 and 31 from flipping to DONE.</w:t>
      </w:r>
    </w:p>
    <w:p>
      <w:pPr>
        <w:pStyle w:val="ListParagraph"/>
        <w:numPr>
          <w:ilvl w:val="0"/>
          <w:numId w:val="2"/>
        </w:numPr>
        <w:spacing w:after="80"/>
      </w:pPr>
      <w:r>
        <w:rPr>
          <w:b/>
          <w:bCs/>
        </w:rPr>
        <w:t xml:space="preserve">◔ IN PROGRESS  P0-35</w:t>
      </w:r>
      <w:r>
        <w:t xml:space="preserve"> · GPU-node runtime smoke-test of boltz2_negsteer.img + kernel path. First test_negative_steering run with kernels on has been live on the GPU queue just under an hour at write time. Wall-clock decision pending completion (target: ≥20% drop vs 105-min baseline).</w:t>
      </w:r>
    </w:p>
    <w:p>
      <w:pPr>
        <w:pStyle w:val="ListParagraph"/>
        <w:numPr>
          <w:ilvl w:val="0"/>
          <w:numId w:val="2"/>
        </w:numPr>
        <w:spacing w:after="80"/>
      </w:pPr>
      <w:r>
        <w:rPr>
          <w:b/>
          <w:bCs/>
        </w:rPr>
        <w:t xml:space="preserve">★ NEW  P0-38</w:t>
      </w:r>
      <w:r>
        <w:t xml:space="preserve"> · Weighted Jaccard contact overlap (moved up from P1). Smooth distance-weighted variant (exp(−(d−4)²/2.25)) replacing the hard-cutoff true_jaccard. Small implementation; must land before Task 7 so the three-target cohort uses it from the start.</w:t>
      </w:r>
    </w:p>
    <w:p>
      <w:pPr>
        <w:pStyle w:val="ListParagraph"/>
        <w:numPr>
          <w:ilvl w:val="0"/>
          <w:numId w:val="2"/>
        </w:numPr>
        <w:spacing w:after="80"/>
      </w:pPr>
      <w:r>
        <w:rPr>
          <w:b/>
          <w:bCs/>
        </w:rPr>
        <w:t xml:space="preserve">○ OPEN  6</w:t>
      </w:r>
      <w:r>
        <w:t xml:space="preserve"> · Scrambled / all-glycine negative controls. Low-effort (~100–150 lines) — implementation is a NEGSTEER_CONTROLS process that reuses NEGSTEER_RUN_ONE with a shuffled or glycine-substituted sequence, plus a row_type column on cross_sequence_summary.csv. Lands alongside P0-34 once the summary columns are in place.</w:t>
      </w:r>
    </w:p>
    <w:p>
      <w:pPr>
        <w:pStyle w:val="Heading2"/>
        <w:spacing w:after="140" w:before="280"/>
      </w:pPr>
      <w:r>
        <w:t xml:space="preserve">Active P1 — pre-wet-lab validation</w:t>
      </w:r>
    </w:p>
    <w:p>
      <w:pPr>
        <w:pStyle w:val="ListParagraph"/>
        <w:numPr>
          <w:ilvl w:val="0"/>
          <w:numId w:val="2"/>
        </w:numPr>
        <w:spacing w:after="80"/>
      </w:pPr>
      <w:r>
        <w:rPr>
          <w:b/>
          <w:bCs/>
        </w:rPr>
        <w:t xml:space="preserve">○ OPEN  7</w:t>
      </w:r>
      <w:r>
        <w:t xml:space="preserve"> · Three MAX effectors × one receptor generalisation run. Unblocked by P0-29/P0-31 infrastructure being complete — once P0-34 wires them into main, this is the first target cohort. Includes the rational-engineering validation framing as an interpretation deliverable: the evaluation question is “do our designs predict as well as the validated positive control?” not “can we recover the rational design’s exact solution?” Task 7 output must report each composite-score term in absolute terms AND as a ratio to the positive control.</w:t>
      </w:r>
    </w:p>
    <w:p>
      <w:pPr>
        <w:pStyle w:val="ListParagraph"/>
        <w:numPr>
          <w:ilvl w:val="0"/>
          <w:numId w:val="2"/>
        </w:numPr>
        <w:spacing w:after="80"/>
      </w:pPr>
      <w:r>
        <w:rPr>
          <w:b/>
          <w:bCs/>
        </w:rPr>
        <w:t xml:space="preserve">○ OPEN  8</w:t>
      </w:r>
      <w:r>
        <w:t xml:space="preserve"> · Cross-target per-metric AUROC on pooled cohort. Blocked on Task 7.</w:t>
      </w:r>
    </w:p>
    <w:p>
      <w:pPr>
        <w:pStyle w:val="ListParagraph"/>
        <w:numPr>
          <w:ilvl w:val="0"/>
          <w:numId w:val="2"/>
        </w:numPr>
        <w:spacing w:after="80"/>
      </w:pPr>
      <w:r>
        <w:rPr>
          <w:b/>
          <w:bCs/>
        </w:rPr>
        <w:t xml:space="preserve">○ OPEN  9</w:t>
      </w:r>
      <w:r>
        <w:t xml:space="preserve"> · Threshold audit and per-task CLI defaults.</w:t>
      </w:r>
    </w:p>
    <w:p>
      <w:pPr>
        <w:pStyle w:val="ListParagraph"/>
        <w:numPr>
          <w:ilvl w:val="0"/>
          <w:numId w:val="2"/>
        </w:numPr>
        <w:spacing w:after="80"/>
      </w:pPr>
      <w:r>
        <w:rPr>
          <w:b/>
          <w:bCs/>
        </w:rPr>
        <w:t xml:space="preserve">○ OPEN  17</w:t>
      </w:r>
      <w:r>
        <w:t xml:space="preserve"> · Wire submit_final_validation.sh as multi-seed validation on survivors. Blocked on P0-31 confirmed working — i.e. on P0-34 plus test_orthogonal_metrics green.</w:t>
      </w:r>
    </w:p>
    <w:p>
      <w:pPr>
        <w:pStyle w:val="ListParagraph"/>
        <w:numPr>
          <w:ilvl w:val="0"/>
          <w:numId w:val="2"/>
        </w:numPr>
        <w:spacing w:after="80"/>
      </w:pPr>
      <w:r>
        <w:rPr>
          <w:b/>
          <w:bCs/>
        </w:rPr>
        <w:t xml:space="preserve">○ OPEN  19</w:t>
      </w:r>
      <w:r>
        <w:t xml:space="preserve"> · Candidate-pool distance bias.</w:t>
      </w:r>
    </w:p>
    <w:p>
      <w:pPr>
        <w:pStyle w:val="ListParagraph"/>
        <w:numPr>
          <w:ilvl w:val="0"/>
          <w:numId w:val="2"/>
        </w:numPr>
        <w:spacing w:after="80"/>
      </w:pPr>
      <w:r>
        <w:rPr>
          <w:b/>
          <w:bCs/>
        </w:rPr>
        <w:t xml:space="preserve">○ OPEN  32</w:t>
      </w:r>
      <w:r>
        <w:t xml:space="preserve"> · RFDiffusion parallelisation — now needs a trace.txt inspection step before any refactor. See Task 32 spec below for the diagnostic command.</w:t>
      </w:r>
    </w:p>
    <w:p>
      <w:pPr>
        <w:pStyle w:val="ListParagraph"/>
        <w:numPr>
          <w:ilvl w:val="0"/>
          <w:numId w:val="2"/>
        </w:numPr>
        <w:spacing w:after="80"/>
      </w:pPr>
      <w:r>
        <w:rPr>
          <w:b/>
          <w:bCs/>
        </w:rPr>
        <w:t xml:space="preserve">★ NEW  P1-39</w:t>
      </w:r>
      <w:r>
        <w:t xml:space="preserve"> · DockQ vs experimental-structure integration. Where experimental coordinates exist for the rational-design positive control, use them as the DockQ reference (ground truth) rather than the RFDiffusion Cα self-consistency reference. Conditional on experimental coordinates being available for the current validation target.</w:t>
      </w:r>
    </w:p>
    <w:p>
      <w:pPr>
        <w:pStyle w:val="Heading2"/>
        <w:spacing w:after="140" w:before="280"/>
      </w:pPr>
      <w:r>
        <w:t xml:space="preserve">Active P2 — generalisation, orthogonal scoring, autoactivity</w:t>
      </w:r>
    </w:p>
    <w:p>
      <w:pPr>
        <w:pStyle w:val="ListParagraph"/>
        <w:numPr>
          <w:ilvl w:val="0"/>
          <w:numId w:val="2"/>
        </w:numPr>
        <w:spacing w:after="80"/>
      </w:pPr>
      <w:r>
        <w:rPr>
          <w:b/>
          <w:bCs/>
        </w:rPr>
        <w:t xml:space="preserve">★ NEW  P2-40</w:t>
      </w:r>
      <w:r>
        <w:t xml:space="preserve"> · Full-length receptor autoactivity filter. Predict the full-length NLR with the designed LRR substituted in, compare the NBD-LRR interface geometry to the native autoinhibited-state reference, flag designs that drift beyond a per-scaffold threshold.</w:t>
      </w:r>
    </w:p>
    <w:p>
      <w:pPr>
        <w:pStyle w:val="ListParagraph"/>
        <w:numPr>
          <w:ilvl w:val="0"/>
          <w:numId w:val="2"/>
        </w:numPr>
        <w:spacing w:after="80"/>
      </w:pPr>
      <w:r>
        <w:rPr>
          <w:b/>
          <w:bCs/>
        </w:rPr>
        <w:t xml:space="preserve">○ OPEN  15</w:t>
      </w:r>
      <w:r>
        <w:t xml:space="preserve"> · Delta-to-cold-start metric columns</w:t>
      </w:r>
    </w:p>
    <w:p>
      <w:pPr>
        <w:pStyle w:val="ListParagraph"/>
        <w:numPr>
          <w:ilvl w:val="0"/>
          <w:numId w:val="2"/>
        </w:numPr>
        <w:spacing w:after="80"/>
      </w:pPr>
      <w:r>
        <w:rPr>
          <w:b/>
          <w:bCs/>
        </w:rPr>
        <w:t xml:space="preserve">○ OPEN  18</w:t>
      </w:r>
      <w:r>
        <w:t xml:space="preserve"> · Noise-halo thresholds (see “Task 18 explained” below for definition)</w:t>
      </w:r>
    </w:p>
    <w:p>
      <w:pPr>
        <w:pStyle w:val="ListParagraph"/>
        <w:numPr>
          <w:ilvl w:val="0"/>
          <w:numId w:val="2"/>
        </w:numPr>
        <w:spacing w:after="80"/>
      </w:pPr>
      <w:r>
        <w:rPr>
          <w:b/>
          <w:bCs/>
        </w:rPr>
        <w:t xml:space="preserve">○ OPEN  20, 21, 22</w:t>
      </w:r>
      <w:r>
        <w:t xml:space="preserve"> · Post-wet-lab validation (alanine scan, retrospective calibration, cross-model) — blocked on wet-lab results</w:t>
      </w:r>
    </w:p>
    <w:p>
      <w:pPr>
        <w:pStyle w:val="Heading2"/>
        <w:spacing w:after="140" w:before="280"/>
      </w:pPr>
      <w:r>
        <w:t xml:space="preserve">Deferred / on hold</w:t>
      </w:r>
    </w:p>
    <w:p>
      <w:pPr>
        <w:pStyle w:val="ListParagraph"/>
        <w:numPr>
          <w:ilvl w:val="0"/>
          <w:numId w:val="2"/>
        </w:numPr>
        <w:spacing w:after="80"/>
      </w:pPr>
      <w:r>
        <w:rPr>
          <w:b/>
          <w:bCs/>
        </w:rPr>
        <w:t xml:space="preserve">○ OPEN  23, 24, 25, 27, 28</w:t>
      </w:r>
      <w:r>
        <w:t xml:space="preserve"> · P3 infrastructure items</w:t>
      </w:r>
    </w:p>
    <w:p>
      <w:pPr>
        <w:pStyle w:val="ListParagraph"/>
        <w:numPr>
          <w:ilvl w:val="0"/>
          <w:numId w:val="2"/>
        </w:numPr>
        <w:spacing w:after="80"/>
      </w:pPr>
      <w:r>
        <w:rPr>
          <w:b/>
          <w:bCs/>
        </w:rPr>
        <w:t xml:space="preserve">◐ PARTIAL  26</w:t>
      </w:r>
      <w:r>
        <w:t xml:space="preserve"> · NextFlow DSL2 migration of boltz2_iterate_steering.py — partial; shell orchestrator inside NEGSTEER_RUN_ONE was chosen instead of pure-NextFlow port. Not blocking.</w:t>
      </w:r>
    </w:p>
    <w:p>
      <w:pPr>
        <w:pStyle w:val="ListParagraph"/>
        <w:numPr>
          <w:ilvl w:val="0"/>
          <w:numId w:val="2"/>
        </w:numPr>
        <w:spacing w:after="80"/>
      </w:pPr>
      <w:r>
        <w:rPr>
          <w:b/>
          <w:bCs/>
        </w:rPr>
        <w:t xml:space="preserve">★ NEW  P3-41</w:t>
      </w:r>
      <w:r>
        <w:t xml:space="preserve"> · Shell-radius contig mode for RFDiffusion — expose --design-region-strategy {shell,allelic,legacy} and --shell-radius as a productionised version of the Strategy 4 recommendation from the experimental design notes. Not blocking Task 7, which can use existing contigs.</w:t>
      </w:r>
    </w:p>
    <w:p>
      <w:pPr>
        <w:pStyle w:val="Heading2"/>
        <w:spacing w:after="140" w:before="280"/>
      </w:pPr>
      <w:r>
        <w:t xml:space="preserve">Closed this revision</w:t>
      </w:r>
    </w:p>
    <w:p>
      <w:pPr>
        <w:pStyle w:val="ListParagraph"/>
        <w:numPr>
          <w:ilvl w:val="0"/>
          <w:numId w:val="2"/>
        </w:numPr>
        <w:spacing w:after="80"/>
      </w:pPr>
      <w:r>
        <w:rPr>
          <w:b/>
          <w:bCs/>
        </w:rPr>
        <w:t xml:space="preserve">✖ CLOSED  33</w:t>
      </w:r>
      <w:r>
        <w:t xml:space="preserve"> · Tier-none failure-mode diagnosis from the 16-sequence overnight run — closed per user decision 2026-04-22; no longer considered blocking for the next production run.</w:t>
      </w:r>
    </w:p>
    <w:p>
      <w:pPr>
        <w:pStyle w:val="Heading1"/>
        <w:spacing w:after="180" w:before="360"/>
      </w:pPr>
      <w:r>
        <w:t xml:space="preserve">Task status table (sorted by status)</w:t>
      </w:r>
    </w:p>
    <w:p>
      <w:pPr>
        <w:spacing w:after="120"/>
      </w:pPr>
      <w:r>
        <w:t xml:space="preserve">Sorted by {DONE → PARTIAL → IN PROGRESS → NEW → REVISED → OPEN → CLOSED}, with priority as secondary sort inside each status band. Row shading groups the status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680"/>
        <w:gridCol w:w="1440"/>
        <w:gridCol w:w="2700"/>
      </w:tblGrid>
      <w:tr>
        <w:trPr>
          <w:tblHeader/>
        </w:trPr>
        <w:tc>
          <w:tcPr>
            <w:tcW w:type="dxa" w:w="54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sz w:val="20"/>
                <w:szCs w:val="20"/>
              </w:rPr>
              <w:t xml:space="preserve">#</w:t>
            </w:r>
          </w:p>
        </w:tc>
        <w:tc>
          <w:tcPr>
            <w:tcW w:type="dxa" w:w="468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sz w:val="20"/>
                <w:szCs w:val="20"/>
              </w:rPr>
              <w:t xml:space="preserve">Task</w:t>
            </w:r>
          </w:p>
        </w:tc>
        <w:tc>
          <w:tcPr>
            <w:tcW w:type="dxa" w:w="144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sz w:val="20"/>
                <w:szCs w:val="20"/>
              </w:rPr>
              <w:t xml:space="preserve">Status</w:t>
            </w:r>
          </w:p>
        </w:tc>
        <w:tc>
          <w:tcPr>
            <w:tcW w:type="dxa" w:w="27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sz w:val="20"/>
                <w:szCs w:val="20"/>
              </w:rPr>
              <w:t xml:space="preserve">Priority</w:t>
            </w:r>
          </w:p>
        </w:tc>
      </w:tr>
      <w:tr>
        <w:tc>
          <w:tcPr>
            <w:tcW w:type="dxa" w:w="54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default">1</w:t>
            </w:r>
          </w:p>
        </w:tc>
        <w:tc>
          <w:tcPr>
            <w:tcW w:type="dxa" w:w="468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preserve">Expand protected-residue set</w:t>
            </w:r>
          </w:p>
        </w:tc>
        <w:tc>
          <w:tcPr>
            <w:tcW w:type="dxa" w:w="144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preserve">✓ DONE</w:t>
            </w:r>
          </w:p>
        </w:tc>
        <w:tc>
          <w:tcPr>
            <w:tcW w:type="dxa" w:w="270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preserve">P0 → archived</w:t>
            </w:r>
          </w:p>
        </w:tc>
      </w:tr>
      <w:tr>
        <w:tc>
          <w:tcPr>
            <w:tcW w:type="dxa" w:w="54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default">2</w:t>
            </w:r>
          </w:p>
        </w:tc>
        <w:tc>
          <w:tcPr>
            <w:tcW w:type="dxa" w:w="468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preserve">Populate confidence metrics for all rows</w:t>
            </w:r>
          </w:p>
        </w:tc>
        <w:tc>
          <w:tcPr>
            <w:tcW w:type="dxa" w:w="144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preserve">✓ DONE</w:t>
            </w:r>
          </w:p>
        </w:tc>
        <w:tc>
          <w:tcPr>
            <w:tcW w:type="dxa" w:w="270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preserve">P0 → archived</w:t>
            </w:r>
          </w:p>
        </w:tc>
      </w:tr>
      <w:tr>
        <w:tc>
          <w:tcPr>
            <w:tcW w:type="dxa" w:w="54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default">3</w:t>
            </w:r>
          </w:p>
        </w:tc>
        <w:tc>
          <w:tcPr>
            <w:tcW w:type="dxa" w:w="468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preserve">Composite ranker (true_jaccard − 0.05·ra_eff)</w:t>
            </w:r>
          </w:p>
        </w:tc>
        <w:tc>
          <w:tcPr>
            <w:tcW w:type="dxa" w:w="144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preserve">✓ DONE</w:t>
            </w:r>
          </w:p>
        </w:tc>
        <w:tc>
          <w:tcPr>
            <w:tcW w:type="dxa" w:w="270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preserve">P0 → archived</w:t>
            </w:r>
          </w:p>
        </w:tc>
      </w:tr>
      <w:tr>
        <w:tc>
          <w:tcPr>
            <w:tcW w:type="dxa" w:w="54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default">4</w:t>
            </w:r>
          </w:p>
        </w:tc>
        <w:tc>
          <w:tcPr>
            <w:tcW w:type="dxa" w:w="468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preserve">Remove rank_by_ipsae_min</w:t>
            </w:r>
          </w:p>
        </w:tc>
        <w:tc>
          <w:tcPr>
            <w:tcW w:type="dxa" w:w="144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preserve">✓ DONE</w:t>
            </w:r>
          </w:p>
        </w:tc>
        <w:tc>
          <w:tcPr>
            <w:tcW w:type="dxa" w:w="270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preserve">P0 → archived</w:t>
            </w:r>
          </w:p>
        </w:tc>
      </w:tr>
      <w:tr>
        <w:tc>
          <w:tcPr>
            <w:tcW w:type="dxa" w:w="54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default">5</w:t>
            </w:r>
          </w:p>
        </w:tc>
        <w:tc>
          <w:tcPr>
            <w:tcW w:type="dxa" w:w="468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preserve">Integrate negative steering into outer pipeline</w:t>
            </w:r>
          </w:p>
        </w:tc>
        <w:tc>
          <w:tcPr>
            <w:tcW w:type="dxa" w:w="144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preserve">✓ DONE</w:t>
            </w:r>
          </w:p>
        </w:tc>
        <w:tc>
          <w:tcPr>
            <w:tcW w:type="dxa" w:w="270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preserve">P0 → archived</w:t>
            </w:r>
          </w:p>
        </w:tc>
      </w:tr>
      <w:tr>
        <w:tc>
          <w:tcPr>
            <w:tcW w:type="dxa" w:w="54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default">12</w:t>
            </w:r>
          </w:p>
        </w:tc>
        <w:tc>
          <w:tcPr>
            <w:tcW w:type="dxa" w:w="468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preserve">Wire contamination fix into production</w:t>
            </w:r>
          </w:p>
        </w:tc>
        <w:tc>
          <w:tcPr>
            <w:tcW w:type="dxa" w:w="144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preserve">✓ DONE</w:t>
            </w:r>
          </w:p>
        </w:tc>
        <w:tc>
          <w:tcPr>
            <w:tcW w:type="dxa" w:w="270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preserve">P1 → archived</w:t>
            </w:r>
          </w:p>
        </w:tc>
      </w:tr>
      <w:tr>
        <w:tc>
          <w:tcPr>
            <w:tcW w:type="dxa" w:w="54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default">30</w:t>
            </w:r>
          </w:p>
        </w:tc>
        <w:tc>
          <w:tcPr>
            <w:tcW w:type="dxa" w:w="468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preserve">cuequivariance_torch kernel verification</w:t>
            </w:r>
          </w:p>
        </w:tc>
        <w:tc>
          <w:tcPr>
            <w:tcW w:type="dxa" w:w="144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preserve">✓ DONE</w:t>
            </w:r>
          </w:p>
        </w:tc>
        <w:tc>
          <w:tcPr>
            <w:tcW w:type="dxa" w:w="2700"/>
            <w:tcBorders>
              <w:top w:val="single" w:color="BFBFBF" w:sz="4"/>
              <w:left w:val="single" w:color="BFBFBF" w:sz="4"/>
              <w:bottom w:val="single" w:color="BFBFBF" w:sz="4"/>
              <w:right w:val="single" w:color="BFBFBF" w:sz="4"/>
            </w:tcBorders>
            <w:shd w:fill="E7F3E7" w:color="auto" w:val="clear"/>
            <w:tcMar>
              <w:top w:type="dxa" w:w="80"/>
              <w:left w:type="dxa" w:w="120"/>
              <w:bottom w:type="dxa" w:w="80"/>
              <w:right w:type="dxa" w:w="120"/>
            </w:tcMar>
          </w:tcPr>
          <w:p>
            <w:r>
              <w:rPr>
                <w:sz w:val="20"/>
                <w:szCs w:val="20"/>
              </w:rPr>
              <w:t xml:space="preserve">P0 → archived (runtime = P0-35)</w:t>
            </w:r>
          </w:p>
        </w:tc>
      </w:tr>
      <w:tr>
        <w:tc>
          <w:tcPr>
            <w:tcW w:type="dxa" w:w="540"/>
            <w:tcBorders>
              <w:top w:val="single" w:color="BFBFBF" w:sz="4"/>
              <w:left w:val="single" w:color="BFBFBF" w:sz="4"/>
              <w:bottom w:val="single" w:color="BFBFBF" w:sz="4"/>
              <w:right w:val="single" w:color="BFBFBF" w:sz="4"/>
            </w:tcBorders>
            <w:shd w:fill="FFF4D6" w:color="auto" w:val="clear"/>
            <w:tcMar>
              <w:top w:type="dxa" w:w="80"/>
              <w:left w:type="dxa" w:w="120"/>
              <w:bottom w:type="dxa" w:w="80"/>
              <w:right w:type="dxa" w:w="120"/>
            </w:tcMar>
          </w:tcPr>
          <w:p>
            <w:r>
              <w:rPr>
                <w:sz w:val="20"/>
                <w:szCs w:val="20"/>
              </w:rPr>
              <w:t xml:space="default">29</w:t>
            </w:r>
          </w:p>
        </w:tc>
        <w:tc>
          <w:tcPr>
            <w:tcW w:type="dxa" w:w="4680"/>
            <w:tcBorders>
              <w:top w:val="single" w:color="BFBFBF" w:sz="4"/>
              <w:left w:val="single" w:color="BFBFBF" w:sz="4"/>
              <w:bottom w:val="single" w:color="BFBFBF" w:sz="4"/>
              <w:right w:val="single" w:color="BFBFBF" w:sz="4"/>
            </w:tcBorders>
            <w:shd w:fill="FFF4D6" w:color="auto" w:val="clear"/>
            <w:tcMar>
              <w:top w:type="dxa" w:w="80"/>
              <w:left w:type="dxa" w:w="120"/>
              <w:bottom w:type="dxa" w:w="80"/>
              <w:right w:type="dxa" w:w="120"/>
            </w:tcMar>
          </w:tcPr>
          <w:p>
            <w:r>
              <w:rPr>
                <w:sz w:val="20"/>
                <w:szCs w:val="20"/>
              </w:rPr>
              <w:t xml:space="preserve">Interface-restricted RMSD + iPSAE</w:t>
            </w:r>
          </w:p>
        </w:tc>
        <w:tc>
          <w:tcPr>
            <w:tcW w:type="dxa" w:w="1440"/>
            <w:tcBorders>
              <w:top w:val="single" w:color="BFBFBF" w:sz="4"/>
              <w:left w:val="single" w:color="BFBFBF" w:sz="4"/>
              <w:bottom w:val="single" w:color="BFBFBF" w:sz="4"/>
              <w:right w:val="single" w:color="BFBFBF" w:sz="4"/>
            </w:tcBorders>
            <w:shd w:fill="FFF4D6" w:color="auto" w:val="clear"/>
            <w:tcMar>
              <w:top w:type="dxa" w:w="80"/>
              <w:left w:type="dxa" w:w="120"/>
              <w:bottom w:type="dxa" w:w="80"/>
              <w:right w:type="dxa" w:w="120"/>
            </w:tcMar>
          </w:tcPr>
          <w:p>
            <w:r>
              <w:rPr>
                <w:sz w:val="20"/>
                <w:szCs w:val="20"/>
              </w:rPr>
              <w:t xml:space="preserve">◐ PARTIAL</w:t>
            </w:r>
          </w:p>
        </w:tc>
        <w:tc>
          <w:tcPr>
            <w:tcW w:type="dxa" w:w="2700"/>
            <w:tcBorders>
              <w:top w:val="single" w:color="BFBFBF" w:sz="4"/>
              <w:left w:val="single" w:color="BFBFBF" w:sz="4"/>
              <w:bottom w:val="single" w:color="BFBFBF" w:sz="4"/>
              <w:right w:val="single" w:color="BFBFBF" w:sz="4"/>
            </w:tcBorders>
            <w:shd w:fill="FFF4D6" w:color="auto" w:val="clear"/>
            <w:tcMar>
              <w:top w:type="dxa" w:w="80"/>
              <w:left w:type="dxa" w:w="120"/>
              <w:bottom w:type="dxa" w:w="80"/>
              <w:right w:type="dxa" w:w="120"/>
            </w:tcMar>
          </w:tcPr>
          <w:p>
            <w:r>
              <w:rPr>
                <w:sz w:val="20"/>
                <w:szCs w:val="20"/>
              </w:rPr>
              <w:t xml:space="preserve">P0 (blocked on P0-34)</w:t>
            </w:r>
          </w:p>
        </w:tc>
      </w:tr>
      <w:tr>
        <w:tc>
          <w:tcPr>
            <w:tcW w:type="dxa" w:w="540"/>
            <w:tcBorders>
              <w:top w:val="single" w:color="BFBFBF" w:sz="4"/>
              <w:left w:val="single" w:color="BFBFBF" w:sz="4"/>
              <w:bottom w:val="single" w:color="BFBFBF" w:sz="4"/>
              <w:right w:val="single" w:color="BFBFBF" w:sz="4"/>
            </w:tcBorders>
            <w:shd w:fill="FFF4D6" w:color="auto" w:val="clear"/>
            <w:tcMar>
              <w:top w:type="dxa" w:w="80"/>
              <w:left w:type="dxa" w:w="120"/>
              <w:bottom w:type="dxa" w:w="80"/>
              <w:right w:type="dxa" w:w="120"/>
            </w:tcMar>
          </w:tcPr>
          <w:p>
            <w:r>
              <w:rPr>
                <w:sz w:val="20"/>
                <w:szCs w:val="20"/>
              </w:rPr>
              <w:t xml:space="default">31</w:t>
            </w:r>
          </w:p>
        </w:tc>
        <w:tc>
          <w:tcPr>
            <w:tcW w:type="dxa" w:w="4680"/>
            <w:tcBorders>
              <w:top w:val="single" w:color="BFBFBF" w:sz="4"/>
              <w:left w:val="single" w:color="BFBFBF" w:sz="4"/>
              <w:bottom w:val="single" w:color="BFBFBF" w:sz="4"/>
              <w:right w:val="single" w:color="BFBFBF" w:sz="4"/>
            </w:tcBorders>
            <w:shd w:fill="FFF4D6" w:color="auto" w:val="clear"/>
            <w:tcMar>
              <w:top w:type="dxa" w:w="80"/>
              <w:left w:type="dxa" w:w="120"/>
              <w:bottom w:type="dxa" w:w="80"/>
              <w:right w:type="dxa" w:w="120"/>
            </w:tcMar>
          </w:tcPr>
          <w:p>
            <w:r>
              <w:rPr>
                <w:sz w:val="20"/>
                <w:szCs w:val="20"/>
              </w:rPr>
              <w:t xml:space="preserve">Orthogonal validation metrics</w:t>
            </w:r>
          </w:p>
        </w:tc>
        <w:tc>
          <w:tcPr>
            <w:tcW w:type="dxa" w:w="1440"/>
            <w:tcBorders>
              <w:top w:val="single" w:color="BFBFBF" w:sz="4"/>
              <w:left w:val="single" w:color="BFBFBF" w:sz="4"/>
              <w:bottom w:val="single" w:color="BFBFBF" w:sz="4"/>
              <w:right w:val="single" w:color="BFBFBF" w:sz="4"/>
            </w:tcBorders>
            <w:shd w:fill="FFF4D6" w:color="auto" w:val="clear"/>
            <w:tcMar>
              <w:top w:type="dxa" w:w="80"/>
              <w:left w:type="dxa" w:w="120"/>
              <w:bottom w:type="dxa" w:w="80"/>
              <w:right w:type="dxa" w:w="120"/>
            </w:tcMar>
          </w:tcPr>
          <w:p>
            <w:r>
              <w:rPr>
                <w:sz w:val="20"/>
                <w:szCs w:val="20"/>
              </w:rPr>
              <w:t xml:space="preserve">◐ PARTIAL</w:t>
            </w:r>
          </w:p>
        </w:tc>
        <w:tc>
          <w:tcPr>
            <w:tcW w:type="dxa" w:w="2700"/>
            <w:tcBorders>
              <w:top w:val="single" w:color="BFBFBF" w:sz="4"/>
              <w:left w:val="single" w:color="BFBFBF" w:sz="4"/>
              <w:bottom w:val="single" w:color="BFBFBF" w:sz="4"/>
              <w:right w:val="single" w:color="BFBFBF" w:sz="4"/>
            </w:tcBorders>
            <w:shd w:fill="FFF4D6" w:color="auto" w:val="clear"/>
            <w:tcMar>
              <w:top w:type="dxa" w:w="80"/>
              <w:left w:type="dxa" w:w="120"/>
              <w:bottom w:type="dxa" w:w="80"/>
              <w:right w:type="dxa" w:w="120"/>
            </w:tcMar>
          </w:tcPr>
          <w:p>
            <w:r>
              <w:rPr>
                <w:sz w:val="20"/>
                <w:szCs w:val="20"/>
              </w:rPr>
              <w:t xml:space="preserve">P0 (blocked on P0-34)</w:t>
            </w:r>
          </w:p>
        </w:tc>
      </w:tr>
      <w:tr>
        <w:tc>
          <w:tcPr>
            <w:tcW w:type="dxa" w:w="540"/>
            <w:tcBorders>
              <w:top w:val="single" w:color="BFBFBF" w:sz="4"/>
              <w:left w:val="single" w:color="BFBFBF" w:sz="4"/>
              <w:bottom w:val="single" w:color="BFBFBF" w:sz="4"/>
              <w:right w:val="single" w:color="BFBFBF" w:sz="4"/>
            </w:tcBorders>
            <w:shd w:fill="FFF4D6" w:color="auto" w:val="clear"/>
            <w:tcMar>
              <w:top w:type="dxa" w:w="80"/>
              <w:left w:type="dxa" w:w="120"/>
              <w:bottom w:type="dxa" w:w="80"/>
              <w:right w:type="dxa" w:w="120"/>
            </w:tcMar>
          </w:tcPr>
          <w:p>
            <w:r>
              <w:rPr>
                <w:sz w:val="20"/>
                <w:szCs w:val="20"/>
              </w:rPr>
              <w:t xml:space="default">26</w:t>
            </w:r>
          </w:p>
        </w:tc>
        <w:tc>
          <w:tcPr>
            <w:tcW w:type="dxa" w:w="4680"/>
            <w:tcBorders>
              <w:top w:val="single" w:color="BFBFBF" w:sz="4"/>
              <w:left w:val="single" w:color="BFBFBF" w:sz="4"/>
              <w:bottom w:val="single" w:color="BFBFBF" w:sz="4"/>
              <w:right w:val="single" w:color="BFBFBF" w:sz="4"/>
            </w:tcBorders>
            <w:shd w:fill="FFF4D6" w:color="auto" w:val="clear"/>
            <w:tcMar>
              <w:top w:type="dxa" w:w="80"/>
              <w:left w:type="dxa" w:w="120"/>
              <w:bottom w:type="dxa" w:w="80"/>
              <w:right w:type="dxa" w:w="120"/>
            </w:tcMar>
          </w:tcPr>
          <w:p>
            <w:r>
              <w:rPr>
                <w:sz w:val="20"/>
                <w:szCs w:val="20"/>
              </w:rPr>
              <w:t xml:space="preserve">NextFlow DSL2 migration of iterate_steering</w:t>
            </w:r>
          </w:p>
        </w:tc>
        <w:tc>
          <w:tcPr>
            <w:tcW w:type="dxa" w:w="1440"/>
            <w:tcBorders>
              <w:top w:val="single" w:color="BFBFBF" w:sz="4"/>
              <w:left w:val="single" w:color="BFBFBF" w:sz="4"/>
              <w:bottom w:val="single" w:color="BFBFBF" w:sz="4"/>
              <w:right w:val="single" w:color="BFBFBF" w:sz="4"/>
            </w:tcBorders>
            <w:shd w:fill="FFF4D6" w:color="auto" w:val="clear"/>
            <w:tcMar>
              <w:top w:type="dxa" w:w="80"/>
              <w:left w:type="dxa" w:w="120"/>
              <w:bottom w:type="dxa" w:w="80"/>
              <w:right w:type="dxa" w:w="120"/>
            </w:tcMar>
          </w:tcPr>
          <w:p>
            <w:r>
              <w:rPr>
                <w:sz w:val="20"/>
                <w:szCs w:val="20"/>
              </w:rPr>
              <w:t xml:space="preserve">◐ PARTIAL</w:t>
            </w:r>
          </w:p>
        </w:tc>
        <w:tc>
          <w:tcPr>
            <w:tcW w:type="dxa" w:w="2700"/>
            <w:tcBorders>
              <w:top w:val="single" w:color="BFBFBF" w:sz="4"/>
              <w:left w:val="single" w:color="BFBFBF" w:sz="4"/>
              <w:bottom w:val="single" w:color="BFBFBF" w:sz="4"/>
              <w:right w:val="single" w:color="BFBFBF" w:sz="4"/>
            </w:tcBorders>
            <w:shd w:fill="FFF4D6" w:color="auto" w:val="clear"/>
            <w:tcMar>
              <w:top w:type="dxa" w:w="80"/>
              <w:left w:type="dxa" w:w="120"/>
              <w:bottom w:type="dxa" w:w="80"/>
              <w:right w:type="dxa" w:w="120"/>
            </w:tcMar>
          </w:tcPr>
          <w:p>
            <w:r>
              <w:rPr>
                <w:sz w:val="20"/>
                <w:szCs w:val="20"/>
              </w:rPr>
              <w:t xml:space="preserve">P3 (not blocking)</w:t>
            </w:r>
          </w:p>
        </w:tc>
      </w:tr>
      <w:tr>
        <w:tc>
          <w:tcPr>
            <w:tcW w:type="dxa" w:w="540"/>
            <w:tcBorders>
              <w:top w:val="single" w:color="BFBFBF" w:sz="4"/>
              <w:left w:val="single" w:color="BFBFBF" w:sz="4"/>
              <w:bottom w:val="single" w:color="BFBFBF" w:sz="4"/>
              <w:right w:val="single" w:color="BFBFBF" w:sz="4"/>
            </w:tcBorders>
            <w:shd w:fill="FFE0CC" w:color="auto" w:val="clear"/>
            <w:tcMar>
              <w:top w:type="dxa" w:w="80"/>
              <w:left w:type="dxa" w:w="120"/>
              <w:bottom w:type="dxa" w:w="80"/>
              <w:right w:type="dxa" w:w="120"/>
            </w:tcMar>
          </w:tcPr>
          <w:p>
            <w:r>
              <w:rPr>
                <w:sz w:val="20"/>
                <w:szCs w:val="20"/>
              </w:rPr>
              <w:t xml:space="default">35</w:t>
            </w:r>
          </w:p>
        </w:tc>
        <w:tc>
          <w:tcPr>
            <w:tcW w:type="dxa" w:w="4680"/>
            <w:tcBorders>
              <w:top w:val="single" w:color="BFBFBF" w:sz="4"/>
              <w:left w:val="single" w:color="BFBFBF" w:sz="4"/>
              <w:bottom w:val="single" w:color="BFBFBF" w:sz="4"/>
              <w:right w:val="single" w:color="BFBFBF" w:sz="4"/>
            </w:tcBorders>
            <w:shd w:fill="FFE0CC" w:color="auto" w:val="clear"/>
            <w:tcMar>
              <w:top w:type="dxa" w:w="80"/>
              <w:left w:type="dxa" w:w="120"/>
              <w:bottom w:type="dxa" w:w="80"/>
              <w:right w:type="dxa" w:w="120"/>
            </w:tcMar>
          </w:tcPr>
          <w:p>
            <w:r>
              <w:rPr>
                <w:sz w:val="20"/>
                <w:szCs w:val="20"/>
              </w:rPr>
              <w:t xml:space="preserve">GPU-node runtime smoke-test of boltz2_negsteer.img</w:t>
            </w:r>
          </w:p>
        </w:tc>
        <w:tc>
          <w:tcPr>
            <w:tcW w:type="dxa" w:w="1440"/>
            <w:tcBorders>
              <w:top w:val="single" w:color="BFBFBF" w:sz="4"/>
              <w:left w:val="single" w:color="BFBFBF" w:sz="4"/>
              <w:bottom w:val="single" w:color="BFBFBF" w:sz="4"/>
              <w:right w:val="single" w:color="BFBFBF" w:sz="4"/>
            </w:tcBorders>
            <w:shd w:fill="FFE0CC" w:color="auto" w:val="clear"/>
            <w:tcMar>
              <w:top w:type="dxa" w:w="80"/>
              <w:left w:type="dxa" w:w="120"/>
              <w:bottom w:type="dxa" w:w="80"/>
              <w:right w:type="dxa" w:w="120"/>
            </w:tcMar>
          </w:tcPr>
          <w:p>
            <w:r>
              <w:rPr>
                <w:sz w:val="20"/>
                <w:szCs w:val="20"/>
              </w:rPr>
              <w:t xml:space="preserve">◔ IN PROGRESS</w:t>
            </w:r>
          </w:p>
        </w:tc>
        <w:tc>
          <w:tcPr>
            <w:tcW w:type="dxa" w:w="2700"/>
            <w:tcBorders>
              <w:top w:val="single" w:color="BFBFBF" w:sz="4"/>
              <w:left w:val="single" w:color="BFBFBF" w:sz="4"/>
              <w:bottom w:val="single" w:color="BFBFBF" w:sz="4"/>
              <w:right w:val="single" w:color="BFBFBF" w:sz="4"/>
            </w:tcBorders>
            <w:shd w:fill="FFE0CC" w:color="auto" w:val="clear"/>
            <w:tcMar>
              <w:top w:type="dxa" w:w="80"/>
              <w:left w:type="dxa" w:w="120"/>
              <w:bottom w:type="dxa" w:w="80"/>
              <w:right w:type="dxa" w:w="120"/>
            </w:tcMar>
          </w:tcPr>
          <w:p>
            <w:r>
              <w:rPr>
                <w:sz w:val="20"/>
                <w:szCs w:val="20"/>
              </w:rPr>
              <w:t xml:space="preserve">P0 (running on GPU queue)</w:t>
            </w:r>
          </w:p>
        </w:tc>
      </w:tr>
      <w:tr>
        <w:tc>
          <w:tcPr>
            <w:tcW w:type="dxa" w:w="540"/>
            <w:tcBorders>
              <w:top w:val="single" w:color="BFBFBF" w:sz="4"/>
              <w:left w:val="single" w:color="BFBFBF" w:sz="4"/>
              <w:bottom w:val="single" w:color="BFBFBF" w:sz="4"/>
              <w:right w:val="single" w:color="BFBFBF" w:sz="4"/>
            </w:tcBorders>
            <w:shd w:fill="E8E4FA" w:color="auto" w:val="clear"/>
            <w:tcMar>
              <w:top w:type="dxa" w:w="80"/>
              <w:left w:type="dxa" w:w="120"/>
              <w:bottom w:type="dxa" w:w="80"/>
              <w:right w:type="dxa" w:w="120"/>
            </w:tcMar>
          </w:tcPr>
          <w:p>
            <w:r>
              <w:rPr>
                <w:sz w:val="20"/>
                <w:szCs w:val="20"/>
              </w:rPr>
              <w:t xml:space="default">38</w:t>
            </w:r>
          </w:p>
        </w:tc>
        <w:tc>
          <w:tcPr>
            <w:tcW w:type="dxa" w:w="4680"/>
            <w:tcBorders>
              <w:top w:val="single" w:color="BFBFBF" w:sz="4"/>
              <w:left w:val="single" w:color="BFBFBF" w:sz="4"/>
              <w:bottom w:val="single" w:color="BFBFBF" w:sz="4"/>
              <w:right w:val="single" w:color="BFBFBF" w:sz="4"/>
            </w:tcBorders>
            <w:shd w:fill="E8E4FA" w:color="auto" w:val="clear"/>
            <w:tcMar>
              <w:top w:type="dxa" w:w="80"/>
              <w:left w:type="dxa" w:w="120"/>
              <w:bottom w:type="dxa" w:w="80"/>
              <w:right w:type="dxa" w:w="120"/>
            </w:tcMar>
          </w:tcPr>
          <w:p>
            <w:r>
              <w:rPr>
                <w:sz w:val="20"/>
                <w:szCs w:val="20"/>
              </w:rPr>
              <w:t xml:space="preserve">Weighted Jaccard contact overlap</w:t>
            </w:r>
          </w:p>
        </w:tc>
        <w:tc>
          <w:tcPr>
            <w:tcW w:type="dxa" w:w="1440"/>
            <w:tcBorders>
              <w:top w:val="single" w:color="BFBFBF" w:sz="4"/>
              <w:left w:val="single" w:color="BFBFBF" w:sz="4"/>
              <w:bottom w:val="single" w:color="BFBFBF" w:sz="4"/>
              <w:right w:val="single" w:color="BFBFBF" w:sz="4"/>
            </w:tcBorders>
            <w:shd w:fill="E8E4FA" w:color="auto" w:val="clear"/>
            <w:tcMar>
              <w:top w:type="dxa" w:w="80"/>
              <w:left w:type="dxa" w:w="120"/>
              <w:bottom w:type="dxa" w:w="80"/>
              <w:right w:type="dxa" w:w="120"/>
            </w:tcMar>
          </w:tcPr>
          <w:p>
            <w:r>
              <w:rPr>
                <w:sz w:val="20"/>
                <w:szCs w:val="20"/>
              </w:rPr>
              <w:t xml:space="preserve">★ NEW</w:t>
            </w:r>
          </w:p>
        </w:tc>
        <w:tc>
          <w:tcPr>
            <w:tcW w:type="dxa" w:w="2700"/>
            <w:tcBorders>
              <w:top w:val="single" w:color="BFBFBF" w:sz="4"/>
              <w:left w:val="single" w:color="BFBFBF" w:sz="4"/>
              <w:bottom w:val="single" w:color="BFBFBF" w:sz="4"/>
              <w:right w:val="single" w:color="BFBFBF" w:sz="4"/>
            </w:tcBorders>
            <w:shd w:fill="E8E4FA" w:color="auto" w:val="clear"/>
            <w:tcMar>
              <w:top w:type="dxa" w:w="80"/>
              <w:left w:type="dxa" w:w="120"/>
              <w:bottom w:type="dxa" w:w="80"/>
              <w:right w:type="dxa" w:w="120"/>
            </w:tcMar>
          </w:tcPr>
          <w:p>
            <w:r>
              <w:rPr>
                <w:sz w:val="20"/>
                <w:szCs w:val="20"/>
              </w:rPr>
              <w:t xml:space="preserve">P0 (raised from P1 this revision)</w:t>
            </w:r>
          </w:p>
        </w:tc>
      </w:tr>
      <w:tr>
        <w:tc>
          <w:tcPr>
            <w:tcW w:type="dxa" w:w="540"/>
            <w:tcBorders>
              <w:top w:val="single" w:color="BFBFBF" w:sz="4"/>
              <w:left w:val="single" w:color="BFBFBF" w:sz="4"/>
              <w:bottom w:val="single" w:color="BFBFBF" w:sz="4"/>
              <w:right w:val="single" w:color="BFBFBF" w:sz="4"/>
            </w:tcBorders>
            <w:shd w:fill="E8E4FA" w:color="auto" w:val="clear"/>
            <w:tcMar>
              <w:top w:type="dxa" w:w="80"/>
              <w:left w:type="dxa" w:w="120"/>
              <w:bottom w:type="dxa" w:w="80"/>
              <w:right w:type="dxa" w:w="120"/>
            </w:tcMar>
          </w:tcPr>
          <w:p>
            <w:r>
              <w:rPr>
                <w:sz w:val="20"/>
                <w:szCs w:val="20"/>
              </w:rPr>
              <w:t xml:space="default">39</w:t>
            </w:r>
          </w:p>
        </w:tc>
        <w:tc>
          <w:tcPr>
            <w:tcW w:type="dxa" w:w="4680"/>
            <w:tcBorders>
              <w:top w:val="single" w:color="BFBFBF" w:sz="4"/>
              <w:left w:val="single" w:color="BFBFBF" w:sz="4"/>
              <w:bottom w:val="single" w:color="BFBFBF" w:sz="4"/>
              <w:right w:val="single" w:color="BFBFBF" w:sz="4"/>
            </w:tcBorders>
            <w:shd w:fill="E8E4FA" w:color="auto" w:val="clear"/>
            <w:tcMar>
              <w:top w:type="dxa" w:w="80"/>
              <w:left w:type="dxa" w:w="120"/>
              <w:bottom w:type="dxa" w:w="80"/>
              <w:right w:type="dxa" w:w="120"/>
            </w:tcMar>
          </w:tcPr>
          <w:p>
            <w:r>
              <w:rPr>
                <w:sz w:val="20"/>
                <w:szCs w:val="20"/>
              </w:rPr>
              <w:t xml:space="preserve">DockQ vs experimental-structure integration</w:t>
            </w:r>
          </w:p>
        </w:tc>
        <w:tc>
          <w:tcPr>
            <w:tcW w:type="dxa" w:w="1440"/>
            <w:tcBorders>
              <w:top w:val="single" w:color="BFBFBF" w:sz="4"/>
              <w:left w:val="single" w:color="BFBFBF" w:sz="4"/>
              <w:bottom w:val="single" w:color="BFBFBF" w:sz="4"/>
              <w:right w:val="single" w:color="BFBFBF" w:sz="4"/>
            </w:tcBorders>
            <w:shd w:fill="E8E4FA" w:color="auto" w:val="clear"/>
            <w:tcMar>
              <w:top w:type="dxa" w:w="80"/>
              <w:left w:type="dxa" w:w="120"/>
              <w:bottom w:type="dxa" w:w="80"/>
              <w:right w:type="dxa" w:w="120"/>
            </w:tcMar>
          </w:tcPr>
          <w:p>
            <w:r>
              <w:rPr>
                <w:sz w:val="20"/>
                <w:szCs w:val="20"/>
              </w:rPr>
              <w:t xml:space="preserve">★ NEW</w:t>
            </w:r>
          </w:p>
        </w:tc>
        <w:tc>
          <w:tcPr>
            <w:tcW w:type="dxa" w:w="2700"/>
            <w:tcBorders>
              <w:top w:val="single" w:color="BFBFBF" w:sz="4"/>
              <w:left w:val="single" w:color="BFBFBF" w:sz="4"/>
              <w:bottom w:val="single" w:color="BFBFBF" w:sz="4"/>
              <w:right w:val="single" w:color="BFBFBF" w:sz="4"/>
            </w:tcBorders>
            <w:shd w:fill="E8E4FA" w:color="auto" w:val="clear"/>
            <w:tcMar>
              <w:top w:type="dxa" w:w="80"/>
              <w:left w:type="dxa" w:w="120"/>
              <w:bottom w:type="dxa" w:w="80"/>
              <w:right w:type="dxa" w:w="120"/>
            </w:tcMar>
          </w:tcPr>
          <w:p>
            <w:r>
              <w:rPr>
                <w:sz w:val="20"/>
                <w:szCs w:val="20"/>
              </w:rPr>
              <w:t xml:space="preserve">P1</w:t>
            </w:r>
          </w:p>
        </w:tc>
      </w:tr>
      <w:tr>
        <w:tc>
          <w:tcPr>
            <w:tcW w:type="dxa" w:w="540"/>
            <w:tcBorders>
              <w:top w:val="single" w:color="BFBFBF" w:sz="4"/>
              <w:left w:val="single" w:color="BFBFBF" w:sz="4"/>
              <w:bottom w:val="single" w:color="BFBFBF" w:sz="4"/>
              <w:right w:val="single" w:color="BFBFBF" w:sz="4"/>
            </w:tcBorders>
            <w:shd w:fill="E8E4FA" w:color="auto" w:val="clear"/>
            <w:tcMar>
              <w:top w:type="dxa" w:w="80"/>
              <w:left w:type="dxa" w:w="120"/>
              <w:bottom w:type="dxa" w:w="80"/>
              <w:right w:type="dxa" w:w="120"/>
            </w:tcMar>
          </w:tcPr>
          <w:p>
            <w:r>
              <w:rPr>
                <w:sz w:val="20"/>
                <w:szCs w:val="20"/>
              </w:rPr>
              <w:t xml:space="default">40</w:t>
            </w:r>
          </w:p>
        </w:tc>
        <w:tc>
          <w:tcPr>
            <w:tcW w:type="dxa" w:w="4680"/>
            <w:tcBorders>
              <w:top w:val="single" w:color="BFBFBF" w:sz="4"/>
              <w:left w:val="single" w:color="BFBFBF" w:sz="4"/>
              <w:bottom w:val="single" w:color="BFBFBF" w:sz="4"/>
              <w:right w:val="single" w:color="BFBFBF" w:sz="4"/>
            </w:tcBorders>
            <w:shd w:fill="E8E4FA" w:color="auto" w:val="clear"/>
            <w:tcMar>
              <w:top w:type="dxa" w:w="80"/>
              <w:left w:type="dxa" w:w="120"/>
              <w:bottom w:type="dxa" w:w="80"/>
              <w:right w:type="dxa" w:w="120"/>
            </w:tcMar>
          </w:tcPr>
          <w:p>
            <w:r>
              <w:rPr>
                <w:sz w:val="20"/>
                <w:szCs w:val="20"/>
              </w:rPr>
              <w:t xml:space="preserve">Full-length receptor autoactivity filter</w:t>
            </w:r>
          </w:p>
        </w:tc>
        <w:tc>
          <w:tcPr>
            <w:tcW w:type="dxa" w:w="1440"/>
            <w:tcBorders>
              <w:top w:val="single" w:color="BFBFBF" w:sz="4"/>
              <w:left w:val="single" w:color="BFBFBF" w:sz="4"/>
              <w:bottom w:val="single" w:color="BFBFBF" w:sz="4"/>
              <w:right w:val="single" w:color="BFBFBF" w:sz="4"/>
            </w:tcBorders>
            <w:shd w:fill="E8E4FA" w:color="auto" w:val="clear"/>
            <w:tcMar>
              <w:top w:type="dxa" w:w="80"/>
              <w:left w:type="dxa" w:w="120"/>
              <w:bottom w:type="dxa" w:w="80"/>
              <w:right w:type="dxa" w:w="120"/>
            </w:tcMar>
          </w:tcPr>
          <w:p>
            <w:r>
              <w:rPr>
                <w:sz w:val="20"/>
                <w:szCs w:val="20"/>
              </w:rPr>
              <w:t xml:space="preserve">★ NEW</w:t>
            </w:r>
          </w:p>
        </w:tc>
        <w:tc>
          <w:tcPr>
            <w:tcW w:type="dxa" w:w="2700"/>
            <w:tcBorders>
              <w:top w:val="single" w:color="BFBFBF" w:sz="4"/>
              <w:left w:val="single" w:color="BFBFBF" w:sz="4"/>
              <w:bottom w:val="single" w:color="BFBFBF" w:sz="4"/>
              <w:right w:val="single" w:color="BFBFBF" w:sz="4"/>
            </w:tcBorders>
            <w:shd w:fill="E8E4FA" w:color="auto" w:val="clear"/>
            <w:tcMar>
              <w:top w:type="dxa" w:w="80"/>
              <w:left w:type="dxa" w:w="120"/>
              <w:bottom w:type="dxa" w:w="80"/>
              <w:right w:type="dxa" w:w="120"/>
            </w:tcMar>
          </w:tcPr>
          <w:p>
            <w:r>
              <w:rPr>
                <w:sz w:val="20"/>
                <w:szCs w:val="20"/>
              </w:rPr>
              <w:t xml:space="preserve">P2</w:t>
            </w:r>
          </w:p>
        </w:tc>
      </w:tr>
      <w:tr>
        <w:tc>
          <w:tcPr>
            <w:tcW w:type="dxa" w:w="540"/>
            <w:tcBorders>
              <w:top w:val="single" w:color="BFBFBF" w:sz="4"/>
              <w:left w:val="single" w:color="BFBFBF" w:sz="4"/>
              <w:bottom w:val="single" w:color="BFBFBF" w:sz="4"/>
              <w:right w:val="single" w:color="BFBFBF" w:sz="4"/>
            </w:tcBorders>
            <w:shd w:fill="E8E4FA" w:color="auto" w:val="clear"/>
            <w:tcMar>
              <w:top w:type="dxa" w:w="80"/>
              <w:left w:type="dxa" w:w="120"/>
              <w:bottom w:type="dxa" w:w="80"/>
              <w:right w:type="dxa" w:w="120"/>
            </w:tcMar>
          </w:tcPr>
          <w:p>
            <w:r>
              <w:rPr>
                <w:sz w:val="20"/>
                <w:szCs w:val="20"/>
              </w:rPr>
              <w:t xml:space="default">41</w:t>
            </w:r>
          </w:p>
        </w:tc>
        <w:tc>
          <w:tcPr>
            <w:tcW w:type="dxa" w:w="4680"/>
            <w:tcBorders>
              <w:top w:val="single" w:color="BFBFBF" w:sz="4"/>
              <w:left w:val="single" w:color="BFBFBF" w:sz="4"/>
              <w:bottom w:val="single" w:color="BFBFBF" w:sz="4"/>
              <w:right w:val="single" w:color="BFBFBF" w:sz="4"/>
            </w:tcBorders>
            <w:shd w:fill="E8E4FA" w:color="auto" w:val="clear"/>
            <w:tcMar>
              <w:top w:type="dxa" w:w="80"/>
              <w:left w:type="dxa" w:w="120"/>
              <w:bottom w:type="dxa" w:w="80"/>
              <w:right w:type="dxa" w:w="120"/>
            </w:tcMar>
          </w:tcPr>
          <w:p>
            <w:r>
              <w:rPr>
                <w:sz w:val="20"/>
                <w:szCs w:val="20"/>
              </w:rPr>
              <w:t xml:space="preserve">Shell-radius contig mode for RFDiffusion</w:t>
            </w:r>
          </w:p>
        </w:tc>
        <w:tc>
          <w:tcPr>
            <w:tcW w:type="dxa" w:w="1440"/>
            <w:tcBorders>
              <w:top w:val="single" w:color="BFBFBF" w:sz="4"/>
              <w:left w:val="single" w:color="BFBFBF" w:sz="4"/>
              <w:bottom w:val="single" w:color="BFBFBF" w:sz="4"/>
              <w:right w:val="single" w:color="BFBFBF" w:sz="4"/>
            </w:tcBorders>
            <w:shd w:fill="E8E4FA" w:color="auto" w:val="clear"/>
            <w:tcMar>
              <w:top w:type="dxa" w:w="80"/>
              <w:left w:type="dxa" w:w="120"/>
              <w:bottom w:type="dxa" w:w="80"/>
              <w:right w:type="dxa" w:w="120"/>
            </w:tcMar>
          </w:tcPr>
          <w:p>
            <w:r>
              <w:rPr>
                <w:sz w:val="20"/>
                <w:szCs w:val="20"/>
              </w:rPr>
              <w:t xml:space="preserve">★ NEW</w:t>
            </w:r>
          </w:p>
        </w:tc>
        <w:tc>
          <w:tcPr>
            <w:tcW w:type="dxa" w:w="2700"/>
            <w:tcBorders>
              <w:top w:val="single" w:color="BFBFBF" w:sz="4"/>
              <w:left w:val="single" w:color="BFBFBF" w:sz="4"/>
              <w:bottom w:val="single" w:color="BFBFBF" w:sz="4"/>
              <w:right w:val="single" w:color="BFBFBF" w:sz="4"/>
            </w:tcBorders>
            <w:shd w:fill="E8E4FA" w:color="auto" w:val="clear"/>
            <w:tcMar>
              <w:top w:type="dxa" w:w="80"/>
              <w:left w:type="dxa" w:w="120"/>
              <w:bottom w:type="dxa" w:w="80"/>
              <w:right w:type="dxa" w:w="120"/>
            </w:tcMar>
          </w:tcPr>
          <w:p>
            <w:r>
              <w:rPr>
                <w:sz w:val="20"/>
                <w:szCs w:val="20"/>
              </w:rPr>
              <w:t xml:space="preserve">P3</w:t>
            </w:r>
          </w:p>
        </w:tc>
      </w:tr>
      <w:tr>
        <w:tc>
          <w:tcPr>
            <w:tcW w:type="dxa" w:w="540"/>
            <w:tcBorders>
              <w:top w:val="single" w:color="BFBFBF" w:sz="4"/>
              <w:left w:val="single" w:color="BFBFBF" w:sz="4"/>
              <w:bottom w:val="single" w:color="BFBFBF" w:sz="4"/>
              <w:right w:val="single" w:color="BFBFBF" w:sz="4"/>
            </w:tcBorders>
            <w:shd w:fill="E4EAF7" w:color="auto" w:val="clear"/>
            <w:tcMar>
              <w:top w:type="dxa" w:w="80"/>
              <w:left w:type="dxa" w:w="120"/>
              <w:bottom w:type="dxa" w:w="80"/>
              <w:right w:type="dxa" w:w="120"/>
            </w:tcMar>
          </w:tcPr>
          <w:p>
            <w:r>
              <w:rPr>
                <w:sz w:val="20"/>
                <w:szCs w:val="20"/>
              </w:rPr>
              <w:t xml:space="default">10</w:t>
            </w:r>
          </w:p>
        </w:tc>
        <w:tc>
          <w:tcPr>
            <w:tcW w:type="dxa" w:w="4680"/>
            <w:tcBorders>
              <w:top w:val="single" w:color="BFBFBF" w:sz="4"/>
              <w:left w:val="single" w:color="BFBFBF" w:sz="4"/>
              <w:bottom w:val="single" w:color="BFBFBF" w:sz="4"/>
              <w:right w:val="single" w:color="BFBFBF" w:sz="4"/>
            </w:tcBorders>
            <w:shd w:fill="E4EAF7" w:color="auto" w:val="clear"/>
            <w:tcMar>
              <w:top w:type="dxa" w:w="80"/>
              <w:left w:type="dxa" w:w="120"/>
              <w:bottom w:type="dxa" w:w="80"/>
              <w:right w:type="dxa" w:w="120"/>
            </w:tcMar>
          </w:tcPr>
          <w:p>
            <w:r>
              <w:rPr>
                <w:sz w:val="20"/>
                <w:szCs w:val="20"/>
              </w:rPr>
              <w:t xml:space="preserve">Interface-restricted RMSD / intact filter</w:t>
            </w:r>
          </w:p>
        </w:tc>
        <w:tc>
          <w:tcPr>
            <w:tcW w:type="dxa" w:w="1440"/>
            <w:tcBorders>
              <w:top w:val="single" w:color="BFBFBF" w:sz="4"/>
              <w:left w:val="single" w:color="BFBFBF" w:sz="4"/>
              <w:bottom w:val="single" w:color="BFBFBF" w:sz="4"/>
              <w:right w:val="single" w:color="BFBFBF" w:sz="4"/>
            </w:tcBorders>
            <w:shd w:fill="E4EAF7" w:color="auto" w:val="clear"/>
            <w:tcMar>
              <w:top w:type="dxa" w:w="80"/>
              <w:left w:type="dxa" w:w="120"/>
              <w:bottom w:type="dxa" w:w="80"/>
              <w:right w:type="dxa" w:w="120"/>
            </w:tcMar>
          </w:tcPr>
          <w:p>
            <w:r>
              <w:rPr>
                <w:sz w:val="20"/>
                <w:szCs w:val="20"/>
              </w:rPr>
              <w:t xml:space="preserve">↻ REVISED</w:t>
            </w:r>
          </w:p>
        </w:tc>
        <w:tc>
          <w:tcPr>
            <w:tcW w:type="dxa" w:w="2700"/>
            <w:tcBorders>
              <w:top w:val="single" w:color="BFBFBF" w:sz="4"/>
              <w:left w:val="single" w:color="BFBFBF" w:sz="4"/>
              <w:bottom w:val="single" w:color="BFBFBF" w:sz="4"/>
              <w:right w:val="single" w:color="BFBFBF" w:sz="4"/>
            </w:tcBorders>
            <w:shd w:fill="E4EAF7" w:color="auto" w:val="clear"/>
            <w:tcMar>
              <w:top w:type="dxa" w:w="80"/>
              <w:left w:type="dxa" w:w="120"/>
              <w:bottom w:type="dxa" w:w="80"/>
              <w:right w:type="dxa" w:w="120"/>
            </w:tcMar>
          </w:tcPr>
          <w:p>
            <w:r>
              <w:rPr>
                <w:sz w:val="20"/>
                <w:szCs w:val="20"/>
              </w:rPr>
              <w:t xml:space="preserve">→ merged into P0-29</w:t>
            </w:r>
          </w:p>
        </w:tc>
      </w:tr>
      <w:tr>
        <w:tc>
          <w:tcPr>
            <w:tcW w:type="dxa" w:w="540"/>
            <w:tcBorders>
              <w:top w:val="single" w:color="BFBFBF" w:sz="4"/>
              <w:left w:val="single" w:color="BFBFBF" w:sz="4"/>
              <w:bottom w:val="single" w:color="BFBFBF" w:sz="4"/>
              <w:right w:val="single" w:color="BFBFBF" w:sz="4"/>
            </w:tcBorders>
            <w:shd w:fill="E4EAF7" w:color="auto" w:val="clear"/>
            <w:tcMar>
              <w:top w:type="dxa" w:w="80"/>
              <w:left w:type="dxa" w:w="120"/>
              <w:bottom w:type="dxa" w:w="80"/>
              <w:right w:type="dxa" w:w="120"/>
            </w:tcMar>
          </w:tcPr>
          <w:p>
            <w:r>
              <w:rPr>
                <w:sz w:val="20"/>
                <w:szCs w:val="20"/>
              </w:rPr>
              <w:t xml:space="default">11</w:t>
            </w:r>
          </w:p>
        </w:tc>
        <w:tc>
          <w:tcPr>
            <w:tcW w:type="dxa" w:w="4680"/>
            <w:tcBorders>
              <w:top w:val="single" w:color="BFBFBF" w:sz="4"/>
              <w:left w:val="single" w:color="BFBFBF" w:sz="4"/>
              <w:bottom w:val="single" w:color="BFBFBF" w:sz="4"/>
              <w:right w:val="single" w:color="BFBFBF" w:sz="4"/>
            </w:tcBorders>
            <w:shd w:fill="E4EAF7" w:color="auto" w:val="clear"/>
            <w:tcMar>
              <w:top w:type="dxa" w:w="80"/>
              <w:left w:type="dxa" w:w="120"/>
              <w:bottom w:type="dxa" w:w="80"/>
              <w:right w:type="dxa" w:w="120"/>
            </w:tcMar>
          </w:tcPr>
          <w:p>
            <w:r>
              <w:rPr>
                <w:sz w:val="20"/>
                <w:szCs w:val="20"/>
              </w:rPr>
              <w:t xml:space="preserve">AF3-no-MSA agreement filter</w:t>
            </w:r>
          </w:p>
        </w:tc>
        <w:tc>
          <w:tcPr>
            <w:tcW w:type="dxa" w:w="1440"/>
            <w:tcBorders>
              <w:top w:val="single" w:color="BFBFBF" w:sz="4"/>
              <w:left w:val="single" w:color="BFBFBF" w:sz="4"/>
              <w:bottom w:val="single" w:color="BFBFBF" w:sz="4"/>
              <w:right w:val="single" w:color="BFBFBF" w:sz="4"/>
            </w:tcBorders>
            <w:shd w:fill="E4EAF7" w:color="auto" w:val="clear"/>
            <w:tcMar>
              <w:top w:type="dxa" w:w="80"/>
              <w:left w:type="dxa" w:w="120"/>
              <w:bottom w:type="dxa" w:w="80"/>
              <w:right w:type="dxa" w:w="120"/>
            </w:tcMar>
          </w:tcPr>
          <w:p>
            <w:r>
              <w:rPr>
                <w:sz w:val="20"/>
                <w:szCs w:val="20"/>
              </w:rPr>
              <w:t xml:space="preserve">↻ REVISED</w:t>
            </w:r>
          </w:p>
        </w:tc>
        <w:tc>
          <w:tcPr>
            <w:tcW w:type="dxa" w:w="2700"/>
            <w:tcBorders>
              <w:top w:val="single" w:color="BFBFBF" w:sz="4"/>
              <w:left w:val="single" w:color="BFBFBF" w:sz="4"/>
              <w:bottom w:val="single" w:color="BFBFBF" w:sz="4"/>
              <w:right w:val="single" w:color="BFBFBF" w:sz="4"/>
            </w:tcBorders>
            <w:shd w:fill="E4EAF7" w:color="auto" w:val="clear"/>
            <w:tcMar>
              <w:top w:type="dxa" w:w="80"/>
              <w:left w:type="dxa" w:w="120"/>
              <w:bottom w:type="dxa" w:w="80"/>
              <w:right w:type="dxa" w:w="120"/>
            </w:tcMar>
          </w:tcPr>
          <w:p>
            <w:r>
              <w:rPr>
                <w:sz w:val="20"/>
                <w:szCs w:val="20"/>
              </w:rPr>
              <w:t xml:space="preserve">→ merged into P0-31</w:t>
            </w:r>
          </w:p>
        </w:tc>
      </w:tr>
      <w:tr>
        <w:tc>
          <w:tcPr>
            <w:tcW w:type="dxa" w:w="540"/>
            <w:tcBorders>
              <w:top w:val="single" w:color="BFBFBF" w:sz="4"/>
              <w:left w:val="single" w:color="BFBFBF" w:sz="4"/>
              <w:bottom w:val="single" w:color="BFBFBF" w:sz="4"/>
              <w:right w:val="single" w:color="BFBFBF" w:sz="4"/>
            </w:tcBorders>
            <w:shd w:fill="E4EAF7" w:color="auto" w:val="clear"/>
            <w:tcMar>
              <w:top w:type="dxa" w:w="80"/>
              <w:left w:type="dxa" w:w="120"/>
              <w:bottom w:type="dxa" w:w="80"/>
              <w:right w:type="dxa" w:w="120"/>
            </w:tcMar>
          </w:tcPr>
          <w:p>
            <w:r>
              <w:rPr>
                <w:sz w:val="20"/>
                <w:szCs w:val="20"/>
              </w:rPr>
              <w:t xml:space="default">13</w:t>
            </w:r>
          </w:p>
        </w:tc>
        <w:tc>
          <w:tcPr>
            <w:tcW w:type="dxa" w:w="4680"/>
            <w:tcBorders>
              <w:top w:val="single" w:color="BFBFBF" w:sz="4"/>
              <w:left w:val="single" w:color="BFBFBF" w:sz="4"/>
              <w:bottom w:val="single" w:color="BFBFBF" w:sz="4"/>
              <w:right w:val="single" w:color="BFBFBF" w:sz="4"/>
            </w:tcBorders>
            <w:shd w:fill="E4EAF7" w:color="auto" w:val="clear"/>
            <w:tcMar>
              <w:top w:type="dxa" w:w="80"/>
              <w:left w:type="dxa" w:w="120"/>
              <w:bottom w:type="dxa" w:w="80"/>
              <w:right w:type="dxa" w:w="120"/>
            </w:tcMar>
          </w:tcPr>
          <w:p>
            <w:r>
              <w:rPr>
                <w:sz w:val="20"/>
                <w:szCs w:val="20"/>
              </w:rPr>
              <w:t xml:space="preserve">BSA, Sc, interface pLDDT, H-bond metrics</w:t>
            </w:r>
          </w:p>
        </w:tc>
        <w:tc>
          <w:tcPr>
            <w:tcW w:type="dxa" w:w="1440"/>
            <w:tcBorders>
              <w:top w:val="single" w:color="BFBFBF" w:sz="4"/>
              <w:left w:val="single" w:color="BFBFBF" w:sz="4"/>
              <w:bottom w:val="single" w:color="BFBFBF" w:sz="4"/>
              <w:right w:val="single" w:color="BFBFBF" w:sz="4"/>
            </w:tcBorders>
            <w:shd w:fill="E4EAF7" w:color="auto" w:val="clear"/>
            <w:tcMar>
              <w:top w:type="dxa" w:w="80"/>
              <w:left w:type="dxa" w:w="120"/>
              <w:bottom w:type="dxa" w:w="80"/>
              <w:right w:type="dxa" w:w="120"/>
            </w:tcMar>
          </w:tcPr>
          <w:p>
            <w:r>
              <w:rPr>
                <w:sz w:val="20"/>
                <w:szCs w:val="20"/>
              </w:rPr>
              <w:t xml:space="preserve">↻ REVISED</w:t>
            </w:r>
          </w:p>
        </w:tc>
        <w:tc>
          <w:tcPr>
            <w:tcW w:type="dxa" w:w="2700"/>
            <w:tcBorders>
              <w:top w:val="single" w:color="BFBFBF" w:sz="4"/>
              <w:left w:val="single" w:color="BFBFBF" w:sz="4"/>
              <w:bottom w:val="single" w:color="BFBFBF" w:sz="4"/>
              <w:right w:val="single" w:color="BFBFBF" w:sz="4"/>
            </w:tcBorders>
            <w:shd w:fill="E4EAF7" w:color="auto" w:val="clear"/>
            <w:tcMar>
              <w:top w:type="dxa" w:w="80"/>
              <w:left w:type="dxa" w:w="120"/>
              <w:bottom w:type="dxa" w:w="80"/>
              <w:right w:type="dxa" w:w="120"/>
            </w:tcMar>
          </w:tcPr>
          <w:p>
            <w:r>
              <w:rPr>
                <w:sz w:val="20"/>
                <w:szCs w:val="20"/>
              </w:rPr>
              <w:t xml:space="preserve">→ merged into P0-31</w:t>
            </w:r>
          </w:p>
        </w:tc>
      </w:tr>
      <w:tr>
        <w:tc>
          <w:tcPr>
            <w:tcW w:type="dxa" w:w="540"/>
            <w:tcBorders>
              <w:top w:val="single" w:color="BFBFBF" w:sz="4"/>
              <w:left w:val="single" w:color="BFBFBF" w:sz="4"/>
              <w:bottom w:val="single" w:color="BFBFBF" w:sz="4"/>
              <w:right w:val="single" w:color="BFBFBF" w:sz="4"/>
            </w:tcBorders>
            <w:shd w:fill="E4EAF7" w:color="auto" w:val="clear"/>
            <w:tcMar>
              <w:top w:type="dxa" w:w="80"/>
              <w:left w:type="dxa" w:w="120"/>
              <w:bottom w:type="dxa" w:w="80"/>
              <w:right w:type="dxa" w:w="120"/>
            </w:tcMar>
          </w:tcPr>
          <w:p>
            <w:r>
              <w:rPr>
                <w:sz w:val="20"/>
                <w:szCs w:val="20"/>
              </w:rPr>
              <w:t xml:space="default">14</w:t>
            </w:r>
          </w:p>
        </w:tc>
        <w:tc>
          <w:tcPr>
            <w:tcW w:type="dxa" w:w="4680"/>
            <w:tcBorders>
              <w:top w:val="single" w:color="BFBFBF" w:sz="4"/>
              <w:left w:val="single" w:color="BFBFBF" w:sz="4"/>
              <w:bottom w:val="single" w:color="BFBFBF" w:sz="4"/>
              <w:right w:val="single" w:color="BFBFBF" w:sz="4"/>
            </w:tcBorders>
            <w:shd w:fill="E4EAF7" w:color="auto" w:val="clear"/>
            <w:tcMar>
              <w:top w:type="dxa" w:w="80"/>
              <w:left w:type="dxa" w:w="120"/>
              <w:bottom w:type="dxa" w:w="80"/>
              <w:right w:type="dxa" w:w="120"/>
            </w:tcMar>
          </w:tcPr>
          <w:p>
            <w:r>
              <w:rPr>
                <w:sz w:val="20"/>
                <w:szCs w:val="20"/>
              </w:rPr>
              <w:t xml:space="preserve">Rosetta InterfaceAnalyzer ΔΔG</w:t>
            </w:r>
          </w:p>
        </w:tc>
        <w:tc>
          <w:tcPr>
            <w:tcW w:type="dxa" w:w="1440"/>
            <w:tcBorders>
              <w:top w:val="single" w:color="BFBFBF" w:sz="4"/>
              <w:left w:val="single" w:color="BFBFBF" w:sz="4"/>
              <w:bottom w:val="single" w:color="BFBFBF" w:sz="4"/>
              <w:right w:val="single" w:color="BFBFBF" w:sz="4"/>
            </w:tcBorders>
            <w:shd w:fill="E4EAF7" w:color="auto" w:val="clear"/>
            <w:tcMar>
              <w:top w:type="dxa" w:w="80"/>
              <w:left w:type="dxa" w:w="120"/>
              <w:bottom w:type="dxa" w:w="80"/>
              <w:right w:type="dxa" w:w="120"/>
            </w:tcMar>
          </w:tcPr>
          <w:p>
            <w:r>
              <w:rPr>
                <w:sz w:val="20"/>
                <w:szCs w:val="20"/>
              </w:rPr>
              <w:t xml:space="preserve">↻ REVISED</w:t>
            </w:r>
          </w:p>
        </w:tc>
        <w:tc>
          <w:tcPr>
            <w:tcW w:type="dxa" w:w="2700"/>
            <w:tcBorders>
              <w:top w:val="single" w:color="BFBFBF" w:sz="4"/>
              <w:left w:val="single" w:color="BFBFBF" w:sz="4"/>
              <w:bottom w:val="single" w:color="BFBFBF" w:sz="4"/>
              <w:right w:val="single" w:color="BFBFBF" w:sz="4"/>
            </w:tcBorders>
            <w:shd w:fill="E4EAF7" w:color="auto" w:val="clear"/>
            <w:tcMar>
              <w:top w:type="dxa" w:w="80"/>
              <w:left w:type="dxa" w:w="120"/>
              <w:bottom w:type="dxa" w:w="80"/>
              <w:right w:type="dxa" w:w="120"/>
            </w:tcMar>
          </w:tcPr>
          <w:p>
            <w:r>
              <w:rPr>
                <w:sz w:val="20"/>
                <w:szCs w:val="20"/>
              </w:rPr>
              <w:t xml:space="preserve">→ merged into P0-31</w:t>
            </w:r>
          </w:p>
        </w:tc>
      </w:tr>
      <w:tr>
        <w:tc>
          <w:tcPr>
            <w:tcW w:type="dxa" w:w="540"/>
            <w:tcBorders>
              <w:top w:val="single" w:color="BFBFBF" w:sz="4"/>
              <w:left w:val="single" w:color="BFBFBF" w:sz="4"/>
              <w:bottom w:val="single" w:color="BFBFBF" w:sz="4"/>
              <w:right w:val="single" w:color="BFBFBF" w:sz="4"/>
            </w:tcBorders>
            <w:shd w:fill="E4EAF7" w:color="auto" w:val="clear"/>
            <w:tcMar>
              <w:top w:type="dxa" w:w="80"/>
              <w:left w:type="dxa" w:w="120"/>
              <w:bottom w:type="dxa" w:w="80"/>
              <w:right w:type="dxa" w:w="120"/>
            </w:tcMar>
          </w:tcPr>
          <w:p>
            <w:r>
              <w:rPr>
                <w:sz w:val="20"/>
                <w:szCs w:val="20"/>
              </w:rPr>
              <w:t xml:space="default">16</w:t>
            </w:r>
          </w:p>
        </w:tc>
        <w:tc>
          <w:tcPr>
            <w:tcW w:type="dxa" w:w="4680"/>
            <w:tcBorders>
              <w:top w:val="single" w:color="BFBFBF" w:sz="4"/>
              <w:left w:val="single" w:color="BFBFBF" w:sz="4"/>
              <w:bottom w:val="single" w:color="BFBFBF" w:sz="4"/>
              <w:right w:val="single" w:color="BFBFBF" w:sz="4"/>
            </w:tcBorders>
            <w:shd w:fill="E4EAF7" w:color="auto" w:val="clear"/>
            <w:tcMar>
              <w:top w:type="dxa" w:w="80"/>
              <w:left w:type="dxa" w:w="120"/>
              <w:bottom w:type="dxa" w:w="80"/>
              <w:right w:type="dxa" w:w="120"/>
            </w:tcMar>
          </w:tcPr>
          <w:p>
            <w:r>
              <w:rPr>
                <w:sz w:val="20"/>
                <w:szCs w:val="20"/>
              </w:rPr>
              <w:t xml:space="preserve">ipSAE at 15 Å PAE cutoff</w:t>
            </w:r>
          </w:p>
        </w:tc>
        <w:tc>
          <w:tcPr>
            <w:tcW w:type="dxa" w:w="1440"/>
            <w:tcBorders>
              <w:top w:val="single" w:color="BFBFBF" w:sz="4"/>
              <w:left w:val="single" w:color="BFBFBF" w:sz="4"/>
              <w:bottom w:val="single" w:color="BFBFBF" w:sz="4"/>
              <w:right w:val="single" w:color="BFBFBF" w:sz="4"/>
            </w:tcBorders>
            <w:shd w:fill="E4EAF7" w:color="auto" w:val="clear"/>
            <w:tcMar>
              <w:top w:type="dxa" w:w="80"/>
              <w:left w:type="dxa" w:w="120"/>
              <w:bottom w:type="dxa" w:w="80"/>
              <w:right w:type="dxa" w:w="120"/>
            </w:tcMar>
          </w:tcPr>
          <w:p>
            <w:r>
              <w:rPr>
                <w:sz w:val="20"/>
                <w:szCs w:val="20"/>
              </w:rPr>
              <w:t xml:space="preserve">↻ REVISED</w:t>
            </w:r>
          </w:p>
        </w:tc>
        <w:tc>
          <w:tcPr>
            <w:tcW w:type="dxa" w:w="2700"/>
            <w:tcBorders>
              <w:top w:val="single" w:color="BFBFBF" w:sz="4"/>
              <w:left w:val="single" w:color="BFBFBF" w:sz="4"/>
              <w:bottom w:val="single" w:color="BFBFBF" w:sz="4"/>
              <w:right w:val="single" w:color="BFBFBF" w:sz="4"/>
            </w:tcBorders>
            <w:shd w:fill="E4EAF7" w:color="auto" w:val="clear"/>
            <w:tcMar>
              <w:top w:type="dxa" w:w="80"/>
              <w:left w:type="dxa" w:w="120"/>
              <w:bottom w:type="dxa" w:w="80"/>
              <w:right w:type="dxa" w:w="120"/>
            </w:tcMar>
          </w:tcPr>
          <w:p>
            <w:r>
              <w:rPr>
                <w:sz w:val="20"/>
                <w:szCs w:val="20"/>
              </w:rPr>
              <w:t xml:space="preserve">→ merged into P0-29</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6</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Scrambled / all-glycine negative controls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P0 (low-effort, with P0-34)</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34</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Wire P0-29 + P0-31 into main.nf production graph</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P0</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7</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Three MAX effector targets against Pikp1-HMA</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P1 (includes validation framing)</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8</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Cross-target AUROC on pooled cohort</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P1 (blocked on 7)</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9</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Threshold audit &amp; CLI defaults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P1</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17</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submit_final_validation.sh on survivors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P1</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19</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Candidate-pool distance bias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P1</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32</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RFDiffusion parallelisation — trace.txt audit first</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P1</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15</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Delta-to-cold-start metrics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P2</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18</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Noise-halo comparisons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P2</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20</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Alanine scan on confirmed binders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P2 (post-wet-lab)</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21</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Retrospective calibration ≥5 tasks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P2 (post-wet-lab)</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22</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Cross-model validation of binders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P2 (post-wet-lab)</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23</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RFDiffusion production validator wrapper</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P3</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24</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sequence_registry into SLURM chain</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P3</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25</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Silent pass-through bug on reversion crash</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P3</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27</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Region-2 length bug in RFDiffusion contigs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P3</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28</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Decoy-competition validation</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P3</w:t>
            </w:r>
          </w:p>
        </w:tc>
      </w:tr>
      <w:tr>
        <w:tc>
          <w:tcPr>
            <w:tcW w:type="dxa" w:w="540"/>
            <w:tcBorders>
              <w:top w:val="single" w:color="BFBFBF" w:sz="4"/>
              <w:left w:val="single" w:color="BFBFBF" w:sz="4"/>
              <w:bottom w:val="single" w:color="BFBFBF" w:sz="4"/>
              <w:right w:val="single" w:color="BFBFBF" w:sz="4"/>
            </w:tcBorders>
            <w:shd w:fill="F0F0F0" w:color="auto" w:val="clear"/>
            <w:tcMar>
              <w:top w:type="dxa" w:w="80"/>
              <w:left w:type="dxa" w:w="120"/>
              <w:bottom w:type="dxa" w:w="80"/>
              <w:right w:type="dxa" w:w="120"/>
            </w:tcMar>
          </w:tcPr>
          <w:p>
            <w:r>
              <w:rPr>
                <w:sz w:val="20"/>
                <w:szCs w:val="20"/>
              </w:rPr>
              <w:t xml:space="default">33</w:t>
            </w:r>
          </w:p>
        </w:tc>
        <w:tc>
          <w:tcPr>
            <w:tcW w:type="dxa" w:w="4680"/>
            <w:tcBorders>
              <w:top w:val="single" w:color="BFBFBF" w:sz="4"/>
              <w:left w:val="single" w:color="BFBFBF" w:sz="4"/>
              <w:bottom w:val="single" w:color="BFBFBF" w:sz="4"/>
              <w:right w:val="single" w:color="BFBFBF" w:sz="4"/>
            </w:tcBorders>
            <w:shd w:fill="F0F0F0" w:color="auto" w:val="clear"/>
            <w:tcMar>
              <w:top w:type="dxa" w:w="80"/>
              <w:left w:type="dxa" w:w="120"/>
              <w:bottom w:type="dxa" w:w="80"/>
              <w:right w:type="dxa" w:w="120"/>
            </w:tcMar>
          </w:tcPr>
          <w:p>
            <w:r>
              <w:rPr>
                <w:sz w:val="20"/>
                <w:szCs w:val="20"/>
              </w:rPr>
              <w:t xml:space="preserve">Diagnose tier-none failure modes</w:t>
            </w:r>
          </w:p>
        </w:tc>
        <w:tc>
          <w:tcPr>
            <w:tcW w:type="dxa" w:w="1440"/>
            <w:tcBorders>
              <w:top w:val="single" w:color="BFBFBF" w:sz="4"/>
              <w:left w:val="single" w:color="BFBFBF" w:sz="4"/>
              <w:bottom w:val="single" w:color="BFBFBF" w:sz="4"/>
              <w:right w:val="single" w:color="BFBFBF" w:sz="4"/>
            </w:tcBorders>
            <w:shd w:fill="F0F0F0" w:color="auto" w:val="clear"/>
            <w:tcMar>
              <w:top w:type="dxa" w:w="80"/>
              <w:left w:type="dxa" w:w="120"/>
              <w:bottom w:type="dxa" w:w="80"/>
              <w:right w:type="dxa" w:w="120"/>
            </w:tcMar>
          </w:tcPr>
          <w:p>
            <w:r>
              <w:rPr>
                <w:sz w:val="20"/>
                <w:szCs w:val="20"/>
              </w:rPr>
              <w:t xml:space="preserve">✖ CLOSED</w:t>
            </w:r>
          </w:p>
        </w:tc>
        <w:tc>
          <w:tcPr>
            <w:tcW w:type="dxa" w:w="2700"/>
            <w:tcBorders>
              <w:top w:val="single" w:color="BFBFBF" w:sz="4"/>
              <w:left w:val="single" w:color="BFBFBF" w:sz="4"/>
              <w:bottom w:val="single" w:color="BFBFBF" w:sz="4"/>
              <w:right w:val="single" w:color="BFBFBF" w:sz="4"/>
            </w:tcBorders>
            <w:shd w:fill="F0F0F0" w:color="auto" w:val="clear"/>
            <w:tcMar>
              <w:top w:type="dxa" w:w="80"/>
              <w:left w:type="dxa" w:w="120"/>
              <w:bottom w:type="dxa" w:w="80"/>
              <w:right w:type="dxa" w:w="120"/>
            </w:tcMar>
          </w:tcPr>
          <w:p>
            <w:r>
              <w:rPr>
                <w:sz w:val="20"/>
                <w:szCs w:val="20"/>
              </w:rPr>
              <w:t xml:space="preserve">Closed 2026-04-22 per user decision</w:t>
            </w:r>
          </w:p>
        </w:tc>
      </w:tr>
    </w:tbl>
    <w:p>
      <w:pPr>
        <w:pStyle w:val="Heading1"/>
        <w:spacing w:after="180" w:before="360"/>
      </w:pPr>
      <w:r>
        <w:t xml:space="preserve">Active P0 tasks — detailed specifications</w:t>
      </w:r>
    </w:p>
    <w:p>
      <w:pPr>
        <w:pStyle w:val="Heading3"/>
        <w:spacing w:after="120" w:before="220"/>
      </w:pPr>
      <w:r>
        <w:t xml:space="preserve">[P0] Task 6 · Scrambled-sequence and all-glycine-in-designed-region negative controls</w:t>
      </w:r>
    </w:p>
    <w:p>
      <w:pPr>
        <w:spacing w:after="120"/>
      </w:pPr>
      <w:r>
        <w:rPr>
          <w:b/>
          <w:bCs/>
        </w:rPr>
        <w:t xml:space="preserve">Status: </w:t>
      </w:r>
      <w:r>
        <w:t xml:space="preserve">○ OPEN — low-effort, lands alongside P0-34</w:t>
      </w:r>
    </w:p>
    <w:p>
      <w:pPr>
        <w:spacing w:after="120"/>
      </w:pPr>
      <w:r>
        <w:rPr>
          <w:b/>
          <w:bCs/>
        </w:rPr>
        <w:t xml:space="preserve">Source: </w:t>
      </w:r>
      <w:r>
        <w:t xml:space="preserve">Metric-reliability memo §8.4 and §9 summary</w:t>
      </w:r>
    </w:p>
    <w:p>
      <w:pPr>
        <w:spacing w:after="120"/>
      </w:pPr>
      <w:r>
        <w:t xml:space="preserve">Catch systematic miscalibration in the pipeline as a whole. If a scrambled sequence or an all-glycine-in-designed-region sequence produces high ipSAE or low ra_eff, the ranker is biased and should be retightened.</w:t>
      </w:r>
    </w:p>
    <w:p>
      <w:pPr>
        <w:spacing w:after="120"/>
      </w:pPr>
      <w:r>
        <w:rPr>
          <w:b/>
          <w:bCs/>
        </w:rPr>
        <w:t xml:space="preserve">Implementation sketch (~100–150 lines total):</w:t>
      </w:r>
    </w:p>
    <w:p>
      <w:pPr>
        <w:pStyle w:val="ListParagraph"/>
        <w:numPr>
          <w:ilvl w:val="0"/>
          <w:numId w:val="2"/>
        </w:numPr>
        <w:spacing w:after="80"/>
      </w:pPr>
      <w:r>
        <w:t xml:space="preserve">New NEGSTEER_CONTROLS process that takes the same inputs as NEGSTEER_RUN_ONE but swaps the sequence before plan/predict: (a) random permutation of residues outside the protected set while preserving length and composition, (b) replace the design-region residues with all-G.</w:t>
      </w:r>
    </w:p>
    <w:p>
      <w:pPr>
        <w:pStyle w:val="ListParagraph"/>
        <w:numPr>
          <w:ilvl w:val="0"/>
          <w:numId w:val="2"/>
        </w:numPr>
        <w:spacing w:after="80"/>
      </w:pPr>
      <w:r>
        <w:t xml:space="preserve">New row_type column on cross_sequence_summary.csv ∈ {steered, control_scrambled, control_polyG}. Updates to cross_sequence_summary.py.</w:t>
      </w:r>
    </w:p>
    <w:p>
      <w:pPr>
        <w:pStyle w:val="ListParagraph"/>
        <w:numPr>
          <w:ilvl w:val="0"/>
          <w:numId w:val="2"/>
        </w:numPr>
        <w:spacing w:after="80"/>
      </w:pPr>
      <w:r>
        <w:t xml:space="preserve">Top-level --run-negative-controls flag (default true for production, false for test harnesses).</w:t>
      </w:r>
    </w:p>
    <w:p>
      <w:pPr>
        <w:pStyle w:val="ListParagraph"/>
        <w:numPr>
          <w:ilvl w:val="0"/>
          <w:numId w:val="2"/>
        </w:numPr>
        <w:spacing w:after="80"/>
      </w:pPr>
      <w:r>
        <w:t xml:space="preserve">Warning raised to the workflow.onComplete banner if any control row shows ipSAE &gt; 0.5 or ra_eff &lt; 5 Å.</w:t>
      </w:r>
    </w:p>
    <w:p>
      <w:pPr>
        <w:spacing w:after="120"/>
      </w:pPr>
      <w:r>
        <w:rPr>
          <w:b/>
          <w:bCs/>
        </w:rPr>
        <w:t xml:space="preserve">Sequencing: </w:t>
      </w:r>
      <w:r>
        <w:t xml:space="preserve">land after P0-34 wires the new columns into the summary — otherwise this would conflict with the same summary-writer edits.</w:t>
      </w:r>
    </w:p>
    <w:p>
      <w:pPr>
        <w:pStyle w:val="Heading3"/>
        <w:spacing w:after="120" w:before="220"/>
      </w:pPr>
      <w:r>
        <w:t xml:space="preserve">[P0] Task 34 · Wire P0-29 + P0-31 modules into main.nf production graph</w:t>
      </w:r>
    </w:p>
    <w:p>
      <w:pPr>
        <w:spacing w:after="120"/>
      </w:pPr>
      <w:r>
        <w:rPr>
          <w:b/>
          <w:bCs/>
        </w:rPr>
        <w:t xml:space="preserve">Status: </w:t>
      </w:r>
      <w:r>
        <w:t xml:space="preserve">○ OPEN</w:t>
      </w:r>
    </w:p>
    <w:p>
      <w:pPr>
        <w:spacing w:after="120"/>
      </w:pPr>
      <w:r>
        <w:rPr>
          <w:b/>
          <w:bCs/>
        </w:rPr>
        <w:t xml:space="preserve">Source: </w:t>
      </w:r>
      <w:r>
        <w:t xml:space="preserve">pipeline_notes4 §5 and §6; test harness shipped but production integration pending</w:t>
      </w:r>
    </w:p>
    <w:p>
      <w:pPr>
        <w:spacing w:after="120"/>
      </w:pPr>
      <w:r>
        <w:t xml:space="preserve">Current main.nf terminates at NEGSTEER_CROSS_SEQUENCE (confirmed by code inspection: lines 243–245 include only NEGSTEER_DERIVE_INDICES, NEGSTEER_RUN_ONE, NEGSTEER_CROSS_SEQUENCE; the workflow body at lines 640–655 has a “Step 5: Aggregate — DEFERRED” comment block and no further invocations). The six new processes exist in their own modules and are validated against cached data by test_orthogonal_metrics.nf, but they are not called from main.nf.</w:t>
      </w:r>
    </w:p>
    <w:p>
      <w:pPr>
        <w:spacing w:after="120"/>
      </w:pPr>
      <w:r>
        <w:rPr>
          <w:b/>
          <w:bCs/>
        </w:rPr>
        <w:t xml:space="preserve">Steps:</w:t>
      </w:r>
    </w:p>
    <w:p>
      <w:pPr>
        <w:pStyle w:val="ListParagraph"/>
        <w:numPr>
          <w:ilvl w:val="0"/>
          <w:numId w:val="2"/>
        </w:numPr>
        <w:spacing w:after="80"/>
      </w:pPr>
      <w:r>
        <w:t xml:space="preserve">Add include statements for NEGSTEER_INTERFACE_METRICS, EXTRACT_SURVIVOR_MANIFEST, AF3_NOMSA_ON_SURVIVORS (+ AF3_PARSE_OUTPUT), NEGSTEER_BIOPHYSICAL_METRICS, NEGSTEER_ROSETTA_METRICS, NEGSTEER_ORTHOGONAL_METRICS at the top of main.nf alongside the existing NEGSTEER_* imports.</w:t>
      </w:r>
    </w:p>
    <w:p>
      <w:pPr>
        <w:pStyle w:val="ListParagraph"/>
        <w:numPr>
          <w:ilvl w:val="0"/>
          <w:numId w:val="2"/>
        </w:numPr>
        <w:spacing w:after="80"/>
      </w:pPr>
      <w:r>
        <w:t xml:space="preserve">Extend the workflow block after NEGSTEER_CROSS_SEQUENCE with those six calls, matching the channel topology from test_orthogonal_metrics.nf. The aggregator NEGSTEER_ORTHOGONAL_METRICS takes the three parallel streams as inputs.</w:t>
      </w:r>
    </w:p>
    <w:p>
      <w:pPr>
        <w:pStyle w:val="ListParagraph"/>
        <w:numPr>
          <w:ilvl w:val="0"/>
          <w:numId w:val="2"/>
        </w:numPr>
        <w:spacing w:after="80"/>
      </w:pPr>
      <w:r>
        <w:t xml:space="preserve">Add EXTRACT_SURVIVOR_MANIFEST as its own module (modules/negsteer_manifest.nf) rather than keeping it inline in main.nf.</w:t>
      </w:r>
    </w:p>
    <w:p>
      <w:pPr>
        <w:pStyle w:val="ListParagraph"/>
        <w:numPr>
          <w:ilvl w:val="0"/>
          <w:numId w:val="2"/>
        </w:numPr>
        <w:spacing w:after="80"/>
      </w:pPr>
      <w:r>
        <w:t xml:space="preserve">Update workflow.onComplete banner to report the final survivors_with_orthogonal_metrics.csv path alongside the cross_sequence_summary.csv path.</w:t>
      </w:r>
    </w:p>
    <w:p>
      <w:pPr>
        <w:pStyle w:val="ListParagraph"/>
        <w:numPr>
          <w:ilvl w:val="0"/>
          <w:numId w:val="2"/>
        </w:numPr>
        <w:spacing w:after="80"/>
      </w:pPr>
      <w:r>
        <w:t xml:space="preserve">Do NOT migrate the composite-score ra_eff term to iRMSD — that decision is gated on Task 8 AUROC.</w:t>
      </w:r>
    </w:p>
    <w:p>
      <w:pPr>
        <w:spacing w:after="120"/>
      </w:pPr>
      <w:r>
        <w:rPr>
          <w:b/>
          <w:bCs/>
        </w:rPr>
        <w:t xml:space="preserve">Acceptance criteria: </w:t>
      </w:r>
      <w:r>
        <w:t xml:space="preserve">a single </w:t>
      </w:r>
      <w:r>
        <w:rPr>
          <w:rFonts w:ascii="Consolas" w:cs="Consolas" w:eastAsia="Consolas" w:hAnsi="Consolas"/>
        </w:rPr>
        <w:t xml:space="preserve">nextflow run main.nf</w:t>
      </w:r>
      <w:r>
        <w:t xml:space="preserve"> on the test inputs produces survivors_with_orthogonal_metrics.csv end-to-end, matching what test_orthogonal_metrics.nf produces on the same inputs. Tasks 29 and 31 flip to DONE when this lands.</w:t>
      </w:r>
    </w:p>
    <w:p>
      <w:pPr>
        <w:pStyle w:val="Heading3"/>
        <w:spacing w:after="120" w:before="220"/>
      </w:pPr>
      <w:r>
        <w:t xml:space="preserve">[P0] Task 35 · GPU-node runtime smoke-test of boltz2_negsteer.img + kernel path</w:t>
      </w:r>
    </w:p>
    <w:p>
      <w:pPr>
        <w:spacing w:after="120"/>
      </w:pPr>
      <w:r>
        <w:rPr>
          <w:b/>
          <w:bCs/>
        </w:rPr>
        <w:t xml:space="preserve">Status: </w:t>
      </w:r>
      <w:r>
        <w:t xml:space="preserve">◔ IN PROGRESS</w:t>
      </w:r>
    </w:p>
    <w:p>
      <w:pPr>
        <w:spacing w:after="120"/>
      </w:pPr>
      <w:r>
        <w:rPr>
          <w:b/>
          <w:bCs/>
        </w:rPr>
        <w:t xml:space="preserve">Source: </w:t>
      </w:r>
      <w:r>
        <w:t xml:space="preserve">pipeline_notes4 §1–2; pipeline_notes5 §“Current state”; P0-30 build-time acceptance met</w:t>
      </w:r>
    </w:p>
    <w:p>
      <w:pPr>
        <w:spacing w:after="120"/>
      </w:pPr>
      <w:r>
        <w:t xml:space="preserve">Single-sequence test_negative_steering run with negsteer_no_kernels=false has been on the GPU queue just under an hour at write time. Reaching this runtime already rules out fast-failure modes — if cuequivariance_ops_torch were failing to import at runtime, or if libcuda.so.1 / libnvrtc.so.12 weren’t found, the job would have died in seconds, not held for nearly an hour.</w:t>
      </w:r>
    </w:p>
    <w:p>
      <w:pPr>
        <w:spacing w:after="120"/>
      </w:pPr>
      <w:r>
        <w:rPr>
          <w:b/>
          <w:bCs/>
        </w:rPr>
        <w:t xml:space="preserve">Remaining decision (on completion):</w:t>
      </w:r>
    </w:p>
    <w:p>
      <w:pPr>
        <w:pStyle w:val="ListParagraph"/>
        <w:numPr>
          <w:ilvl w:val="0"/>
          <w:numId w:val="2"/>
        </w:numPr>
        <w:spacing w:after="80"/>
      </w:pPr>
      <w:r>
        <w:t xml:space="preserve">Compare per-Boltz-call wall-clock against the notes13 baseline of ~105 min/sequence with kernels off. Target ≥ 20% drop (~75 min/sequence) confirms the kernel path is actually dispatching.</w:t>
      </w:r>
    </w:p>
    <w:p>
      <w:pPr>
        <w:pStyle w:val="ListParagraph"/>
        <w:numPr>
          <w:ilvl w:val="0"/>
          <w:numId w:val="2"/>
        </w:numPr>
        <w:spacing w:after="80"/>
      </w:pPr>
      <w:r>
        <w:t xml:space="preserve">If wall-clock is indistinguishable from the kernels-off baseline despite successful imports, kernel dispatch may be silently falling back to pure-PyTorch paths. Investigation path: instrument cuEquivariance call-sites in the Boltz source and re-run.</w:t>
      </w:r>
    </w:p>
    <w:p>
      <w:pPr>
        <w:spacing w:after="120"/>
      </w:pPr>
      <w:r>
        <w:rPr>
          <w:b/>
          <w:bCs/>
        </w:rPr>
        <w:t xml:space="preserve">Acceptance criteria: </w:t>
      </w:r>
      <w:r>
        <w:t xml:space="preserve">one validation run confirms (a) no runtime driver errors, (b) cuequivariance_ops_torch import succeeds at runtime, and (c) a meaningful wall-clock drop matching the P0-30 estimate. If all three hold, P0-35 closes and P0-30 flips to fully DONE in the next revision.</w:t>
      </w:r>
    </w:p>
    <w:p>
      <w:pPr>
        <w:pStyle w:val="Heading3"/>
        <w:spacing w:after="120" w:before="220"/>
      </w:pPr>
      <w:r>
        <w:t xml:space="preserve">[P0] Task 38 · Weighted Jaccard contact overlap</w:t>
      </w:r>
    </w:p>
    <w:p>
      <w:pPr>
        <w:spacing w:after="120"/>
      </w:pPr>
      <w:r>
        <w:rPr>
          <w:b/>
          <w:bCs/>
        </w:rPr>
        <w:t xml:space="preserve">Status: </w:t>
      </w:r>
      <w:r>
        <w:t xml:space="preserve">★ NEW (raised from P1 this revision)</w:t>
      </w:r>
    </w:p>
    <w:p>
      <w:pPr>
        <w:spacing w:after="120"/>
      </w:pPr>
      <w:r>
        <w:rPr>
          <w:b/>
          <w:bCs/>
        </w:rPr>
        <w:t xml:space="preserve">Source: </w:t>
      </w:r>
      <w:r>
        <w:t xml:space="preserve">pipeline_notes6 §“Scoring Methodology — Primary Geometric Metrics”</w:t>
      </w:r>
    </w:p>
    <w:p>
      <w:pPr>
        <w:spacing w:after="120"/>
      </w:pPr>
      <w:r>
        <w:t xml:space="preserve">Replace the hard-cutoff true_jaccard with a smooth distance-weighted variant. For each predicted contact pair (i, j) and each reference contact pair (i′, j′), weight by exp(−(d − 4)² / 2.25) where d is the Cβ–Cβ (or Cα–Cα for glycine) distance. The hard 5 Å cutoff is a step function at the boundary; a single-Å displacement flips contacts in/out and amplifies predictor noise. The Gaussian weight around 4 Å smooths the transition.</w:t>
      </w:r>
    </w:p>
    <w:p>
      <w:pPr>
        <w:spacing w:after="120"/>
      </w:pPr>
      <w:r>
        <w:rPr>
          <w:b/>
          <w:bCs/>
        </w:rPr>
        <w:t xml:space="preserve">Why P0 not P1: </w:t>
      </w:r>
      <w:r>
        <w:t xml:space="preserve">the weighted variant feeds the primary composite-score term. Running Task 7 under the old hard-cutoff Jaccard and retrofitting weighted_jaccard afterwards would cost a reprocessing pass on all 300+ sequences. Much cheaper to land the column first.</w:t>
      </w:r>
    </w:p>
    <w:p>
      <w:pPr>
        <w:spacing w:after="120"/>
      </w:pPr>
      <w:r>
        <w:rPr>
          <w:b/>
          <w:bCs/>
        </w:rPr>
        <w:t xml:space="preserve">Steps:</w:t>
      </w:r>
    </w:p>
    <w:p>
      <w:pPr>
        <w:pStyle w:val="ListParagraph"/>
        <w:numPr>
          <w:ilvl w:val="0"/>
          <w:numId w:val="2"/>
        </w:numPr>
        <w:spacing w:after="80"/>
      </w:pPr>
      <w:r>
        <w:t xml:space="preserve">Implement compute_weighted_jaccard in compute_interface_metrics.py alongside the existing contact-pair machinery (same distance matrix, different aggregation).</w:t>
      </w:r>
    </w:p>
    <w:p>
      <w:pPr>
        <w:pStyle w:val="ListParagraph"/>
        <w:numPr>
          <w:ilvl w:val="0"/>
          <w:numId w:val="2"/>
        </w:numPr>
        <w:spacing w:after="80"/>
      </w:pPr>
      <w:r>
        <w:t xml:space="preserve">Add a weighted_jaccard column to cross_sequence_summary.csv alongside true_jaccard. Keep both — true_jaccard becomes the AUROC control in Task 8.</w:t>
      </w:r>
    </w:p>
    <w:p>
      <w:pPr>
        <w:pStyle w:val="ListParagraph"/>
        <w:numPr>
          <w:ilvl w:val="0"/>
          <w:numId w:val="2"/>
        </w:numPr>
        <w:spacing w:after="80"/>
      </w:pPr>
      <w:r>
        <w:t xml:space="preserve">Composite-score migration (weighted vs hard) is gated on Task 8 AUROC — do NOT flip the composite term yet, just populate both columns.</w:t>
      </w:r>
    </w:p>
    <w:p>
      <w:pPr>
        <w:spacing w:after="120"/>
      </w:pPr>
      <w:r>
        <w:rPr>
          <w:b/>
          <w:bCs/>
        </w:rPr>
        <w:t xml:space="preserve">Acceptance criteria: </w:t>
      </w:r>
      <w:r>
        <w:t xml:space="preserve">weighted_jaccard is populated for every row where true_jaccard is populated. Correlation between the two is documented in columns.md (expect high, monotonic, smoother gradients). Landed before Task 7 kicks off.</w:t>
      </w:r>
    </w:p>
    <w:p>
      <w:pPr>
        <w:pStyle w:val="Heading1"/>
        <w:spacing w:after="180" w:before="360"/>
      </w:pPr>
      <w:r>
        <w:t xml:space="preserve">P0 tasks — status refresh for items touched this session</w:t>
      </w:r>
    </w:p>
    <w:p>
      <w:pPr>
        <w:pStyle w:val="Heading3"/>
        <w:spacing w:after="120" w:before="220"/>
      </w:pPr>
      <w:r>
        <w:t xml:space="preserve">[P0] Task 29 · Interface-restricted RMSD and iPSAE</w:t>
      </w:r>
    </w:p>
    <w:p>
      <w:pPr>
        <w:spacing w:after="120"/>
      </w:pPr>
      <w:r>
        <w:rPr>
          <w:b/>
          <w:bCs/>
        </w:rPr>
        <w:t xml:space="preserve">Status: </w:t>
      </w:r>
      <w:r>
        <w:t xml:space="preserve">◐ PARTIAL (blocked on P0-34)</w:t>
      </w:r>
    </w:p>
    <w:p>
      <w:pPr>
        <w:spacing w:after="120"/>
      </w:pPr>
      <w:r>
        <w:t xml:space="preserve">Seven new columns (irmsd, fnat, dockq, ipsae_ab_15, ipsae_ba_15, ipsae_min_15, intact_core) populated by modules/negsteer_interface_metrics.nf + bin/compute_interface_metrics.py. Ground-truth resolution via plan.json['ground_truth']. Module is green in the test harness on cached data. Remaining work: main.nf wiring (P0-34), at which point 29 flips to DONE. When P1-39 lands, the dockq column will carry the experimental-structure variant where available, and a separate dockq_vs_rfdiff column carries the self-consistency variant.</w:t>
      </w:r>
    </w:p>
    <w:p>
      <w:pPr>
        <w:pStyle w:val="Heading3"/>
        <w:spacing w:after="120" w:before="220"/>
      </w:pPr>
      <w:r>
        <w:t xml:space="preserve">[P0] Task 30 · cuEquivariance kernel verification</w:t>
      </w:r>
    </w:p>
    <w:p>
      <w:pPr>
        <w:spacing w:after="120"/>
      </w:pPr>
      <w:r>
        <w:rPr>
          <w:b/>
          <w:bCs/>
        </w:rPr>
        <w:t xml:space="preserve">Status: </w:t>
      </w:r>
      <w:r>
        <w:t xml:space="preserve">✓ DONE (build-time); runtime completion = P0-35</w:t>
      </w:r>
    </w:p>
    <w:p>
      <w:pPr>
        <w:spacing w:after="120"/>
      </w:pPr>
      <w:r>
        <w:t xml:space="preserve">boltz2_negsteer.img rebuilt from scratch. All pinned: torch 2.6.0+cu124, numpy 1.26.4, pandas 2.3.3, cuequivariance / cuequivariance_torch / cuequivariance_ops_cu12 / cuequivariance_ops_torch_cu12 all 0.9.1. Boltz CLI present. DockQ, FreeSASA, MDAnalysis installed. negsteer_no_kernels flipped to false in main.nf + params_example.yml + test_negative_steering.nf. The architectural fix is the NGC pattern with a crucial extra step — after all pip installs complete, 12 stale nvidia-*-cu12 wheels are purged so torch’s _preload_cuda_deps cannot find them and falls back to the system CUDA 12.8 libraries. Full root-cause analysis and the four-approaches-that-didn’t-work record is in pipeline_notes5. Runtime verification is in flight as P0-35.</w:t>
      </w:r>
    </w:p>
    <w:p>
      <w:pPr>
        <w:pStyle w:val="Heading3"/>
        <w:spacing w:after="120" w:before="220"/>
      </w:pPr>
      <w:r>
        <w:t xml:space="preserve">[P0] Task 31 · Orthogonal validation metrics</w:t>
      </w:r>
    </w:p>
    <w:p>
      <w:pPr>
        <w:spacing w:after="120"/>
      </w:pPr>
      <w:r>
        <w:rPr>
          <w:b/>
          <w:bCs/>
        </w:rPr>
        <w:t xml:space="preserve">Status: </w:t>
      </w:r>
      <w:r>
        <w:t xml:space="preserve">◐ PARTIAL (blocked on P0-34)</w:t>
      </w:r>
    </w:p>
    <w:p>
      <w:pPr>
        <w:spacing w:after="120"/>
      </w:pPr>
      <w:r>
        <w:t xml:space="preserve">Three parallel fan-out streams each producing per-survivor CSV rows, merged into survivors_with_orthogonal_metrics.csv with filter-cascade columns orthogonal_flags and passes_orthogonal_filters. AF3-no-MSA (3 seeds matching Boltz, 5 diffusion samples matching Boltz default, effector template reused from plan.json, no MSA, no recycles CLI on NBI build). FreeSASA BSA (complex-minus-chains subtraction /2). MDAnalysis HydrogenBondAnalysis (cross-chain only). Interface pLDDT (aggregated from cached Boltz B-factors). Rosetta Sc + ΔΔG from a single InterfaceAnalyzer call with no FastRelax. AF3-no-MSA ra_eff &lt; 5 Å is the mandatory filter; Sc &gt; 0.55, BSA &gt; 600 Å², interface_plddt &gt; 0.75 are flag-only. Missing metrics also flag. Remaining work: main.nf wiring (P0-34), at which point 31 flips to DONE.</w:t>
      </w:r>
    </w:p>
    <w:p>
      <w:pPr>
        <w:pStyle w:val="Heading1"/>
        <w:spacing w:after="180" w:before="360"/>
      </w:pPr>
      <w:r>
        <w:t xml:space="preserve">Active P1 tasks — detailed specifications</w:t>
      </w:r>
    </w:p>
    <w:p>
      <w:pPr>
        <w:pStyle w:val="Heading3"/>
        <w:spacing w:after="120" w:before="220"/>
      </w:pPr>
      <w:r>
        <w:t xml:space="preserve">[P1] Task 7 · Three MAX effector targets against Pikp1-HMA</w:t>
      </w:r>
    </w:p>
    <w:p>
      <w:pPr>
        <w:spacing w:after="120"/>
      </w:pPr>
      <w:r>
        <w:rPr>
          <w:b/>
          <w:bCs/>
        </w:rPr>
        <w:t xml:space="preserve">Status: </w:t>
      </w:r>
      <w:r>
        <w:t xml:space="preserve">○ OPEN (includes rational-engineering validation framing)</w:t>
      </w:r>
    </w:p>
    <w:p>
      <w:pPr>
        <w:spacing w:after="120"/>
      </w:pPr>
      <w:r>
        <w:rPr>
          <w:b/>
          <w:bCs/>
        </w:rPr>
        <w:t xml:space="preserve">Depends on: </w:t>
      </w:r>
      <w:r>
        <w:t xml:space="preserve">P0-29, P0-31 (blocked on P0-34), P0-38 (weighted Jaccard), Task 6 (controls)</w:t>
      </w:r>
    </w:p>
    <w:p>
      <w:pPr>
        <w:spacing w:after="120"/>
      </w:pPr>
      <w:r>
        <w:t xml:space="preserve">Generalisation test across effector variants on a fixed receptor scaffold. Three MAX effectors (e.g. AvrPikD, AvrPikE, AvrPikF on Pikp1-HMA) against the same RFDiffusion backbone and same ProteinMPNN run settings. Uniform directory layout so cross-target analysis (Task 8) is one script away. Scope caveat: this tests effector-variant generalisation, NOT receptor-scaffold generalisation — the stronger test (three binder/target pairs across different NLR families) is a P2 follow-up once this passes.</w:t>
      </w:r>
    </w:p>
    <w:p>
      <w:pPr>
        <w:spacing w:after="120"/>
      </w:pPr>
      <w:r>
        <w:rPr>
          <w:b/>
          <w:bCs/>
        </w:rPr>
        <w:t xml:space="preserve">Rational-engineering validation framing (interpretation deliverable):</w:t>
      </w:r>
    </w:p>
    <w:p>
      <w:pPr>
        <w:pStyle w:val="ListParagraph"/>
        <w:numPr>
          <w:ilvl w:val="0"/>
          <w:numId w:val="2"/>
        </w:numPr>
        <w:spacing w:after="80"/>
      </w:pPr>
      <w:r>
        <w:t xml:space="preserve">The current validation target was produced by rational engineering, in some cases a single residue change. Two framing problems: (1) structure predictors cannot reliably distinguish the functional effect of a single residue change — predictions of WT vs. functionally different point mutants look near-identical; (2) telling RFDiffusion the exact residue to change effectively hands it the answer, making “recovery” uninformative as a pipeline test.</w:t>
      </w:r>
    </w:p>
    <w:p>
      <w:pPr>
        <w:pStyle w:val="ListParagraph"/>
        <w:numPr>
          <w:ilvl w:val="0"/>
          <w:numId w:val="2"/>
        </w:numPr>
        <w:spacing w:after="80"/>
      </w:pPr>
      <w:r>
        <w:t xml:space="preserve">Reframe: the evaluation question is “do our designs predict as well as the validated positive control?” not “can we recover the rational design’s exact solution?” This is legitimate for RFDiffusion inpainting, which requires correctly-oriented receptor-effector complexes, a binding-face specification, and fixed relative orientation as method-required inputs.</w:t>
      </w:r>
    </w:p>
    <w:p>
      <w:pPr>
        <w:pStyle w:val="ListParagraph"/>
        <w:numPr>
          <w:ilvl w:val="0"/>
          <w:numId w:val="2"/>
        </w:numPr>
        <w:spacing w:after="80"/>
      </w:pPr>
      <w:r>
        <w:t xml:space="preserve">Operational consequence: add a positive-control row to cross_sequence_summary.csv for each target. For each candidate, compute a per-metric ratio to the positive control (e.g. weighted_jaccard_ratio = candidate / positive_control). Promotion to wet lab requires parity-or-better on the dominant composite term.</w:t>
      </w:r>
    </w:p>
    <w:p>
      <w:pPr>
        <w:spacing w:after="120"/>
      </w:pPr>
      <w:r>
        <w:rPr>
          <w:b/>
          <w:bCs/>
        </w:rPr>
        <w:t xml:space="preserve">Acceptance criteria: </w:t>
      </w:r>
      <w:r>
        <w:t xml:space="preserve">Three completed experiment workdirs, each ~100 MPNN sequences run end-to-end through the integrated pipeline and filter cascade. Each candidate reported with absolute metrics AND positive-control ratios. Ready for cross-target analysis (Task 8).</w:t>
      </w:r>
    </w:p>
    <w:p>
      <w:pPr>
        <w:pStyle w:val="Heading3"/>
        <w:spacing w:after="120" w:before="220"/>
      </w:pPr>
      <w:r>
        <w:t xml:space="preserve">[P1] Task 8 · Cross-target per-metric AUROC on pooled cohort</w:t>
      </w:r>
    </w:p>
    <w:p>
      <w:pPr>
        <w:spacing w:after="120"/>
      </w:pPr>
      <w:r>
        <w:rPr>
          <w:b/>
          <w:bCs/>
        </w:rPr>
        <w:t xml:space="preserve">Status: </w:t>
      </w:r>
      <w:r>
        <w:t xml:space="preserve">○ OPEN</w:t>
      </w:r>
    </w:p>
    <w:p>
      <w:pPr>
        <w:spacing w:after="120"/>
      </w:pPr>
      <w:r>
        <w:rPr>
          <w:b/>
          <w:bCs/>
        </w:rPr>
        <w:t xml:space="preserve">Depends on: </w:t>
      </w:r>
      <w:r>
        <w:t xml:space="preserve">Task 7 (three-target data), P0-38 (weighted_jaccard column), P1-39 conditionally</w:t>
      </w:r>
    </w:p>
    <w:p>
      <w:pPr>
        <w:spacing w:after="120"/>
      </w:pPr>
      <w:r>
        <w:t xml:space="preserve">Pool non-initial predictions from the three targets. Label each row with target ID. For each metric — ra_eff/iRMSD, true_jaccard/weighted_jaccard/fnat, DockQ (self-consistency and experimental where P1-39 applies), ipSAE at both 10 and 15 Å, iPTM, complex_plddt, ipae, actifpTM, pae_pass_frac, AF3-no-MSA agreement, BSA, Sc, H-bond count, ΔΔG, and the composite score — compute pooled AUROC and per-target AUROC for correct-vs-wrong interface classification.</w:t>
      </w:r>
    </w:p>
    <w:p>
      <w:pPr>
        <w:spacing w:after="120"/>
      </w:pPr>
      <w:r>
        <w:rPr>
          <w:b/>
          <w:bCs/>
        </w:rPr>
        <w:t xml:space="preserve">Acceptance criteria: </w:t>
      </w:r>
      <w:r>
        <w:t xml:space="preserve">A ranked table of metrics by AUROC. If iRMSD outperforms ra_eff, migrate the composite score’s ra_eff term to iRMSD. If weighted_jaccard outperforms true_jaccard, migrate that term too. If experimental-DockQ is available and dominates, promote it to the primary composite term per P1-39.</w:t>
      </w:r>
    </w:p>
    <w:p>
      <w:pPr>
        <w:pStyle w:val="Heading3"/>
        <w:spacing w:after="120" w:before="220"/>
      </w:pPr>
      <w:r>
        <w:t xml:space="preserve">[P1] Task 9 · Audit every pipeline threshold; make critical ones CLI-configurable</w:t>
      </w:r>
    </w:p>
    <w:p>
      <w:pPr>
        <w:spacing w:after="120"/>
      </w:pPr>
      <w:r>
        <w:rPr>
          <w:b/>
          <w:bCs/>
        </w:rPr>
        <w:t xml:space="preserve">Status: </w:t>
      </w:r>
      <w:r>
        <w:t xml:space="preserve">○ OPEN</w:t>
      </w:r>
    </w:p>
    <w:p>
      <w:pPr>
        <w:spacing w:after="120"/>
      </w:pPr>
      <w:r>
        <w:t xml:space="preserve">Every numeric threshold in the pipeline — rmsd_threshold, contact_cutoff, max_mutations, candidate_pool_size, postprocess_rmsd_threshold, intact_threshold, plddt_trim_threshold, the four orthogonal_filter_* thresholds — currently has a default set somewhere in code or config. Trace each one back to its source and either (a) expose it via CLI if it’s a decision a user might reasonably want to override, or (b) document the default’s justification in columns.md.</w:t>
      </w:r>
    </w:p>
    <w:p>
      <w:pPr>
        <w:pStyle w:val="Heading3"/>
        <w:spacing w:after="120" w:before="220"/>
      </w:pPr>
      <w:r>
        <w:t xml:space="preserve">[P1] Task 17 · Wire submit_final_validation.sh as standard multi-seed validation on survivors</w:t>
      </w:r>
    </w:p>
    <w:p>
      <w:pPr>
        <w:spacing w:after="120"/>
      </w:pPr>
      <w:r>
        <w:rPr>
          <w:b/>
          <w:bCs/>
        </w:rPr>
        <w:t xml:space="preserve">Status: </w:t>
      </w:r>
      <w:r>
        <w:t xml:space="preserve">○ OPEN</w:t>
      </w:r>
    </w:p>
    <w:p>
      <w:pPr>
        <w:spacing w:after="120"/>
      </w:pPr>
      <w:r>
        <w:rPr>
          <w:b/>
          <w:bCs/>
        </w:rPr>
        <w:t xml:space="preserve">Depends on: </w:t>
      </w:r>
      <w:r>
        <w:t xml:space="preserve">P0-31 confirmed working (P0-34 + test_orthogonal_metrics green)</w:t>
      </w:r>
    </w:p>
    <w:p>
      <w:pPr>
        <w:spacing w:after="120"/>
      </w:pPr>
      <w:r>
        <w:t xml:space="preserve">submit_final_validation.sh exists (notes 8). Make it the final pipeline step for every experiment: for each survivor of the integrated filter chain, run n=10 seeds at ds=5 and compute median and IQR of every metric.</w:t>
      </w:r>
    </w:p>
    <w:p>
      <w:pPr>
        <w:spacing w:after="120"/>
      </w:pPr>
      <w:r>
        <w:rPr>
          <w:b/>
          <w:bCs/>
        </w:rPr>
        <w:t xml:space="preserve">Acceptance criteria: </w:t>
      </w:r>
      <w:r>
        <w:t xml:space="preserve">Every experiment’s candidate list carries per-design median/IQR; the promotion-to-wet-lab report uses these explicit criteria: median ra_eff (or iRMSD) &lt; 5 Å across 10 seeds; IQR on ra_eff &lt; 2 Å; ≥ 7/10 seeds find the correct interface.</w:t>
      </w:r>
    </w:p>
    <w:p>
      <w:pPr>
        <w:pStyle w:val="Heading3"/>
        <w:spacing w:after="120" w:before="220"/>
      </w:pPr>
      <w:r>
        <w:t xml:space="preserve">[P1] Task 19 · Candidate-pool selection bias toward positions far from true interface</w:t>
      </w:r>
    </w:p>
    <w:p>
      <w:pPr>
        <w:spacing w:after="120"/>
      </w:pPr>
      <w:r>
        <w:rPr>
          <w:b/>
          <w:bCs/>
        </w:rPr>
        <w:t xml:space="preserve">Status: </w:t>
      </w:r>
      <w:r>
        <w:t xml:space="preserve">○ OPEN</w:t>
      </w:r>
    </w:p>
    <w:p>
      <w:pPr>
        <w:spacing w:after="120"/>
      </w:pPr>
      <w:r>
        <w:t xml:space="preserve">Add a distance-from-true-interface sorting criterion to candidate-pool selection, preferring positions maximally distant from the true interface. Complements Task 1 (expanded protected set, DONE) by biasing the outer shell.</w:t>
      </w:r>
    </w:p>
    <w:p>
      <w:pPr>
        <w:pStyle w:val="Heading3"/>
        <w:spacing w:after="120" w:before="220"/>
      </w:pPr>
      <w:r>
        <w:t xml:space="preserve">[P1] Task 32 · RFDiffusion parallelisation — trace.txt audit first</w:t>
      </w:r>
    </w:p>
    <w:p>
      <w:pPr>
        <w:spacing w:after="120"/>
      </w:pPr>
      <w:r>
        <w:rPr>
          <w:b/>
          <w:bCs/>
        </w:rPr>
        <w:t xml:space="preserve">Status: </w:t>
      </w:r>
      <w:r>
        <w:t xml:space="preserve">○ OPEN — diagnostic step added this revision</w:t>
      </w:r>
    </w:p>
    <w:p>
      <w:pPr>
        <w:spacing w:after="120"/>
      </w:pPr>
      <w:r>
        <w:t xml:space="preserve">Code inspection of rfdiffusion.nf shows the RFDIFFUSION process invokes run_inference.py as a single Singularity exec with inference.num_designs=${num_designs} passed as a hydra override. RFDiffusion’s run_inference.py loops over designs sequentially inside that one Python process on one GPU — there is no NextFlow-level fan-out across designs.</w:t>
      </w:r>
    </w:p>
    <w:p>
      <w:pPr>
        <w:spacing w:after="120"/>
      </w:pPr>
      <w:r>
        <w:rPr>
          <w:b/>
          <w:bCs/>
        </w:rPr>
        <w:t xml:space="preserve">Diagnostic step (cheap, do this first):</w:t>
      </w:r>
    </w:p>
    <w:p>
      <w:pPr>
        <w:pStyle w:val="ListParagraph"/>
        <w:numPr>
          <w:ilvl w:val="0"/>
          <w:numId w:val="2"/>
        </w:numPr>
        <w:spacing w:after="80"/>
      </w:pPr>
      <w:r>
        <w:t xml:space="preserve">Inspect trace.txt from the most recent production run for the RFDIFFUSION row. If there is one row with duration ≈ N × single-design time, the loop is serial as the code suggests. If there are multiple rows with overlapping start/stop timestamps, fan-out is happening somewhere this audit missed.</w:t>
      </w:r>
    </w:p>
    <w:p>
      <w:pPr>
        <w:pStyle w:val="ListParagraph"/>
        <w:numPr>
          <w:ilvl w:val="0"/>
          <w:numId w:val="2"/>
        </w:numPr>
        <w:spacing w:after="80"/>
      </w:pPr>
      <w:r>
        <w:rPr>
          <w:b/>
          <w:bCs/>
        </w:rPr>
        <w:t xml:space="preserve">Command: </w:t>
      </w:r>
      <w:r>
        <w:rPr>
          <w:rFonts w:ascii="Consolas" w:cs="Consolas" w:eastAsia="Consolas" w:hAnsi="Consolas"/>
        </w:rPr>
        <w:t xml:space="preserve">grep -E 'name\s+status\s+|RFDIFFUSION' trace.txt | head</w:t>
      </w:r>
      <w:r>
        <w:t xml:space="preserve"> — look at the duration column and whether there are multiple entries.</w:t>
      </w:r>
    </w:p>
    <w:p>
      <w:pPr>
        <w:spacing w:after="120"/>
      </w:pPr>
      <w:r>
        <w:rPr>
          <w:b/>
          <w:bCs/>
        </w:rPr>
        <w:t xml:space="preserve">If confirmed serial — refactor path:</w:t>
      </w:r>
    </w:p>
    <w:p>
      <w:pPr>
        <w:pStyle w:val="ListParagraph"/>
        <w:numPr>
          <w:ilvl w:val="0"/>
          <w:numId w:val="2"/>
        </w:numPr>
        <w:spacing w:after="80"/>
      </w:pPr>
      <w:r>
        <w:t xml:space="preserve">Turn num_designs into a channel that fans out num_designs tasks. New process RFDIFFUSION_ONE runs run_inference.py with inference.num_designs=1 and inference.output_prefix="./design_${idx}", where idx is passed in from Channel.of(0..params.rfdiff_num_designs-1). Collect outputs into a single channel for the downstream filter.</w:t>
      </w:r>
    </w:p>
    <w:p>
      <w:pPr>
        <w:pStyle w:val="ListParagraph"/>
        <w:numPr>
          <w:ilvl w:val="0"/>
          <w:numId w:val="2"/>
        </w:numPr>
        <w:spacing w:after="80"/>
      </w:pPr>
      <w:r>
        <w:t xml:space="preserve">GPU queue rate-limiting via executor.queueSize and process.maxForks in nextflow.config rather than NextFlow-level serialisation.</w:t>
      </w:r>
    </w:p>
    <w:p>
      <w:pPr>
        <w:spacing w:after="120"/>
      </w:pPr>
      <w:r>
        <w:rPr>
          <w:b/>
          <w:bCs/>
        </w:rPr>
        <w:t xml:space="preserve">Acceptance criteria: </w:t>
      </w:r>
      <w:r>
        <w:t xml:space="preserve">trace.txt from the next production run shows N parallel RFDIFFUSION_ONE entries with overlapping timestamps, not one sequential RFDIFFUSION entry. Wall-clock for the RFDiffusion block drops roughly linearly with the GPU queue depth.</w:t>
      </w:r>
    </w:p>
    <w:p>
      <w:pPr>
        <w:pStyle w:val="Heading3"/>
        <w:spacing w:after="120" w:before="220"/>
      </w:pPr>
      <w:r>
        <w:t xml:space="preserve">[P1] Task 39 · DockQ vs experimental-structure integration</w:t>
      </w:r>
    </w:p>
    <w:p>
      <w:pPr>
        <w:spacing w:after="120"/>
      </w:pPr>
      <w:r>
        <w:rPr>
          <w:b/>
          <w:bCs/>
        </w:rPr>
        <w:t xml:space="preserve">Status: </w:t>
      </w:r>
      <w:r>
        <w:t xml:space="preserve">★ NEW</w:t>
      </w:r>
    </w:p>
    <w:p>
      <w:pPr>
        <w:spacing w:after="120"/>
      </w:pPr>
      <w:r>
        <w:rPr>
          <w:b/>
          <w:bCs/>
        </w:rPr>
        <w:t xml:space="preserve">Source: </w:t>
      </w:r>
      <w:r>
        <w:t xml:space="preserve">pipeline_notes6 §“Scoring Methodology — Primary Geometric Metrics”</w:t>
      </w:r>
    </w:p>
    <w:p>
      <w:pPr>
        <w:spacing w:after="120"/>
      </w:pPr>
      <w:r>
        <w:t xml:space="preserve">The P0-29 DockQ column is self-consistency — predicted complex vs the RFDiffusion Cα reference. Where an experimental crystal or cryo-EM structure exists for the rational-design positive control, compute DockQ against THAT structure instead. This is genuine ground-truth validation, not self-consistency. Per pipeline_notes6, this becomes the dominant composite-score term when available.</w:t>
      </w:r>
    </w:p>
    <w:p>
      <w:pPr>
        <w:spacing w:after="120"/>
      </w:pPr>
      <w:r>
        <w:rPr>
          <w:b/>
          <w:bCs/>
        </w:rPr>
        <w:t xml:space="preserve">Steps:</w:t>
      </w:r>
    </w:p>
    <w:p>
      <w:pPr>
        <w:pStyle w:val="ListParagraph"/>
        <w:numPr>
          <w:ilvl w:val="0"/>
          <w:numId w:val="2"/>
        </w:numPr>
        <w:spacing w:after="80"/>
      </w:pPr>
      <w:r>
        <w:t xml:space="preserve">Extend compute_interface_metrics.py to accept an optional --experimental-reference PDB argument in addition to the plan.json ground_truth. When supplied, compute both dockq_vs_rfdiff and dockq_vs_experimental.</w:t>
      </w:r>
    </w:p>
    <w:p>
      <w:pPr>
        <w:pStyle w:val="ListParagraph"/>
        <w:numPr>
          <w:ilvl w:val="0"/>
          <w:numId w:val="2"/>
        </w:numPr>
        <w:spacing w:after="80"/>
      </w:pPr>
      <w:r>
        <w:t xml:space="preserve">Plumb an optional experimental-reference param through main.nf and params_example.yml. When unset, the pipeline behaves as before (one DockQ column, renamed dockq_vs_rfdiff for clarity).</w:t>
      </w:r>
    </w:p>
    <w:p>
      <w:pPr>
        <w:pStyle w:val="ListParagraph"/>
        <w:numPr>
          <w:ilvl w:val="0"/>
          <w:numId w:val="2"/>
        </w:numPr>
        <w:spacing w:after="80"/>
      </w:pPr>
      <w:r>
        <w:t xml:space="preserve">Update composite-score computation to prefer dockq_vs_experimental when available, falling back to dockq_vs_rfdiff. Migration gated on Task 8 AUROC.</w:t>
      </w:r>
    </w:p>
    <w:p>
      <w:pPr>
        <w:spacing w:after="120"/>
      </w:pPr>
      <w:r>
        <w:rPr>
          <w:b/>
          <w:bCs/>
        </w:rPr>
        <w:t xml:space="preserve">Acceptance criteria: </w:t>
      </w:r>
      <w:r>
        <w:t xml:space="preserve">where an experimental reference is provided, cross_sequence_summary.csv contains both DockQ columns and the composite-score primary term uses the experimental variant. No silent fallback — the log states which variant is in use for each design.</w:t>
      </w:r>
    </w:p>
    <w:p>
      <w:pPr>
        <w:pStyle w:val="Heading1"/>
        <w:spacing w:after="180" w:before="360"/>
      </w:pPr>
      <w:r>
        <w:t xml:space="preserve">Active P2 tasks — new and carried</w:t>
      </w:r>
    </w:p>
    <w:p>
      <w:pPr>
        <w:pStyle w:val="Heading3"/>
        <w:spacing w:after="120" w:before="220"/>
      </w:pPr>
      <w:r>
        <w:t xml:space="preserve">[P2] Task 15 · Delta-to-cold-start metric columns</w:t>
      </w:r>
    </w:p>
    <w:p>
      <w:pPr>
        <w:spacing w:after="120"/>
      </w:pPr>
      <w:r>
        <w:rPr>
          <w:b/>
          <w:bCs/>
        </w:rPr>
        <w:t xml:space="preserve">Status: </w:t>
      </w:r>
      <w:r>
        <w:t xml:space="preserve">○ OPEN — unchanged from v3/v4</w:t>
      </w:r>
    </w:p>
    <w:p>
      <w:pPr>
        <w:spacing w:after="120"/>
      </w:pPr>
      <w:r>
        <w:t xml:space="preserve">See v3 spec. Not blocking.</w:t>
      </w:r>
    </w:p>
    <w:p>
      <w:pPr>
        <w:pStyle w:val="Heading3"/>
        <w:spacing w:after="120" w:before="220"/>
      </w:pPr>
      <w:r>
        <w:t xml:space="preserve">[P2] Task 18 · Noise-halo comparisons (explained)</w:t>
      </w:r>
    </w:p>
    <w:p>
      <w:pPr>
        <w:spacing w:after="120"/>
      </w:pPr>
      <w:r>
        <w:rPr>
          <w:b/>
          <w:bCs/>
        </w:rPr>
        <w:t xml:space="preserve">Status: </w:t>
      </w:r>
      <w:r>
        <w:t xml:space="preserve">○ OPEN — definition added this revision; still P2</w:t>
      </w:r>
    </w:p>
    <w:p>
      <w:pPr>
        <w:spacing w:after="120"/>
      </w:pPr>
      <w:r>
        <w:rPr>
          <w:b/>
          <w:bCs/>
        </w:rPr>
        <w:t xml:space="preserve">Source: </w:t>
      </w:r>
      <w:r>
        <w:t xml:space="preserve">Metric-reliability memo §5.4</w:t>
      </w:r>
    </w:p>
    <w:p>
      <w:pPr>
        <w:spacing w:after="120"/>
      </w:pPr>
      <w:r>
        <w:t xml:space="preserve">Replace hard-threshold classification with a noise-halo band. The design_24 10-seed variance test gives empirical 1 SD per metric — ±0.5 Å on ra_eff, ±0.05 on true_jaccard, ±0.01 on complex_plddt. Two designs whose values fall within the halo of each other are tied on that axis, and the tie is broken by a different orthogonal metric.</w:t>
      </w:r>
    </w:p>
    <w:p>
      <w:pPr>
        <w:spacing w:after="120"/>
      </w:pPr>
      <w:r>
        <w:rPr>
          <w:b/>
          <w:bCs/>
        </w:rPr>
        <w:t xml:space="preserve">Motivation:</w:t>
      </w:r>
    </w:p>
    <w:p>
      <w:pPr>
        <w:pStyle w:val="ListParagraph"/>
        <w:numPr>
          <w:ilvl w:val="0"/>
          <w:numId w:val="2"/>
        </w:numPr>
        <w:spacing w:after="80"/>
      </w:pPr>
      <w:r>
        <w:t xml:space="preserve">The current pipeline uses hard cutoffs (ra_eff &lt; 5 Å, complex_plddt &gt; 0.65, etc.). At a threshold boundary, a 0.3 Å fluctuation — well within the noise floor — flips pass/fail.</w:t>
      </w:r>
    </w:p>
    <w:p>
      <w:pPr>
        <w:pStyle w:val="ListParagraph"/>
        <w:numPr>
          <w:ilvl w:val="0"/>
          <w:numId w:val="2"/>
        </w:numPr>
        <w:spacing w:after="80"/>
      </w:pPr>
      <w:r>
        <w:t xml:space="preserve">Noise-halo softens this: values &lt; (threshold − halo) pass hard, values &gt; (threshold + halo) fail hard, values inside the halo band are “conditional pass” and require agreement from a second orthogonal metric.</w:t>
      </w:r>
    </w:p>
    <w:p>
      <w:pPr>
        <w:spacing w:after="120"/>
      </w:pPr>
      <w:r>
        <w:rPr>
          <w:b/>
          <w:bCs/>
        </w:rPr>
        <w:t xml:space="preserve">Why P2 not earlier: </w:t>
      </w:r>
      <w:r>
        <w:t xml:space="preserve">the halo widths were derived under the current metric set. Re-tuning before Task 8 AUROC tells us which metrics actually correlate with correct-vs-wrong classification would be wasted work — the new metric stack (weighted Jaccard, iRMSD, experimental DockQ) needs its own per-metric variance characterisation on a multi-seed run before halo widths make sense. Blocked on Task 8 + a fresh multi-seed variance pass on the post-P0-38/P1-39 metric set.</w:t>
      </w:r>
    </w:p>
    <w:p>
      <w:pPr>
        <w:pStyle w:val="Heading3"/>
        <w:spacing w:after="120" w:before="220"/>
      </w:pPr>
      <w:r>
        <w:t xml:space="preserve">[P2] Task 20 / 21 / 22 · Post-wet-lab validation</w:t>
      </w:r>
    </w:p>
    <w:p>
      <w:pPr>
        <w:spacing w:after="120"/>
      </w:pPr>
      <w:r>
        <w:rPr>
          <w:b/>
          <w:bCs/>
        </w:rPr>
        <w:t xml:space="preserve">Status: </w:t>
      </w:r>
      <w:r>
        <w:t xml:space="preserve">○ OPEN — unchanged from v3/v4</w:t>
      </w:r>
    </w:p>
    <w:p>
      <w:pPr>
        <w:spacing w:after="120"/>
      </w:pPr>
      <w:r>
        <w:t xml:space="preserve">Alanine scan, retrospective calibration, cross-model validation. All blocked on first wet-lab hits.</w:t>
      </w:r>
    </w:p>
    <w:p>
      <w:pPr>
        <w:pStyle w:val="Heading3"/>
        <w:spacing w:after="120" w:before="220"/>
      </w:pPr>
      <w:r>
        <w:t xml:space="preserve">[P2] Task 40 · Full-length receptor autoactivity filter</w:t>
      </w:r>
    </w:p>
    <w:p>
      <w:pPr>
        <w:spacing w:after="120"/>
      </w:pPr>
      <w:r>
        <w:rPr>
          <w:b/>
          <w:bCs/>
        </w:rPr>
        <w:t xml:space="preserve">Status: </w:t>
      </w:r>
      <w:r>
        <w:t xml:space="preserve">★ NEW</w:t>
      </w:r>
    </w:p>
    <w:p>
      <w:pPr>
        <w:spacing w:after="120"/>
      </w:pPr>
      <w:r>
        <w:rPr>
          <w:b/>
          <w:bCs/>
        </w:rPr>
        <w:t xml:space="preserve">Source: </w:t>
      </w:r>
      <w:r>
        <w:t xml:space="preserve">pipeline_notes6 §“On Autoactivity Risk Management”</w:t>
      </w:r>
    </w:p>
    <w:p>
      <w:pPr>
        <w:spacing w:after="120"/>
      </w:pPr>
      <w:r>
        <w:t xml:space="preserve">Constitutive signalling risk varies dramatically by scaffold architecture. Integrated HMA domains (Pik-1) allow aggressive interface redesign because recognition is architecturally decoupled from NBD regulation. Canonical sensor NLRs (Sr35/ZAR1-like) use the LRR to restrain the NBD and require conservative approaches. Computational filter: predict the full-length NLR with the designed LRR substituted in, compare the NBD-LRR interface geometry to the native autoinhibited-state reference, flag designs that drift beyond a per-scaffold threshold.</w:t>
      </w:r>
    </w:p>
    <w:p>
      <w:pPr>
        <w:spacing w:after="120"/>
      </w:pPr>
      <w:r>
        <w:rPr>
          <w:b/>
          <w:bCs/>
        </w:rPr>
        <w:t xml:space="preserve">Steps:</w:t>
      </w:r>
    </w:p>
    <w:p>
      <w:pPr>
        <w:pStyle w:val="ListParagraph"/>
        <w:numPr>
          <w:ilvl w:val="0"/>
          <w:numId w:val="2"/>
        </w:numPr>
        <w:spacing w:after="80"/>
      </w:pPr>
      <w:r>
        <w:t xml:space="preserve">Add NEGSTEER_AUTOACTIVITY module. Input: per-survivor designed sequence, full-length NLR scaffold PDB (native autoinhibited state), receptor chain segmentation (NBD / LRR / other). Output: NBD-LRR interface RMSD and a flag column.</w:t>
      </w:r>
    </w:p>
    <w:p>
      <w:pPr>
        <w:pStyle w:val="ListParagraph"/>
        <w:numPr>
          <w:ilvl w:val="0"/>
          <w:numId w:val="2"/>
        </w:numPr>
        <w:spacing w:after="80"/>
      </w:pPr>
      <w:r>
        <w:t xml:space="preserve">Use AF3 or Boltz-2 (matching P0-31) for the full-length prediction. Only run on survivors of the P0-31 orthogonal-metrics filter — full-length predictions are expensive.</w:t>
      </w:r>
    </w:p>
    <w:p>
      <w:pPr>
        <w:pStyle w:val="ListParagraph"/>
        <w:numPr>
          <w:ilvl w:val="0"/>
          <w:numId w:val="2"/>
        </w:numPr>
        <w:spacing w:after="80"/>
      </w:pPr>
      <w:r>
        <w:t xml:space="preserve">Threshold per scaffold class — tight for canonical sensors, permissive for integrated HMA. Defaults documented in columns.md.</w:t>
      </w:r>
    </w:p>
    <w:p>
      <w:pPr>
        <w:pStyle w:val="ListParagraph"/>
        <w:numPr>
          <w:ilvl w:val="0"/>
          <w:numId w:val="2"/>
        </w:numPr>
        <w:spacing w:after="80"/>
      </w:pPr>
      <w:r>
        <w:t xml:space="preserve">Flag, not drop — the operator should see flagged-but-interesting designs.</w:t>
      </w:r>
    </w:p>
    <w:p>
      <w:pPr>
        <w:pStyle w:val="Heading1"/>
        <w:spacing w:after="180" w:before="360"/>
      </w:pPr>
      <w:r>
        <w:t xml:space="preserve">P3 tasks — unchanged from v3/v4 plus one new</w:t>
      </w:r>
    </w:p>
    <w:p>
      <w:pPr>
        <w:spacing w:after="120"/>
      </w:pPr>
      <w:r>
        <w:t xml:space="preserve">Tasks 23 (RFDiffusion production validator wrapper), 24 (sequence_registry into SLURM chain), 25 (silent pass-through bug on reversion crash), 26 (NextFlow DSL2 migration of iterate_steering — PARTIAL), 27 (Region-2 length bug in RFDiffusion contigs), 28 (decoy-competition validation) carry forward unchanged. Refer to the v3 document for detailed specifications.</w:t>
      </w:r>
    </w:p>
    <w:p>
      <w:pPr>
        <w:pStyle w:val="Heading3"/>
        <w:spacing w:after="120" w:before="220"/>
      </w:pPr>
      <w:r>
        <w:t xml:space="preserve">[P3] Task 41 · Shell-radius contig mode for RFDiffusion</w:t>
      </w:r>
    </w:p>
    <w:p>
      <w:pPr>
        <w:spacing w:after="120"/>
      </w:pPr>
      <w:r>
        <w:rPr>
          <w:b/>
          <w:bCs/>
        </w:rPr>
        <w:t xml:space="preserve">Status: </w:t>
      </w:r>
      <w:r>
        <w:t xml:space="preserve">★ NEW — spun out of the design-region strategy note</w:t>
      </w:r>
    </w:p>
    <w:p>
      <w:pPr>
        <w:spacing w:after="120"/>
      </w:pPr>
      <w:r>
        <w:rPr>
          <w:b/>
          <w:bCs/>
        </w:rPr>
        <w:t xml:space="preserve">Source: </w:t>
      </w:r>
      <w:r>
        <w:t xml:space="preserve">“Experimental design notes” section below</w:t>
      </w:r>
    </w:p>
    <w:p>
      <w:pPr>
        <w:spacing w:after="120"/>
      </w:pPr>
      <w:r>
        <w:t xml:space="preserve">Productionise Strategy 4 (hotspot-driven shell, 8 Å default) as a built-in contig-building mode. Add --design-region-strategy {shell,allelic,legacy} and --shell-radius flags on the top-level submit; plumb through preprocessing.nf and rfdiffusion.nf. Default behaviour unchanged until the flag is set, so this does not block any current or planned experiment — it is ergonomic infrastructure for later experiments that want shell-based design-region selection without manually constructing contigs each time.</w:t>
      </w:r>
    </w:p>
    <w:p>
      <w:pPr>
        <w:pStyle w:val="Heading1"/>
        <w:spacing w:after="180" w:before="360"/>
      </w:pPr>
      <w:r>
        <w:t xml:space="preserve">Experimental design notes (non-task)</w:t>
      </w:r>
    </w:p>
    <w:p>
      <w:pPr>
        <w:spacing w:after="120"/>
      </w:pPr>
      <w:r>
        <w:t xml:space="preserve">This section captures strategic design decisions that shape how experiments are set up but are not themselves pipeline tasks.</w:t>
      </w:r>
    </w:p>
    <w:p>
      <w:pPr>
        <w:pStyle w:val="Heading2"/>
        <w:spacing w:after="140" w:before="280"/>
      </w:pPr>
      <w:r>
        <w:t xml:space="preserve">RFDiffusion design-region strategy</w:t>
      </w:r>
    </w:p>
    <w:p>
      <w:pPr>
        <w:spacing w:after="120"/>
      </w:pPr>
      <w:r>
        <w:rPr>
          <w:b/>
          <w:bCs/>
        </w:rPr>
        <w:t xml:space="preserve">Source: </w:t>
      </w:r>
      <w:r>
        <w:t xml:space="preserve">pipeline_notes6 §“RFDiffusion Design Region Strategies”</w:t>
      </w:r>
    </w:p>
    <w:p>
      <w:pPr>
        <w:spacing w:after="120"/>
      </w:pPr>
      <w:r>
        <w:t xml:space="preserve">Four strategies were assessed through subject-specialist / computational / reviewer lenses:</w:t>
      </w:r>
    </w:p>
    <w:p>
      <w:pPr>
        <w:pStyle w:val="ListParagraph"/>
        <w:numPr>
          <w:ilvl w:val="0"/>
          <w:numId w:val="2"/>
        </w:numPr>
        <w:spacing w:after="80"/>
      </w:pPr>
      <w:r>
        <w:rPr>
          <w:b/>
          <w:bCs/>
        </w:rPr>
        <w:t xml:space="preserve">Strategy 1 — alternating outward-facing residues only. </w:t>
      </w:r>
      <w:r>
        <w:t xml:space="preserve">Most biologically conservative for preserving autoinhibition, but essentially sidechain-level redesign with extra steps; under-uses RFDiffusion’s backbone-diffusion capability. Reviewers would question why RFDiffusion is used at all. Not adopted.</w:t>
      </w:r>
    </w:p>
    <w:p>
      <w:pPr>
        <w:pStyle w:val="ListParagraph"/>
        <w:numPr>
          <w:ilvl w:val="0"/>
          <w:numId w:val="2"/>
        </w:numPr>
        <w:spacing w:after="80"/>
      </w:pPr>
      <w:r>
        <w:rPr>
          <w:b/>
          <w:bCs/>
        </w:rPr>
        <w:t xml:space="preserve">Strategy 2 — known-important + variable + neighbors. </w:t>
      </w:r>
      <w:r>
        <w:t xml:space="preserve">Most defensible for Pik-style scaffolds with mapped allelic variation. Uses evolutionary signal to identify recognition plasticity. Limited to scaffolds with resolved allelic data. Information-leakage concern: the same allelic series cannot be used for both design guidance and recognition testing. Configurable secondary.</w:t>
      </w:r>
    </w:p>
    <w:p>
      <w:pPr>
        <w:pStyle w:val="ListParagraph"/>
        <w:numPr>
          <w:ilvl w:val="0"/>
          <w:numId w:val="2"/>
        </w:numPr>
        <w:spacing w:after="80"/>
      </w:pPr>
      <w:r>
        <w:rPr>
          <w:b/>
          <w:bCs/>
        </w:rPr>
        <w:t xml:space="preserve">Strategy 3 — whole-interface redesign. </w:t>
      </w:r>
      <w:r>
        <w:t xml:space="preserve">Highest autoactivity risk. Relatively safe for integrated HMA scaffolds; dangerous for canonical sensor NLRs. Not exposed until the P2-40 autoactivity filter is in place.</w:t>
      </w:r>
    </w:p>
    <w:p>
      <w:pPr>
        <w:pStyle w:val="ListParagraph"/>
        <w:numPr>
          <w:ilvl w:val="0"/>
          <w:numId w:val="2"/>
        </w:numPr>
        <w:spacing w:after="80"/>
      </w:pPr>
      <w:r>
        <w:rPr>
          <w:b/>
          <w:bCs/>
        </w:rPr>
        <w:t xml:space="preserve">Strategy 4 — hotspot-driven shell design (recommended primary). </w:t>
      </w:r>
      <w:r>
        <w:t xml:space="preserve">Specify hotspot residues on the effector; let RFDiffusion pick receptor residues within an 8 Å shell. Advantages: no pre-commitment to native binding mode, contiguous diffusable region, tunable autoactivity risk via shell radius (6 Å conservative / 10 Å aggressive), natural integration with negative steering because predictor-biased residues that want to revert toward canonical sites become negative examples automatically. Requires an initial effector placement (RFDiffusion, docking, or AF3 prediction of homologous complex).</w:t>
      </w:r>
    </w:p>
    <w:p>
      <w:pPr>
        <w:pStyle w:val="Heading2"/>
        <w:spacing w:after="140" w:before="280"/>
      </w:pPr>
      <w:r>
        <w:t xml:space="preserve">Rational-engineering validation framing</w:t>
      </w:r>
    </w:p>
    <w:p>
      <w:pPr>
        <w:spacing w:after="120"/>
      </w:pPr>
      <w:r>
        <w:rPr>
          <w:b/>
          <w:bCs/>
        </w:rPr>
        <w:t xml:space="preserve">Source: </w:t>
      </w:r>
      <w:r>
        <w:t xml:space="preserve">pipeline_notes6 §“Current Task Context: Reproducing Rational Engineering” (also folded into Task 7 spec)</w:t>
      </w:r>
    </w:p>
    <w:p>
      <w:pPr>
        <w:spacing w:after="120"/>
      </w:pPr>
      <w:r>
        <w:t xml:space="preserve">Current validation target was produced by rational engineering, sometimes a single residue change. Two framing problems: structure predictors cannot reliably distinguish the functional effect of a single residue change (WT and functionally different point mutants predict near-identically); telling RFDiffusion the exact residue to change effectively hands it the answer, making recovery uninformative.</w:t>
      </w:r>
    </w:p>
    <w:p>
      <w:pPr>
        <w:spacing w:after="120"/>
      </w:pPr>
      <w:r>
        <w:t xml:space="preserve">Reframe: the evaluation question is “do our designs predict as well as the validated positive control?” not “can we recover the rational design’s exact solution?” This is legitimate for RFDiffusion inpainting, which requires correctly-oriented receptor-effector complexes, a binding-face specification, and fixed relative orientation as method-required inputs — not answer-giveaways.</w:t>
      </w:r>
    </w:p>
    <w:p>
      <w:pPr>
        <w:pStyle w:val="Heading2"/>
        <w:spacing w:after="140" w:before="280"/>
      </w:pPr>
      <w:r>
        <w:t xml:space="preserve">Scoring methodology summary</w:t>
      </w:r>
    </w:p>
    <w:p>
      <w:pPr>
        <w:spacing w:after="120"/>
      </w:pPr>
      <w:r>
        <w:t xml:space="preserve">The composite-score direction adopted in pipeline_notes6:</w:t>
      </w:r>
    </w:p>
    <w:p>
      <w:pPr>
        <w:pStyle w:val="ListParagraph"/>
        <w:numPr>
          <w:ilvl w:val="0"/>
          <w:numId w:val="2"/>
        </w:numPr>
        <w:spacing w:after="80"/>
      </w:pPr>
      <w:r>
        <w:rPr>
          <w:b/>
          <w:bCs/>
        </w:rPr>
        <w:t xml:space="preserve">Primary geometric: </w:t>
      </w:r>
      <w:r>
        <w:t xml:space="preserve">DockQ vs experimental structure (when available) → weighted Jaccard (P0-38) → ra_eff/iRMSD.</w:t>
      </w:r>
    </w:p>
    <w:p>
      <w:pPr>
        <w:pStyle w:val="ListParagraph"/>
        <w:numPr>
          <w:ilvl w:val="0"/>
          <w:numId w:val="2"/>
        </w:numPr>
        <w:spacing w:after="80"/>
      </w:pPr>
      <w:r>
        <w:rPr>
          <w:b/>
          <w:bCs/>
        </w:rPr>
        <w:t xml:space="preserve">Secondary orthogonal: </w:t>
      </w:r>
      <w:r>
        <w:t xml:space="preserve">Rosetta ΔΔG, BSA, interface packing density, interface pLDDT, H-bond count.</w:t>
      </w:r>
    </w:p>
    <w:p>
      <w:pPr>
        <w:pStyle w:val="ListParagraph"/>
        <w:numPr>
          <w:ilvl w:val="0"/>
          <w:numId w:val="2"/>
        </w:numPr>
        <w:spacing w:after="80"/>
      </w:pPr>
      <w:r>
        <w:rPr>
          <w:b/>
          <w:bCs/>
        </w:rPr>
        <w:t xml:space="preserve">Demoted: </w:t>
      </w:r>
      <w:r>
        <w:t xml:space="preserve">ipSAE/ipTM from primary ranker to “plus factor” filter per v3 decision, reaffirmed by pipeline_notes6.</w:t>
      </w:r>
    </w:p>
    <w:p>
      <w:pPr>
        <w:pStyle w:val="Heading1"/>
        <w:spacing w:after="180" w:before="360"/>
      </w:pPr>
      <w:r>
        <w:t xml:space="preserve">Task dependency graph (v5, revised)</w:t>
      </w:r>
    </w:p>
    <w:p>
      <w:pPr>
        <w:spacing w:after="120"/>
      </w:pPr>
      <w:r>
        <w:t xml:space="preserve">Rows marked DONE are archived out of the active set. Rows marked PARTIAL are blocked on P0-34. The ordering reflects current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sz w:val="20"/>
                <w:szCs w:val="20"/>
              </w:rPr>
              <w:t xml:space="preserve">Task</w:t>
            </w:r>
          </w:p>
        </w:tc>
        <w:tc>
          <w:tcPr>
            <w:tcW w:type="dxa" w:w="3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sz w:val="20"/>
                <w:szCs w:val="20"/>
              </w:rPr>
              <w:t xml:space="preserve">Depends on</w:t>
            </w:r>
          </w:p>
        </w:tc>
        <w:tc>
          <w:tcPr>
            <w:tcW w:type="dxa" w:w="39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sz w:val="20"/>
                <w:szCs w:val="20"/>
              </w:rPr>
              <w:t xml:space="preserve">Unblocks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1–5 (DONE)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Everything downstream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6</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34 (for summary columns)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Pipeline sanity on all later runs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7</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29 (via 34), 31 (via 34), 35, 38, 6</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8, 21, 22</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8</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 (DONE), 7, 38, 39</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Composite refinement, 17, 18, 40</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9</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Threshold retuning passes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12 (DONE)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 (DONE)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7</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17</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29 (via 34), 31 (via 34)</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Wet-lab promotion gate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29 (PARTIAL)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 (DONE), 34</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7, 8</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30 (DONE)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35</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31 (PARTIAL)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 (DONE), 34</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7, 17</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32</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Throughput at scale (trace.txt audit first)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33 (CLOSED)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34</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29 infra, 31 infra</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6, 7, 17, 29, 31</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35 (IN PROGRESS)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30 (DONE)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30 full-DONE flip</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38 (NEW, P0)</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29 (via 34)</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7, 8 (weighted vs hard Jaccard)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39 (NEW, P1)</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29 (via 34), experimental ref availability</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8, composite migration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40 (NEW, P2)</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31 (via 34), scaffold-class thresholds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Broader scaffold-family generalisation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41 (NEW, P3)</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Ergonomic shell-contig selection for later experiments</w:t>
            </w:r>
          </w:p>
        </w:tc>
      </w:tr>
    </w:tbl>
    <w:p>
      <w:pPr>
        <w:pStyle w:val="Heading1"/>
        <w:spacing w:after="180" w:before="360"/>
      </w:pPr>
      <w:r>
        <w:t xml:space="preserve">Task-number index</w:t>
      </w:r>
    </w:p>
    <w:p>
      <w:pPr>
        <w:spacing w:after="120"/>
      </w:pPr>
      <w:r>
        <w:t xml:space="preserve">Task numbers are permanent identifiers — the main status table is sorted by status, so this secondary table serves as the by-number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6120"/>
        <w:gridCol w:w="2700"/>
      </w:tblGrid>
      <w:tr>
        <w:trPr>
          <w:tblHeader/>
        </w:trPr>
        <w:tc>
          <w:tcPr>
            <w:tcW w:type="dxa" w:w="54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sz w:val="20"/>
                <w:szCs w:val="20"/>
              </w:rPr>
              <w:t xml:space="preserve">#</w:t>
            </w:r>
          </w:p>
        </w:tc>
        <w:tc>
          <w:tcPr>
            <w:tcW w:type="dxa" w:w="612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sz w:val="20"/>
                <w:szCs w:val="20"/>
              </w:rPr>
              <w:t xml:space="preserve">Task</w:t>
            </w:r>
          </w:p>
        </w:tc>
        <w:tc>
          <w:tcPr>
            <w:tcW w:type="dxa" w:w="27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b/>
                <w:bCs/>
                <w:sz w:val="20"/>
                <w:szCs w:val="20"/>
              </w:rPr>
              <w:t xml:space="preserve">Status</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1</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Expand protected-residue set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DONE</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2</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Populate confidence metrics for all rows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DONE</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3</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Composite ranker</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DONE</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4</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Remove rank_by_ipsae_min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DONE</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5</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Integrate negative steering into outer pipeline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DONE</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6</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Scrambled / all-glycine negative controls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 (P0)</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7</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Three MAX effector targets against Pikp1-HMA</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 (P1)</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8</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Cross-target AUROC on pooled cohort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 (P1)</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9</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Threshold audit &amp; CLI defaults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 (P1)</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10</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Interface-restricted RMSD / intact filter</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REVISED → P0-29</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11</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AF3-no-MSA agreement filter</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REVISED → P0-31</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12</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Wire contamination fix into production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DONE</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13</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BSA/Sc/pLDDT/H-bond metrics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REVISED → P0-31</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14</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Rosetta ΔΔG</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REVISED → P0-31</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15</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Delta-to-cold-start metrics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 (P2)</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16</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ipSAE at 15 Å PAE cutoff</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REVISED → P0-29</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17</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submit_final_validation.sh on survivors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 (P1)</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18</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Noise-halo comparisons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 (P2)</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19</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Candidate-pool distance bias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 (P1)</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20</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Alanine scan on confirmed binders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 (P2)</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21</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Retrospective calibration ≥5 tasks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 (P2)</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22</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Cross-model validation of binders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 (P2)</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23</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RFDiffusion production validator wrapper</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 (P3)</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24</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sequence_registry into SLURM chain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 (P3)</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25</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Silent pass-through bug on reversion crash</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 (P3)</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26</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NextFlow DSL2 migration of iterate_steering</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PARTIAL (P3)</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27</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Region-2 length bug in RFDiffusion contigs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 (P3)</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28</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Decoy-competition validation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 (P3)</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29</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Interface-restricted RMSD + iPSAE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PARTIAL (P0, blocked on 34)</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30</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cuequivariance_torch kernel verification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DONE (runtime = 35)</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31</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Orthogonal validation metrics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PARTIAL (P0, blocked on 34)</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32</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RFDiffusion parallelisation — trace.txt first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 (P1)</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33</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Diagnose tier-none failure modes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CLOSED</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34</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Wire P0-29 + P0-31 into main.nf</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OPEN (P0)</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35</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GPU-node runtime smoke-test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IN PROGRESS (P0)</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38</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Weighted Jaccard contact overlap</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NEW (P0)</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39</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DockQ vs experimental-structure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NEW (P1)</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40</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Full-length receptor autoactivity filter</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NEW (P2)</w:t>
            </w:r>
          </w:p>
        </w:tc>
      </w:tr>
      <w:tr>
        <w:tc>
          <w:tcPr>
            <w:tcW w:type="dxa" w:w="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default">41</w:t>
            </w:r>
          </w:p>
        </w:tc>
        <w:tc>
          <w:tcPr>
            <w:tcW w:type="dxa" w:w="6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Shell-radius contig mode for RFDiffusion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 NEW (P3)</w:t>
            </w:r>
          </w:p>
        </w:tc>
      </w:tr>
    </w:tbl>
    <w:p>
      <w:pPr>
        <w:pStyle w:val="Heading1"/>
        <w:spacing w:after="180" w:before="360"/>
      </w:pPr>
      <w:r>
        <w:t xml:space="preserve">Closing note</w:t>
      </w:r>
    </w:p>
    <w:p>
      <w:pPr>
        <w:spacing w:after="120"/>
      </w:pPr>
      <w:r>
        <w:t xml:space="preserve">v5 (revised) differs from v4 on two fronts. On the infrastructure front: main.nf integration (P0-34) and runtime kernel verification (P0-35) are the remaining steps to close the v4 P0 block. P0-35 is live on the GPU queue at write time. On the methodology front: weighted Jaccard (now P0-38) joins the P0 block to front-load the Task 7 metric set, negative controls (Task 6) land alongside, and the rational-engineering validation framing is baked into the Task 7 spec rather than standing as its own task.</w:t>
      </w:r>
    </w:p>
    <w:p>
      <w:pPr>
        <w:spacing w:after="120"/>
      </w:pPr>
      <w:r>
        <w:t xml:space="preserve">The v3 closing note said the shift was “from ranker reliability to integration plus generalisation.” The v4 note said “from designing the orthogonal-validation stack to wiring it into production.” v5’s shift is subtler: “from building the validation apparatus to pointing it at the right target.” Both halves of that sentence still matter.</w:t>
      </w:r>
    </w:p>
    <w:p>
      <w:pPr>
        <w:spacing w:after="120"/>
      </w:pPr>
      <w:r>
        <w:t xml:space="preserve">Revisit this list after P0-34 + P0-35 + P0-38 close, plus Task 6. The next substantive scope change will come when Task 7’s three-target data lands — Task 8’s AUROC will tell us which of {ra_eff, iRMSD} and which of {true_jaccard, weighted_jaccard} and (conditionally) which of {dockq_vs_rfdiff, dockq_vs_experimental} actually discriminates on this system. At that point the composite score gets retuned once, and the remaining P1/P2 work stops being hypothetical.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2026-04-22T10:58:38.161Z</dcterms:created>
  <dcterms:modified xsi:type="dcterms:W3CDTF">2026-04-22T10:58:38.163Z</dcterms:modified>
</cp:coreProperties>
</file>

<file path=docProps/custom.xml><?xml version="1.0" encoding="utf-8"?>
<Properties xmlns="http://schemas.openxmlformats.org/officeDocument/2006/custom-properties" xmlns:vt="http://schemas.openxmlformats.org/officeDocument/2006/docPropsVTypes"/>
</file>