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toplast-assays-handbook"/>
    <w:p>
      <w:pPr>
        <w:pStyle w:val="Heading1"/>
      </w:pPr>
      <w:r>
        <w:t xml:space="preserve">Protoplast Assays Handbook</w:t>
      </w:r>
    </w:p>
    <w:bookmarkStart w:id="20" w:name="X6264521086b9573724d1747c68fd815d92ac797"/>
    <w:p>
      <w:pPr>
        <w:pStyle w:val="Heading2"/>
      </w:pPr>
      <w:r>
        <w:t xml:space="preserve">A Practical Guide for the Banfield Lab (JIC)</w:t>
      </w:r>
    </w:p>
    <w:p>
      <w:pPr>
        <w:pStyle w:val="FirstParagraph"/>
      </w:pPr>
      <w:r>
        <w:rPr>
          <w:i/>
          <w:iCs/>
        </w:rPr>
        <w:t xml:space="preserve">Compiled from: Yu et al. (2025, submitted to Science) supplementary methods — the primary documented source for the Banfield lab protoplast protocol; Clemence’s WTK4 protoplast data (Nov–Dec 2025); Yuxuan’s Pik protoplast data (May 2024); Raf’s protoplast analysis R script (Rscript-protoplastRAF). Underlying protocol originally from: Saur, I.M.L., Bauer, S., Lu, X. and Schulze-Lefert, P. (2019)</w:t>
      </w:r>
      <w:r>
        <w:rPr>
          <w:i/>
          <w:iCs/>
        </w:rPr>
        <w:t xml:space="preserve"> </w:t>
      </w:r>
      <w:r>
        <w:rPr>
          <w:i/>
          <w:iCs/>
        </w:rPr>
        <w:t xml:space="preserve">“A cell death assay in barley and wheat protoplasts for identification and validation of matching pathogen AVR effector and plant NLR immune receptors”</w:t>
      </w:r>
      <w:r>
        <w:rPr>
          <w:i/>
          <w:iCs/>
        </w:rPr>
        <w:t xml:space="preserve">, Plant Methods 16:110; isolation protocol from Knight, Winfield, Goldson, Bargmann and Borrill (ref. 53 in Yu et al.).</w:t>
      </w:r>
    </w:p>
    <w:p>
      <w:pPr>
        <w:pStyle w:val="BodyText"/>
      </w:pPr>
      <w:r>
        <w:rPr>
          <w:b/>
          <w:bCs/>
        </w:rPr>
        <w:t xml:space="preserve">Note on coverage:</w:t>
      </w:r>
      <w:r>
        <w:t xml:space="preserve"> </w:t>
      </w:r>
      <w:r>
        <w:t xml:space="preserve">The fully documented protoplast protocol on the shared drive (and in this handbook) is for</w:t>
      </w:r>
      <w:r>
        <w:t xml:space="preserve"> </w:t>
      </w:r>
      <w:r>
        <w:rPr>
          <w:b/>
          <w:bCs/>
        </w:rPr>
        <w:t xml:space="preserve">wheat (Kronos cv.) protoplasts</w:t>
      </w:r>
      <w:r>
        <w:t xml:space="preserve"> </w:t>
      </w:r>
      <w:r>
        <w:t xml:space="preserve">used for TKP assays. The Banfield lab also uses rice protoplasts for Pik NLR assays (Yuxuan’s work with Pikm1/Pikm2/AVR-PikD, constructs in</w:t>
      </w:r>
      <w:r>
        <w:t xml:space="preserve"> </w:t>
      </w:r>
      <w:r>
        <w:rPr>
          <w:rStyle w:val="VerbatimChar"/>
        </w:rPr>
        <w:t xml:space="preserve">Yuxuan/plasmid/Pik protoplast constructs/</w:t>
      </w:r>
      <w:r>
        <w:t xml:space="preserve">), but no documented rice protoplast protocol exists on the shared drive — this is likely stored on LabArchives. The wheat and rice protocols share the same basic principle but differ in plant material, growth conditions, and buffer osmolarity. Where rice-specific details are known, they are noted.</w:t>
      </w:r>
    </w:p>
    <w:p>
      <w:pPr>
        <w:pStyle w:val="BodyText"/>
      </w:pPr>
      <w:r>
        <w:rPr>
          <w:b/>
          <w:bCs/>
        </w:rPr>
        <w:t xml:space="preserve">Note on assays:</w:t>
      </w:r>
      <w:r>
        <w:t xml:space="preserve"> </w:t>
      </w:r>
      <w:r>
        <w:t xml:space="preserve">The Banfield lab uses two related but distinct assays involving plant cells and reporter readouts. Only the first involves actual protoplasts: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Protoplast luciferase cell death assay</w:t>
      </w:r>
      <w:r>
        <w:t xml:space="preserve"> </w:t>
      </w:r>
      <w:r>
        <w:t xml:space="preserve">— isolated protoplasts, PEG-calcium transfection, luciferase viability readout. Covered in Parts 1–4.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Split-GAL4 RUBY assay</w:t>
      </w:r>
      <w:r>
        <w:t xml:space="preserve"> </w:t>
      </w:r>
      <w:r>
        <w:t xml:space="preserve">— agroinfiltration of intact</w:t>
      </w:r>
      <w:r>
        <w:t xml:space="preserve"> </w:t>
      </w:r>
      <w:r>
        <w:rPr>
          <w:i/>
          <w:iCs/>
        </w:rPr>
        <w:t xml:space="preserve">N. benthamiana</w:t>
      </w:r>
      <w:r>
        <w:t xml:space="preserve"> </w:t>
      </w:r>
      <w:r>
        <w:t xml:space="preserve">leaves (not protoplasts), split transcription factor reconstitution, betalain colour readout. Covered in Part 5.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rt-1-overview-and-principle"/>
    <w:p>
      <w:pPr>
        <w:pStyle w:val="Heading1"/>
      </w:pPr>
      <w:r>
        <w:t xml:space="preserve">PART 1: OVERVIEW AND PRINCIPLE</w:t>
      </w:r>
    </w:p>
    <w:bookmarkStart w:id="22" w:name="what-the-protoplast-assay-measures"/>
    <w:p>
      <w:pPr>
        <w:pStyle w:val="Heading2"/>
      </w:pPr>
      <w:r>
        <w:t xml:space="preserve">1.1 What the Protoplast Assay Measures</w:t>
      </w:r>
    </w:p>
    <w:p>
      <w:pPr>
        <w:pStyle w:val="FirstParagraph"/>
      </w:pPr>
      <w:r>
        <w:t xml:space="preserve">The protoplast luciferase assay is a cell-based assay used to determine whether an NLR immune receptor (or TKP — tandem kinase protein) recognises a given effector and triggers an immune response (cell death). It is particularly valuable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Wheat and barley TKPs</w:t>
      </w:r>
      <w:r>
        <w:t xml:space="preserve"> </w:t>
      </w:r>
      <w:r>
        <w:t xml:space="preserve">(Rmo2, Rwt7, WTK4 and related proteins), where</w:t>
      </w:r>
      <w:r>
        <w:t xml:space="preserve"> </w:t>
      </w:r>
      <w:r>
        <w:rPr>
          <w:i/>
          <w:iCs/>
        </w:rPr>
        <w:t xml:space="preserve">N. benthamiana</w:t>
      </w:r>
      <w:r>
        <w:t xml:space="preserve"> </w:t>
      </w:r>
      <w:r>
        <w:t xml:space="preserve">agroinfiltration does not give robust cell death readouts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 allelic effectors</w:t>
      </w:r>
      <w:r>
        <w:t xml:space="preserve"> </w:t>
      </w:r>
      <w:r>
        <w:t xml:space="preserve">against a single receptor (or vice versa) at scale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Validating engineering</w:t>
      </w:r>
      <w:r>
        <w:t xml:space="preserve"> </w:t>
      </w:r>
      <w:r>
        <w:t xml:space="preserve">of receptor specificity (e.g., HMA domain swaps)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Screening candidate effector–receptor pairs</w:t>
      </w:r>
      <w:r>
        <w:t xml:space="preserve"> </w:t>
      </w:r>
      <w:r>
        <w:t xml:space="preserve">before committing to stable plant transformation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A DNA construct encoding the NLR/TKP (the</w:t>
      </w:r>
      <w:r>
        <w:t xml:space="preserve"> </w:t>
      </w:r>
      <w:r>
        <w:t xml:space="preserve">“receptor”</w:t>
      </w:r>
      <w:r>
        <w:t xml:space="preserve">) and a separate construct encoding the effector are co-delivered into isolated protoplasts by PEG-calcium transfection. A third construct encoding a luciferase reporter (constitutively expressed under a 35S or ubiquitin promoter) is co-transfected as a viability readout. When the NLR/TKP recognises the effector, it triggers cell death in the protoplast, which reduces luciferase activity. Thus: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 luciferase signal</w:t>
      </w:r>
      <w:r>
        <w:t xml:space="preserve"> </w:t>
      </w:r>
      <w:r>
        <w:t xml:space="preserve">= no recognition = no cell death = compatible pair (the effector evades the receptor)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luciferase signal</w:t>
      </w:r>
      <w:r>
        <w:t xml:space="preserve"> </w:t>
      </w:r>
      <w:r>
        <w:t xml:space="preserve">= recognition = cell death = incompatible pair (the effector triggers the receptor)</w:t>
      </w:r>
    </w:p>
    <w:p>
      <w:pPr>
        <w:pStyle w:val="FirstParagraph"/>
      </w:pPr>
      <w:r>
        <w:t xml:space="preserve">Results are expressed as</w:t>
      </w:r>
      <w:r>
        <w:t xml:space="preserve"> </w:t>
      </w:r>
      <w:r>
        <w:rPr>
          <w:b/>
          <w:bCs/>
        </w:rPr>
        <w:t xml:space="preserve">relative luciferase activity</w:t>
      </w:r>
      <w:r>
        <w:t xml:space="preserve"> </w:t>
      </w:r>
      <w:r>
        <w:t xml:space="preserve">normalised against a negative control (typically a non-recognised effector mutant such as PBY2-E42R or PWT7-N39R for the TKP system).</w:t>
      </w:r>
    </w:p>
    <w:bookmarkEnd w:id="22"/>
    <w:bookmarkStart w:id="23" w:name="X768de0e40871ec4d93ac4d3762ed8bf9c1347ae"/>
    <w:p>
      <w:pPr>
        <w:pStyle w:val="Heading2"/>
      </w:pPr>
      <w:r>
        <w:t xml:space="preserve">1.2 The Two Main Protoplast Systems Used in the Banfield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Plant material</w:t>
            </w:r>
          </w:p>
        </w:tc>
        <w:tc>
          <w:tcPr/>
          <w:p>
            <w:pPr>
              <w:pStyle w:val="Compact"/>
            </w:pPr>
            <w:r>
              <w:t xml:space="preserve">NLRs/TKPs tested</w:t>
            </w:r>
          </w:p>
        </w:tc>
        <w:tc>
          <w:tcPr/>
          <w:p>
            <w:pPr>
              <w:pStyle w:val="Compact"/>
            </w:pPr>
            <w:r>
              <w:t xml:space="preserve">Effectors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Wheat (Kronos)</w:t>
            </w:r>
          </w:p>
        </w:tc>
        <w:tc>
          <w:tcPr/>
          <w:p>
            <w:pPr>
              <w:pStyle w:val="Compact"/>
            </w:pPr>
            <w:r>
              <w:t xml:space="preserve">8–9-day-old dark-grown seedlings</w:t>
            </w:r>
          </w:p>
        </w:tc>
        <w:tc>
          <w:tcPr/>
          <w:p>
            <w:pPr>
              <w:pStyle w:val="Compact"/>
            </w:pPr>
            <w:r>
              <w:t xml:space="preserve">Rmo2, Rwt7, WTK4</w:t>
            </w:r>
          </w:p>
        </w:tc>
        <w:tc>
          <w:tcPr/>
          <w:p>
            <w:pPr>
              <w:pStyle w:val="Compact"/>
            </w:pPr>
            <w:r>
              <w:t xml:space="preserve">PBY2, PWT7 and mutants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Not documented on shared drive</w:t>
            </w:r>
          </w:p>
        </w:tc>
        <w:tc>
          <w:tcPr/>
          <w:p>
            <w:pPr>
              <w:pStyle w:val="Compact"/>
            </w:pPr>
            <w:r>
              <w:t xml:space="preserve">Pikm-1, Pikm-2, Pikp-1, Pikp-2</w:t>
            </w:r>
          </w:p>
        </w:tc>
        <w:tc>
          <w:tcPr/>
          <w:p>
            <w:pPr>
              <w:pStyle w:val="Compact"/>
            </w:pPr>
            <w:r>
              <w:t xml:space="preserve">AVR-PikD, AVR-PikF, FosP, PWL2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rice system uses the same basic principle but different plant material, growth conditions, and likely different buffer osmolarity. Constructs for the rice system use the LV0 backbone pICH41308, with a maize luciferase (Zm-Luciferase) reporter driven by the 35S promoter and RFP as a normalisation control. Refer to LabArchives for the rice-specific protocol.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plant-growth-wheat-kronos"/>
    <w:p>
      <w:pPr>
        <w:pStyle w:val="Heading1"/>
      </w:pPr>
      <w:r>
        <w:t xml:space="preserve">PART 2: PLANT GROWTH — WHEAT (KRONOS)</w:t>
      </w:r>
    </w:p>
    <w:bookmarkStart w:id="25" w:name="kronos-wheat-seedlings"/>
    <w:p>
      <w:pPr>
        <w:pStyle w:val="Heading2"/>
      </w:pPr>
      <w:r>
        <w:t xml:space="preserve">2.1 Kronos Wheat Seedlings</w:t>
      </w:r>
    </w:p>
    <w:p>
      <w:pPr>
        <w:pStyle w:val="FirstParagraph"/>
      </w:pPr>
      <w:r>
        <w:t xml:space="preserve">The protoplast protocol uses</w:t>
      </w:r>
      <w:r>
        <w:t xml:space="preserve"> </w:t>
      </w:r>
      <w:r>
        <w:rPr>
          <w:b/>
          <w:bCs/>
        </w:rPr>
        <w:t xml:space="preserve">etiolated (dark-grown) wheat seedlings</w:t>
      </w:r>
      <w:r>
        <w:t xml:space="preserve"> </w:t>
      </w:r>
      <w:r>
        <w:t xml:space="preserve">from the Kronos variety (diploid wheat,</w:t>
      </w:r>
      <w:r>
        <w:t xml:space="preserve"> </w:t>
      </w:r>
      <w:r>
        <w:rPr>
          <w:i/>
          <w:iCs/>
        </w:rPr>
        <w:t xml:space="preserve">T. turgidum</w:t>
      </w:r>
      <w:r>
        <w:t xml:space="preserve"> </w:t>
      </w:r>
      <w:r>
        <w:t xml:space="preserve">ssp.</w:t>
      </w:r>
      <w:r>
        <w:t xml:space="preserve"> </w:t>
      </w:r>
      <w:r>
        <w:rPr>
          <w:i/>
          <w:iCs/>
        </w:rPr>
        <w:t xml:space="preserve">durum</w:t>
      </w:r>
      <w:r>
        <w:t xml:space="preserve">). Dark growth is essential — etiolation greatly increases mesophyll cell yield and protoplast quality.</w:t>
      </w:r>
    </w:p>
    <w:p>
      <w:pPr>
        <w:pStyle w:val="Compact"/>
        <w:numPr>
          <w:ilvl w:val="0"/>
          <w:numId w:val="1004"/>
        </w:numPr>
      </w:pPr>
      <w:r>
        <w:t xml:space="preserve">Surface-sterilise Kronos wheat seeds if required (70% ethanol 1 min; 10% bleach 10 min; rinse 3× sterile water).</w:t>
      </w:r>
    </w:p>
    <w:p>
      <w:pPr>
        <w:pStyle w:val="Compact"/>
        <w:numPr>
          <w:ilvl w:val="0"/>
          <w:numId w:val="1004"/>
        </w:numPr>
      </w:pPr>
      <w:r>
        <w:t xml:space="preserve">Germinate and grow seedlings on damp filter paper or moist soil/vermiculite in</w:t>
      </w:r>
      <w:r>
        <w:t xml:space="preserve"> </w:t>
      </w:r>
      <w:r>
        <w:rPr>
          <w:b/>
          <w:bCs/>
        </w:rPr>
        <w:t xml:space="preserve">complete darkness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22–25°C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Grow for</w:t>
      </w:r>
      <w:r>
        <w:t xml:space="preserve"> </w:t>
      </w:r>
      <w:r>
        <w:rPr>
          <w:b/>
          <w:bCs/>
        </w:rPr>
        <w:t xml:space="preserve">8–9 days</w:t>
      </w:r>
      <w:r>
        <w:t xml:space="preserve">. Seedlings should be pale yellow/white (fully etiolated) with elongated coleoptiles.</w:t>
      </w:r>
    </w:p>
    <w:p>
      <w:pPr>
        <w:pStyle w:val="Compact"/>
        <w:numPr>
          <w:ilvl w:val="0"/>
          <w:numId w:val="1004"/>
        </w:numPr>
      </w:pPr>
      <w:r>
        <w:t xml:space="preserve">Harvest leaves (coleoptile and first true leaf) on the morning of the protoplast preparation day.</w:t>
      </w:r>
    </w:p>
    <w:p>
      <w:pPr>
        <w:pStyle w:val="FirstParagraph"/>
      </w:pPr>
      <w:r>
        <w:rPr>
          <w:i/>
          <w:iCs/>
        </w:rPr>
        <w:t xml:space="preserve">The 8–9 day window is important — seedlings younger than 8 days give poor yield; older than 9–10 days give lower quality protoplasts with increased cell death background.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art-3-buffers-and-solutions"/>
    <w:p>
      <w:pPr>
        <w:pStyle w:val="Heading1"/>
      </w:pPr>
      <w:r>
        <w:t xml:space="preserve">PART 3: BUFFERS AND SOLUTIONS</w:t>
      </w:r>
    </w:p>
    <w:p>
      <w:pPr>
        <w:pStyle w:val="FirstParagraph"/>
      </w:pPr>
      <w:r>
        <w:t xml:space="preserve">Make all buffers fresh or in advance as stated. Use high-purity water (MilliQ or equivalent) throughout.</w:t>
      </w:r>
    </w:p>
    <w:bookmarkStart w:id="27" w:name="plasmolysis-buffer"/>
    <w:p>
      <w:pPr>
        <w:pStyle w:val="Heading2"/>
      </w:pPr>
      <w:r>
        <w:t xml:space="preserve">3.1 Plasmolysis Buffer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concentration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750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1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MES-KOH</w:t>
            </w:r>
          </w:p>
        </w:tc>
        <w:tc>
          <w:tcPr/>
          <w:p>
            <w:pPr>
              <w:pStyle w:val="Compact"/>
            </w:pPr>
            <w:r>
              <w:t xml:space="preserve">15 mM, pH 5.8–6.0</w:t>
            </w:r>
          </w:p>
        </w:tc>
        <w:tc>
          <w:tcPr/>
          <w:p>
            <w:pPr>
              <w:pStyle w:val="Compact"/>
            </w:pPr>
            <w:r>
              <w:t xml:space="preserve">Adjust with KOH</w:t>
            </w:r>
          </w:p>
        </w:tc>
      </w:tr>
    </w:tbl>
    <w:p>
      <w:pPr>
        <w:pStyle w:val="BodyText"/>
      </w:pPr>
      <w:r>
        <w:rPr>
          <w:i/>
          <w:iCs/>
        </w:rPr>
        <w:t xml:space="preserve">Used to initially plasmolysed the leaf cells before enzyme digestion. Can be made in advance and stored at 4°C.</w:t>
      </w:r>
    </w:p>
    <w:bookmarkEnd w:id="27"/>
    <w:bookmarkStart w:id="28" w:name="enzyme-solution-make-fresh-on-day-of-use"/>
    <w:p>
      <w:pPr>
        <w:pStyle w:val="Heading2"/>
      </w:pPr>
      <w:r>
        <w:t xml:space="preserve">3.2 Enzyme Solution (make fresh on day of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concentration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Cellulase RS (Yakult)</w:t>
            </w:r>
          </w:p>
        </w:tc>
        <w:tc>
          <w:tcPr/>
          <w:p>
            <w:pPr>
              <w:pStyle w:val="Compact"/>
            </w:pPr>
            <w:r>
              <w:t xml:space="preserve">1.5% w/v</w:t>
            </w:r>
          </w:p>
        </w:tc>
        <w:tc>
          <w:tcPr/>
          <w:p>
            <w:pPr>
              <w:pStyle w:val="Compact"/>
            </w:pPr>
            <w:r>
              <w:t xml:space="preserve">Digest cellulose of cell walls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Macerozyme R10 (Yakult)</w:t>
            </w:r>
          </w:p>
        </w:tc>
        <w:tc>
          <w:tcPr/>
          <w:p>
            <w:pPr>
              <w:pStyle w:val="Compact"/>
            </w:pPr>
            <w:r>
              <w:t xml:space="preserve">0.5% w/v</w:t>
            </w:r>
          </w:p>
        </w:tc>
        <w:tc>
          <w:tcPr/>
          <w:p>
            <w:pPr>
              <w:pStyle w:val="Compact"/>
            </w:pPr>
            <w:r>
              <w:t xml:space="preserve">Digest pectin of middle lamella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600 mM</w:t>
            </w:r>
          </w:p>
        </w:tc>
        <w:tc>
          <w:tcPr/>
          <w:p>
            <w:pPr>
              <w:pStyle w:val="Compact"/>
            </w:pPr>
            <w:r>
              <w:t xml:space="preserve">Osmoticum — maintains cell turgor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MES-KOH</w:t>
            </w:r>
          </w:p>
        </w:tc>
        <w:tc>
          <w:tcPr/>
          <w:p>
            <w:pPr>
              <w:pStyle w:val="Compact"/>
            </w:pPr>
            <w:r>
              <w:t xml:space="preserve">10 mM, pH 5.7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1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BSA</w:t>
            </w:r>
          </w:p>
        </w:tc>
        <w:tc>
          <w:tcPr/>
          <w:p>
            <w:pPr>
              <w:pStyle w:val="Compact"/>
            </w:pPr>
            <w:r>
              <w:t xml:space="preserve">0.1% w/v</w:t>
            </w:r>
          </w:p>
        </w:tc>
        <w:tc>
          <w:tcPr/>
          <w:p>
            <w:pPr>
              <w:pStyle w:val="Compact"/>
            </w:pPr>
            <w:r>
              <w:t xml:space="preserve">Protects protoplast membranes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Dissolve enzymes in buffer without BSA first, warming gently if needed (do not exceed 55°C). Add BSA last. Heat the solution to</w:t>
      </w:r>
      <w:r>
        <w:t xml:space="preserve"> </w:t>
      </w:r>
      <w:r>
        <w:rPr>
          <w:b/>
          <w:bCs/>
        </w:rPr>
        <w:t xml:space="preserve">55°C for 10 min</w:t>
      </w:r>
      <w:r>
        <w:t xml:space="preserve"> </w:t>
      </w:r>
      <w:r>
        <w:t xml:space="preserve">then cool to room temperature to inactivate any contaminating nucleases (this step is recommended in the original protocol). Filter-sterilise (0.45 µm) before use.</w:t>
      </w:r>
    </w:p>
    <w:bookmarkEnd w:id="28"/>
    <w:bookmarkStart w:id="29" w:name="w5-buffer-make-in-advance-store-at-4c"/>
    <w:p>
      <w:pPr>
        <w:pStyle w:val="Heading2"/>
      </w:pPr>
      <w:r>
        <w:t xml:space="preserve">3.3 W5 Buffer (make in advance, store at 4°C)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125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154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MES-KOH</w:t>
            </w:r>
          </w:p>
        </w:tc>
        <w:tc>
          <w:tcPr/>
          <w:p>
            <w:pPr>
              <w:pStyle w:val="Compact"/>
            </w:pPr>
            <w:r>
              <w:t xml:space="preserve">2 mM, pH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</w:tbl>
    <w:p>
      <w:pPr>
        <w:pStyle w:val="BodyText"/>
      </w:pPr>
      <w:r>
        <w:rPr>
          <w:i/>
          <w:iCs/>
        </w:rPr>
        <w:t xml:space="preserve">Used to wash protoplasts after digestion. High CaCl₂ stabilises the protoplast membrane. Keep ice-cold.</w:t>
      </w:r>
    </w:p>
    <w:bookmarkEnd w:id="29"/>
    <w:bookmarkStart w:id="30" w:name="mmg-buffer-make-in-advance-store-at-4c"/>
    <w:p>
      <w:pPr>
        <w:pStyle w:val="Heading2"/>
      </w:pPr>
      <w:r>
        <w:t xml:space="preserve">3.4 MMG Buffer (make in advance, store at 4°C)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</w:pPr>
            <w:r>
              <w:t xml:space="preserve">15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MES-KOH</w:t>
            </w:r>
          </w:p>
        </w:tc>
        <w:tc>
          <w:tcPr/>
          <w:p>
            <w:pPr>
              <w:pStyle w:val="Compact"/>
            </w:pPr>
            <w:r>
              <w:t xml:space="preserve">4 mM, pH 5.7</w:t>
            </w:r>
          </w:p>
        </w:tc>
      </w:tr>
    </w:tbl>
    <w:p>
      <w:pPr>
        <w:pStyle w:val="BodyText"/>
      </w:pPr>
      <w:r>
        <w:rPr>
          <w:i/>
          <w:iCs/>
        </w:rPr>
        <w:t xml:space="preserve">Used to resuspend protoplasts immediately before transfection. MgCl₂ facilitates PEG uptake.</w:t>
      </w:r>
    </w:p>
    <w:bookmarkEnd w:id="30"/>
    <w:bookmarkStart w:id="31" w:name="Xe833bba02c3e69694c26178cb15b126befe038c"/>
    <w:p>
      <w:pPr>
        <w:pStyle w:val="Heading2"/>
      </w:pPr>
      <w:r>
        <w:t xml:space="preserve">3.5 PEG-Calcium Solution (make fresh on day of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concentration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PEG4000</w:t>
            </w:r>
          </w:p>
        </w:tc>
        <w:tc>
          <w:tcPr/>
          <w:p>
            <w:pPr>
              <w:pStyle w:val="Compact"/>
            </w:pPr>
            <w:r>
              <w:t xml:space="preserve">40% w/v</w:t>
            </w:r>
          </w:p>
        </w:tc>
        <w:tc>
          <w:tcPr/>
          <w:p>
            <w:pPr>
              <w:pStyle w:val="Compact"/>
            </w:pPr>
            <w:r>
              <w:t xml:space="preserve">Use molecular biology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80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Ca(NO₃)₂</w:t>
            </w:r>
          </w:p>
        </w:tc>
        <w:tc>
          <w:tcPr/>
          <w:p>
            <w:pPr>
              <w:pStyle w:val="Compact"/>
            </w:pPr>
            <w:r>
              <w:t xml:space="preserve">20 mM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Dissolve PEG4000 in warm water first, then add mannitol and Ca(NO₃)₂. PEG4000 at 40% is quite viscous — weigh directly into the tube and add water, rather than trying to pipette from a stock. Filter-sterilise if possible, otherwise prepare in a sterile tube. The solution is stable for a few hours at room temperature.</w:t>
      </w:r>
    </w:p>
    <w:bookmarkEnd w:id="31"/>
    <w:bookmarkStart w:id="32" w:name="X34d0678572fa9a062588baf7c5017c3af576ae5"/>
    <w:p>
      <w:pPr>
        <w:pStyle w:val="Heading2"/>
      </w:pPr>
      <w:r>
        <w:t xml:space="preserve">3.6 PIM Buffer (Protoplast Incubation Medium — make in advance)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Final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MES-KOH</w:t>
            </w:r>
          </w:p>
        </w:tc>
        <w:tc>
          <w:tcPr/>
          <w:p>
            <w:pPr>
              <w:pStyle w:val="Compact"/>
            </w:pPr>
            <w:r>
              <w:t xml:space="preserve">4 mM, pH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</w:tr>
    </w:tbl>
    <w:p>
      <w:pPr>
        <w:pStyle w:val="BodyText"/>
      </w:pPr>
      <w:r>
        <w:rPr>
          <w:i/>
          <w:iCs/>
        </w:rPr>
        <w:t xml:space="preserve">Used to incubate protoplasts overnight after transfection. Supports protoplast viability and gene expression.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2f457bb88a1aa17734b4a3069c34c4b7652c7fd"/>
    <w:p>
      <w:pPr>
        <w:pStyle w:val="Heading1"/>
      </w:pPr>
      <w:r>
        <w:t xml:space="preserve">PART 4: PROTOPLAST ISOLATION AND TRANSFECTION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The entire isolation-to-transfection process takes approximately 6–7 hours. Plan accordingly: if you want to read luciferase the following afternoon (18–20 h later), start the isolation at ~8–9 am.</w:t>
      </w:r>
    </w:p>
    <w:p>
      <w:pPr>
        <w:pStyle w:val="BodyText"/>
      </w:pPr>
      <w:r>
        <w:rPr>
          <w:b/>
          <w:bCs/>
        </w:rPr>
        <w:t xml:space="preserve">General rules throughout:</w:t>
      </w:r>
      <w:r>
        <w:t xml:space="preserve"> </w:t>
      </w:r>
      <w:r>
        <w:t xml:space="preserve">- Keep protoplasts away from bright light at all times — work in dim light or under green-safe lighting</w:t>
      </w:r>
      <w:r>
        <w:t xml:space="preserve"> </w:t>
      </w:r>
      <w:r>
        <w:t xml:space="preserve">- Keep buffers ice-cold during washing steps</w:t>
      </w:r>
      <w:r>
        <w:t xml:space="preserve"> </w:t>
      </w:r>
      <w:r>
        <w:t xml:space="preserve">- Handle protoplasts with wide-bore tips or cut tips — normal thin pipette tips will shear them</w:t>
      </w:r>
      <w:r>
        <w:t xml:space="preserve"> </w:t>
      </w:r>
      <w:r>
        <w:t xml:space="preserve">- All centrifuge spins for protoplasts must be</w:t>
      </w:r>
      <w:r>
        <w:t xml:space="preserve"> </w:t>
      </w:r>
      <w:r>
        <w:rPr>
          <w:b/>
          <w:bCs/>
        </w:rPr>
        <w:t xml:space="preserve">gentle</w:t>
      </w:r>
      <w:r>
        <w:t xml:space="preserve"> </w:t>
      </w:r>
      <w:r>
        <w:t xml:space="preserve">(50–100 × g, swing-out rotor)</w:t>
      </w:r>
    </w:p>
    <w:bookmarkStart w:id="34" w:name="leaf-harvesting-and-cutting"/>
    <w:p>
      <w:pPr>
        <w:pStyle w:val="Heading2"/>
      </w:pPr>
      <w:r>
        <w:t xml:space="preserve">4.1 Leaf Harvesting and Cutting</w:t>
      </w:r>
    </w:p>
    <w:p>
      <w:pPr>
        <w:pStyle w:val="Compact"/>
        <w:numPr>
          <w:ilvl w:val="0"/>
          <w:numId w:val="1005"/>
        </w:numPr>
      </w:pPr>
      <w:r>
        <w:t xml:space="preserve">Harvest the</w:t>
      </w:r>
      <w:r>
        <w:t xml:space="preserve"> </w:t>
      </w:r>
      <w:r>
        <w:rPr>
          <w:b/>
          <w:bCs/>
        </w:rPr>
        <w:t xml:space="preserve">coleoptile and first true leaf</w:t>
      </w:r>
      <w:r>
        <w:t xml:space="preserve"> </w:t>
      </w:r>
      <w:r>
        <w:t xml:space="preserve">from 8–9-day-old dark-grown Kronos seedlings. Aim for ~1 g of leaf tissue per protoplast preparation (yields ~10⁶ protoplasts).</w:t>
      </w:r>
    </w:p>
    <w:p>
      <w:pPr>
        <w:pStyle w:val="Compact"/>
        <w:numPr>
          <w:ilvl w:val="0"/>
          <w:numId w:val="1005"/>
        </w:numPr>
      </w:pPr>
      <w:r>
        <w:t xml:space="preserve">Using a clean razor blade or scalpel on a ceramic tile, cut the leaves into</w:t>
      </w:r>
      <w:r>
        <w:t xml:space="preserve"> </w:t>
      </w:r>
      <w:r>
        <w:rPr>
          <w:b/>
          <w:bCs/>
        </w:rPr>
        <w:t xml:space="preserve">0.5–1 mm transverse strips</w:t>
      </w:r>
      <w:r>
        <w:t xml:space="preserve">. Thin, consistent cuts are critical for efficient enzyme access.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Immediately submerge the cut strips in plasmolysis buffer</w:t>
      </w:r>
      <w:r>
        <w:t xml:space="preserve"> </w:t>
      </w:r>
      <w:r>
        <w:t xml:space="preserve">in a petri dish. Incubate for</w:t>
      </w:r>
      <w:r>
        <w:t xml:space="preserve"> </w:t>
      </w:r>
      <w:r>
        <w:rPr>
          <w:b/>
          <w:bCs/>
        </w:rPr>
        <w:t xml:space="preserve">15–20 minutes</w:t>
      </w:r>
      <w:r>
        <w:t xml:space="preserve"> </w:t>
      </w:r>
      <w:r>
        <w:t xml:space="preserve">at room temperature to allow plasmolysis before enzyme addition.</w:t>
      </w:r>
    </w:p>
    <w:bookmarkEnd w:id="34"/>
    <w:bookmarkStart w:id="35" w:name="enzyme-digestion"/>
    <w:p>
      <w:pPr>
        <w:pStyle w:val="Heading2"/>
      </w:pPr>
      <w:r>
        <w:t xml:space="preserve">4.2 Enzyme Digestion</w:t>
      </w:r>
    </w:p>
    <w:p>
      <w:pPr>
        <w:pStyle w:val="Compact"/>
        <w:numPr>
          <w:ilvl w:val="0"/>
          <w:numId w:val="1006"/>
        </w:numPr>
      </w:pPr>
      <w:r>
        <w:t xml:space="preserve">Transfer the plasmolysed leaf strips to the enzyme solution (~10 ml per gram of tissue).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Vacuum infiltrate</w:t>
      </w:r>
      <w:r>
        <w:t xml:space="preserve"> </w:t>
      </w:r>
      <w:r>
        <w:t xml:space="preserve">the leaf strips: place the petri dish in a vacuum desiccator, apply gentle vacuum for 30 minutes (until leaf strips become translucent and sink), then slowly release the vacuum.</w:t>
      </w:r>
    </w:p>
    <w:p>
      <w:pPr>
        <w:pStyle w:val="Compact"/>
        <w:numPr>
          <w:ilvl w:val="0"/>
          <w:numId w:val="1006"/>
        </w:numPr>
      </w:pPr>
      <w:r>
        <w:t xml:space="preserve">Incubate in the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at room temperature (22–25°C) for</w:t>
      </w:r>
      <w:r>
        <w:t xml:space="preserve"> </w:t>
      </w:r>
      <w:r>
        <w:rPr>
          <w:b/>
          <w:bCs/>
        </w:rPr>
        <w:t xml:space="preserve">4 hours</w:t>
      </w:r>
      <w:r>
        <w:t xml:space="preserve"> </w:t>
      </w:r>
      <w:r>
        <w:t xml:space="preserve">with very gentle agitation (~40 rpm on an orbital shaker or by occasional hand-swirling).</w:t>
      </w:r>
    </w:p>
    <w:p>
      <w:pPr>
        <w:pStyle w:val="FirstParagraph"/>
      </w:pPr>
      <w:r>
        <w:rPr>
          <w:i/>
          <w:iCs/>
        </w:rPr>
        <w:t xml:space="preserve">4 hours is shorter than many published rice protoplast protocols (which use overnight digestion). This shorter window gives good yield for wheat.</w:t>
      </w:r>
    </w:p>
    <w:bookmarkEnd w:id="35"/>
    <w:bookmarkStart w:id="36" w:name="filtering-and-initial-wash"/>
    <w:p>
      <w:pPr>
        <w:pStyle w:val="Heading2"/>
      </w:pPr>
      <w:r>
        <w:t xml:space="preserve">4.3 Filtering and Initial Wash</w:t>
      </w:r>
    </w:p>
    <w:p>
      <w:pPr>
        <w:pStyle w:val="Compact"/>
        <w:numPr>
          <w:ilvl w:val="0"/>
          <w:numId w:val="1007"/>
        </w:numPr>
      </w:pPr>
      <w:r>
        <w:t xml:space="preserve">After digestion, gently swirl the dish to release protoplasts. Filter the solution through a</w:t>
      </w:r>
      <w:r>
        <w:t xml:space="preserve"> </w:t>
      </w:r>
      <w:r>
        <w:rPr>
          <w:b/>
          <w:bCs/>
        </w:rPr>
        <w:t xml:space="preserve">40 µm nylon mesh</w:t>
      </w:r>
      <w:r>
        <w:t xml:space="preserve"> </w:t>
      </w:r>
      <w:r>
        <w:t xml:space="preserve">into a 50 ml falcon tube. Rinse the mesh with a small volume of W5 buffer to recover remaining protoplasts.</w:t>
      </w:r>
    </w:p>
    <w:p>
      <w:pPr>
        <w:pStyle w:val="Compact"/>
        <w:numPr>
          <w:ilvl w:val="0"/>
          <w:numId w:val="1007"/>
        </w:numPr>
      </w:pPr>
      <w:r>
        <w:t xml:space="preserve">Centrifuge at</w:t>
      </w:r>
      <w:r>
        <w:t xml:space="preserve"> </w:t>
      </w:r>
      <w:r>
        <w:rPr>
          <w:b/>
          <w:bCs/>
        </w:rPr>
        <w:t xml:space="preserve">50–100 × g for 3 minutes</w:t>
      </w:r>
      <w:r>
        <w:t xml:space="preserve"> </w:t>
      </w:r>
      <w:r>
        <w:t xml:space="preserve">in a swing-out rotor at room temperature. The protoplasts form a pellet; the green chlorophyll-containing cells will be visible.</w:t>
      </w:r>
      <w:r>
        <w:t xml:space="preserve"> </w:t>
      </w:r>
      <w:r>
        <w:rPr>
          <w:b/>
          <w:bCs/>
        </w:rPr>
        <w:t xml:space="preserve">Carefully remove the supernatant</w:t>
      </w:r>
      <w:r>
        <w:t xml:space="preserve"> </w:t>
      </w:r>
      <w:r>
        <w:t xml:space="preserve">by aspiration — do not disturb the pellet.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Gently resuspend the pellet in cold W5 buffer</w:t>
      </w:r>
      <w:r>
        <w:t xml:space="preserve"> </w:t>
      </w:r>
      <w:r>
        <w:t xml:space="preserve">(~10 ml). Incubate on ice in the dark for</w:t>
      </w:r>
      <w:r>
        <w:t xml:space="preserve"> </w:t>
      </w:r>
      <w:r>
        <w:rPr>
          <w:b/>
          <w:bCs/>
        </w:rPr>
        <w:t xml:space="preserve">30 minutes</w:t>
      </w:r>
      <w:r>
        <w:t xml:space="preserve"> </w:t>
      </w:r>
      <w:r>
        <w:t xml:space="preserve">— this allows protoplasts to recover before transfection.</w:t>
      </w:r>
    </w:p>
    <w:bookmarkEnd w:id="36"/>
    <w:bookmarkStart w:id="37" w:name="X3be25ea2dbaea5eb9b85444ff18fb58005ca2d6"/>
    <w:p>
      <w:pPr>
        <w:pStyle w:val="Heading2"/>
      </w:pPr>
      <w:r>
        <w:t xml:space="preserve">4.4 Protoplast Counting and Resuspension in MMG</w:t>
      </w:r>
    </w:p>
    <w:p>
      <w:pPr>
        <w:pStyle w:val="Compact"/>
        <w:numPr>
          <w:ilvl w:val="0"/>
          <w:numId w:val="1008"/>
        </w:numPr>
      </w:pPr>
      <w:r>
        <w:t xml:space="preserve">After the W5 incubation, centrifuge again at</w:t>
      </w:r>
      <w:r>
        <w:t xml:space="preserve"> </w:t>
      </w:r>
      <w:r>
        <w:rPr>
          <w:b/>
          <w:bCs/>
        </w:rPr>
        <w:t xml:space="preserve">50–100 × g for 3 minutes</w:t>
      </w:r>
      <w:r>
        <w:t xml:space="preserve">. Remove the supernatant.</w:t>
      </w:r>
    </w:p>
    <w:p>
      <w:pPr>
        <w:pStyle w:val="Compact"/>
        <w:numPr>
          <w:ilvl w:val="0"/>
          <w:numId w:val="1008"/>
        </w:numPr>
      </w:pPr>
      <w:r>
        <w:t xml:space="preserve">Count protoplasts using a haemocytometer. Note: use a wide-bore pipette and mix gently — protoplasts are fragile.</w:t>
      </w:r>
    </w:p>
    <w:p>
      <w:pPr>
        <w:pStyle w:val="Compact"/>
        <w:numPr>
          <w:ilvl w:val="0"/>
          <w:numId w:val="1008"/>
        </w:numPr>
      </w:pPr>
      <w:r>
        <w:t xml:space="preserve">Resuspend the pellet in</w:t>
      </w:r>
      <w:r>
        <w:t xml:space="preserve"> </w:t>
      </w:r>
      <w:r>
        <w:rPr>
          <w:b/>
          <w:bCs/>
        </w:rPr>
        <w:t xml:space="preserve">MMG buffer</w:t>
      </w:r>
      <w:r>
        <w:t xml:space="preserve"> </w:t>
      </w:r>
      <w:r>
        <w:t xml:space="preserve">to a concentration of</w:t>
      </w:r>
      <w:r>
        <w:t xml:space="preserve"> </w:t>
      </w:r>
      <w:r>
        <w:rPr>
          <w:b/>
          <w:bCs/>
        </w:rPr>
        <w:t xml:space="preserve">3.5 × 10⁵ protoplasts per ml</w:t>
      </w:r>
      <w:r>
        <w:t xml:space="preserve">.</w:t>
      </w:r>
    </w:p>
    <w:bookmarkEnd w:id="37"/>
    <w:bookmarkStart w:id="38" w:name="dna-preparation"/>
    <w:p>
      <w:pPr>
        <w:pStyle w:val="Heading2"/>
      </w:pPr>
      <w:r>
        <w:t xml:space="preserve">4.5 DNA Preparation</w:t>
      </w:r>
    </w:p>
    <w:p>
      <w:pPr>
        <w:pStyle w:val="Compact"/>
        <w:numPr>
          <w:ilvl w:val="0"/>
          <w:numId w:val="1009"/>
        </w:numPr>
      </w:pPr>
      <w:r>
        <w:t xml:space="preserve">Prepare plasmid DNA at a concentration of</w:t>
      </w:r>
      <w:r>
        <w:t xml:space="preserve"> </w:t>
      </w:r>
      <w:r>
        <w:rPr>
          <w:b/>
          <w:bCs/>
        </w:rPr>
        <w:t xml:space="preserve">1–2 µg/µl</w:t>
      </w:r>
      <w:r>
        <w:t xml:space="preserve"> </w:t>
      </w:r>
      <w:r>
        <w:t xml:space="preserve">in water or TE buffer. DNA should be clean (A260:280 ≥ 1.8, A260:230 ≥ 1.7) — column-purified miniprep or midiprep quality is sufficient.</w:t>
      </w:r>
    </w:p>
    <w:p>
      <w:pPr>
        <w:pStyle w:val="Compact"/>
        <w:numPr>
          <w:ilvl w:val="0"/>
          <w:numId w:val="1009"/>
        </w:numPr>
      </w:pPr>
      <w:r>
        <w:t xml:space="preserve">For each transfection reaction, prepare DNA in a</w:t>
      </w:r>
      <w:r>
        <w:t xml:space="preserve"> </w:t>
      </w:r>
      <w:r>
        <w:rPr>
          <w:b/>
          <w:bCs/>
        </w:rPr>
        <w:t xml:space="preserve">2 ml Eppendorf tube: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TKP/receptor (e.g., pZH2Bik-Rmo2)</w:t>
            </w:r>
          </w:p>
        </w:tc>
        <w:tc>
          <w:tcPr/>
          <w:p>
            <w:pPr>
              <w:pStyle w:val="Compact"/>
            </w:pPr>
            <w:r>
              <w:t xml:space="preserve">10 µg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Effector (e.g., pZH2Bik-PBY2)</w:t>
            </w:r>
          </w:p>
        </w:tc>
        <w:tc>
          <w:tcPr/>
          <w:p>
            <w:pPr>
              <w:pStyle w:val="Compact"/>
            </w:pPr>
            <w:r>
              <w:t xml:space="preserve">10 µg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Luciferase reporter</w:t>
            </w:r>
          </w:p>
        </w:tc>
        <w:tc>
          <w:tcPr/>
          <w:p>
            <w:pPr>
              <w:pStyle w:val="Compact"/>
            </w:pPr>
            <w:r>
              <w:t xml:space="preserve">40 µg</w:t>
            </w:r>
          </w:p>
        </w:tc>
      </w:tr>
    </w:tbl>
    <w:p>
      <w:pPr>
        <w:pStyle w:val="BodyText"/>
      </w:pPr>
      <w:r>
        <w:rPr>
          <w:i/>
          <w:iCs/>
        </w:rPr>
        <w:t xml:space="preserve">Total DNA: ~60 µg per 200 µl transfection reaction. The high luciferase amount (4× more than receptor or effector) ensures a robust baseline signal. Include all appropriate controls (negative control = mutant effector that doesn’t trigger the receptor; positive control = wild-type effector with a recognised receptor allele).</w:t>
      </w:r>
    </w:p>
    <w:p>
      <w:pPr>
        <w:pStyle w:val="BodyText"/>
      </w:pPr>
      <w:r>
        <w:rPr>
          <w:i/>
          <w:iCs/>
        </w:rPr>
        <w:t xml:space="preserve">For the Pik rice system (Yuxuan’s constructs), the maize luciferase (Zm-Luciferase) is used as the reporter with RFP as a normalisation control, in the pICH41308 backbone.</w:t>
      </w:r>
    </w:p>
    <w:bookmarkEnd w:id="38"/>
    <w:bookmarkStart w:id="39" w:name="peg-calcium-transfection"/>
    <w:p>
      <w:pPr>
        <w:pStyle w:val="Heading2"/>
      </w:pPr>
      <w:r>
        <w:t xml:space="preserve">4.6 PEG-Calcium Transfection</w:t>
      </w:r>
    </w:p>
    <w:p>
      <w:pPr>
        <w:pStyle w:val="Compact"/>
        <w:numPr>
          <w:ilvl w:val="0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200 µl of protoplasts</w:t>
      </w:r>
      <w:r>
        <w:t xml:space="preserve"> </w:t>
      </w:r>
      <w:r>
        <w:t xml:space="preserve">(at 3.5 × 10⁵/ml = ~70,000 protoplasts per reaction) to the tube containing the DNA.</w:t>
      </w:r>
    </w:p>
    <w:p>
      <w:pPr>
        <w:pStyle w:val="Compact"/>
        <w:numPr>
          <w:ilvl w:val="0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200 µl of PEG-calcium solution</w:t>
      </w:r>
      <w:r>
        <w:t xml:space="preserve"> </w:t>
      </w:r>
      <w:r>
        <w:t xml:space="preserve">(the same volume as the protoplast + DNA mix). Mix gently by pipetting 2–3 times with a wide-bore tip — do not vortex.</w:t>
      </w:r>
    </w:p>
    <w:p>
      <w:pPr>
        <w:pStyle w:val="Compact"/>
        <w:numPr>
          <w:ilvl w:val="0"/>
          <w:numId w:val="1010"/>
        </w:numPr>
      </w:pPr>
      <w:r>
        <w:t xml:space="preserve">Incubate at</w:t>
      </w:r>
      <w:r>
        <w:t xml:space="preserve"> </w:t>
      </w:r>
      <w:r>
        <w:rPr>
          <w:b/>
          <w:bCs/>
        </w:rPr>
        <w:t xml:space="preserve">room temperature in the dark for 15 minutes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Stop the reaction by slowly adding</w:t>
      </w:r>
      <w:r>
        <w:t xml:space="preserve"> </w:t>
      </w:r>
      <w:r>
        <w:rPr>
          <w:b/>
          <w:bCs/>
        </w:rPr>
        <w:t xml:space="preserve">1.6 ml of W5 buffer</w:t>
      </w:r>
      <w:r>
        <w:t xml:space="preserve"> </w:t>
      </w:r>
      <w:r>
        <w:t xml:space="preserve">dropwise over ~30 seconds, mixing gently by tilting the tube.</w:t>
      </w:r>
    </w:p>
    <w:p>
      <w:pPr>
        <w:pStyle w:val="Compact"/>
        <w:numPr>
          <w:ilvl w:val="0"/>
          <w:numId w:val="1010"/>
        </w:numPr>
      </w:pPr>
      <w:r>
        <w:t xml:space="preserve">Centrifuge at</w:t>
      </w:r>
      <w:r>
        <w:t xml:space="preserve"> </w:t>
      </w:r>
      <w:r>
        <w:rPr>
          <w:b/>
          <w:bCs/>
        </w:rPr>
        <w:t xml:space="preserve">50–100 × g for 3 minutes</w:t>
      </w:r>
      <w:r>
        <w:t xml:space="preserve">. Remove the supernatant carefully.</w:t>
      </w:r>
    </w:p>
    <w:bookmarkEnd w:id="39"/>
    <w:bookmarkStart w:id="40" w:name="post-transfection-incubation"/>
    <w:p>
      <w:pPr>
        <w:pStyle w:val="Heading2"/>
      </w:pPr>
      <w:r>
        <w:t xml:space="preserve">4.7 Post-Transfection Incubation</w:t>
      </w:r>
    </w:p>
    <w:p>
      <w:pPr>
        <w:pStyle w:val="Compact"/>
        <w:numPr>
          <w:ilvl w:val="0"/>
          <w:numId w:val="1011"/>
        </w:numPr>
      </w:pPr>
      <w:r>
        <w:t xml:space="preserve">Gently resuspend the protoplast pellet in</w:t>
      </w:r>
      <w:r>
        <w:t xml:space="preserve"> </w:t>
      </w:r>
      <w:r>
        <w:rPr>
          <w:b/>
          <w:bCs/>
        </w:rPr>
        <w:t xml:space="preserve">PIM buffer</w:t>
      </w:r>
      <w:r>
        <w:t xml:space="preserve"> </w:t>
      </w:r>
      <w:r>
        <w:t xml:space="preserve">(1 ml per reaction).</w:t>
      </w:r>
    </w:p>
    <w:p>
      <w:pPr>
        <w:pStyle w:val="Compact"/>
        <w:numPr>
          <w:ilvl w:val="0"/>
          <w:numId w:val="1011"/>
        </w:numPr>
      </w:pPr>
      <w:r>
        <w:t xml:space="preserve">Transfer to a 24-well plate or equivalent container (1 reaction per well).</w:t>
      </w:r>
    </w:p>
    <w:p>
      <w:pPr>
        <w:pStyle w:val="Compact"/>
        <w:numPr>
          <w:ilvl w:val="0"/>
          <w:numId w:val="1011"/>
        </w:numPr>
      </w:pPr>
      <w:r>
        <w:t xml:space="preserve">Incubate in the</w:t>
      </w:r>
      <w:r>
        <w:t xml:space="preserve"> </w:t>
      </w:r>
      <w:r>
        <w:rPr>
          <w:b/>
          <w:bCs/>
        </w:rPr>
        <w:t xml:space="preserve">dark at room temperature for 18–20 hours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18–20 hours is sufficient for both gene expression (luciferase becomes detectable after ~6–8 hours) and for cell death to occur if the NLR/TKP recognises the effector. Longer incubation may increase background cell death.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art-5-luciferase-activity-measurement"/>
    <w:p>
      <w:pPr>
        <w:pStyle w:val="Heading1"/>
      </w:pPr>
      <w:r>
        <w:t xml:space="preserve">PART 5: LUCIFERASE ACTIVITY MEASUREMENT</w:t>
      </w:r>
    </w:p>
    <w:bookmarkStart w:id="42" w:name="principle"/>
    <w:p>
      <w:pPr>
        <w:pStyle w:val="Heading2"/>
      </w:pPr>
      <w:r>
        <w:t xml:space="preserve">5.1 Principle</w:t>
      </w:r>
    </w:p>
    <w:p>
      <w:pPr>
        <w:pStyle w:val="FirstParagraph"/>
      </w:pPr>
      <w:r>
        <w:t xml:space="preserve">Luciferase activity is proportional to the number of living (non-lysed) protoplasts. Cell death caused by NLR/TKP activation reduces luciferase signal. The assay uses the</w:t>
      </w:r>
      <w:r>
        <w:t xml:space="preserve"> </w:t>
      </w:r>
      <w:r>
        <w:rPr>
          <w:b/>
          <w:bCs/>
        </w:rPr>
        <w:t xml:space="preserve">Promega Luciferase Assay System (E1500)</w:t>
      </w:r>
      <w:r>
        <w:t xml:space="preserve">, which provides a lysis reagent and a luciferin-ATP substrate. Luminescence is measured in a plate reader.</w:t>
      </w:r>
    </w:p>
    <w:p>
      <w:pPr>
        <w:pStyle w:val="BodyText"/>
      </w:pPr>
      <w:r>
        <w:rPr>
          <w:i/>
          <w:iCs/>
        </w:rPr>
        <w:t xml:space="preserve">Adapted from: Saur, I.M.L., Bauer, S., Lu, X. and Schulze-Lefert, P. (2019) Plant Methods 16:110.</w:t>
      </w:r>
    </w:p>
    <w:bookmarkEnd w:id="42"/>
    <w:bookmarkStart w:id="43" w:name="protocol"/>
    <w:p>
      <w:pPr>
        <w:pStyle w:val="Heading2"/>
      </w:pPr>
      <w:r>
        <w:t xml:space="preserve">5.2 Protocol</w:t>
      </w:r>
    </w:p>
    <w:p>
      <w:pPr>
        <w:pStyle w:val="Compact"/>
        <w:numPr>
          <w:ilvl w:val="0"/>
          <w:numId w:val="1012"/>
        </w:numPr>
      </w:pPr>
      <w:r>
        <w:t xml:space="preserve">After the 18–20 h incubation, centrifuge the 24-well plate at</w:t>
      </w:r>
      <w:r>
        <w:t xml:space="preserve"> </w:t>
      </w:r>
      <w:r>
        <w:rPr>
          <w:b/>
          <w:bCs/>
        </w:rPr>
        <w:t xml:space="preserve">50–100 × g for 2–3 minutes</w:t>
      </w:r>
      <w:r>
        <w:t xml:space="preserve"> </w:t>
      </w:r>
      <w:r>
        <w:t xml:space="preserve">to pellet protoplasts.</w:t>
      </w:r>
    </w:p>
    <w:p>
      <w:pPr>
        <w:pStyle w:val="Compact"/>
        <w:numPr>
          <w:ilvl w:val="0"/>
          <w:numId w:val="1012"/>
        </w:numPr>
      </w:pPr>
      <w:r>
        <w:t xml:space="preserve">Remove as much of the PIM buffer as possible without disturbing the pellet.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50–100 µl of Promega Passive Lysis Buffer</w:t>
      </w:r>
      <w:r>
        <w:t xml:space="preserve"> </w:t>
      </w:r>
      <w:r>
        <w:t xml:space="preserve">(1× from the E1500 kit) per well. Pipette gently to lyse the protoplasts.</w:t>
      </w:r>
    </w:p>
    <w:p>
      <w:pPr>
        <w:pStyle w:val="Compact"/>
        <w:numPr>
          <w:ilvl w:val="0"/>
          <w:numId w:val="1012"/>
        </w:numPr>
      </w:pPr>
      <w:r>
        <w:t xml:space="preserve">Incubate at room temperature for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with gentle rocking.</w:t>
      </w:r>
    </w:p>
    <w:p>
      <w:pPr>
        <w:pStyle w:val="Compact"/>
        <w:numPr>
          <w:ilvl w:val="0"/>
          <w:numId w:val="1012"/>
        </w:numPr>
      </w:pPr>
      <w:r>
        <w:t xml:space="preserve">Transfer</w:t>
      </w:r>
      <w:r>
        <w:t xml:space="preserve"> </w:t>
      </w:r>
      <w:r>
        <w:rPr>
          <w:b/>
          <w:bCs/>
        </w:rPr>
        <w:t xml:space="preserve">20 µl of lysate</w:t>
      </w:r>
      <w:r>
        <w:t xml:space="preserve"> </w:t>
      </w:r>
      <w:r>
        <w:t xml:space="preserve">to an opaque white 96-well plate (to maximise light reflection).</w:t>
      </w:r>
    </w:p>
    <w:p>
      <w:pPr>
        <w:pStyle w:val="Compact"/>
        <w:numPr>
          <w:ilvl w:val="0"/>
          <w:numId w:val="1012"/>
        </w:numPr>
      </w:pPr>
      <w:r>
        <w:t xml:space="preserve">In the plate reader, inject</w:t>
      </w:r>
      <w:r>
        <w:t xml:space="preserve"> </w:t>
      </w:r>
      <w:r>
        <w:rPr>
          <w:b/>
          <w:bCs/>
        </w:rPr>
        <w:t xml:space="preserve">100 µl of Luciferase Assay Reagent</w:t>
      </w:r>
      <w:r>
        <w:t xml:space="preserve"> </w:t>
      </w:r>
      <w:r>
        <w:t xml:space="preserve">(Promega LAR II, supplied in the kit) per well using the automatic injector.</w:t>
      </w:r>
    </w:p>
    <w:p>
      <w:pPr>
        <w:pStyle w:val="Compact"/>
        <w:numPr>
          <w:ilvl w:val="0"/>
          <w:numId w:val="1012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luminescence</w:t>
      </w:r>
      <w:r>
        <w:t xml:space="preserve"> </w:t>
      </w:r>
      <w:r>
        <w:t xml:space="preserve">immediately after injection (the luciferase reaction is transient — measure within 10 seconds of LAR addition for consistent results). Record as</w:t>
      </w:r>
      <w:r>
        <w:t xml:space="preserve"> </w:t>
      </w:r>
      <w:r>
        <w:rPr>
          <w:b/>
          <w:bCs/>
        </w:rPr>
        <w:t xml:space="preserve">RLU (relative light units)</w:t>
      </w:r>
      <w:r>
        <w:t xml:space="preserve">.</w:t>
      </w:r>
    </w:p>
    <w:bookmarkEnd w:id="43"/>
    <w:bookmarkStart w:id="44" w:name="replication-and-controls"/>
    <w:p>
      <w:pPr>
        <w:pStyle w:val="Heading2"/>
      </w:pPr>
      <w:r>
        <w:t xml:space="preserve">5.3 Replication and Controls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Technical replicates:</w:t>
      </w:r>
      <w:r>
        <w:t xml:space="preserve"> </w:t>
      </w:r>
      <w:r>
        <w:t xml:space="preserve">6 per experiment (6 independent transfection reactions with the same DNA combination)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Biological replicates:</w:t>
      </w:r>
      <w:r>
        <w:t xml:space="preserve"> </w:t>
      </w:r>
      <w:r>
        <w:t xml:space="preserve">each experiment repeated</w:t>
      </w:r>
      <w:r>
        <w:t xml:space="preserve"> </w:t>
      </w:r>
      <w:r>
        <w:rPr>
          <w:b/>
          <w:bCs/>
        </w:rPr>
        <w:t xml:space="preserve">3 times</w:t>
      </w:r>
      <w:r>
        <w:t xml:space="preserve"> </w:t>
      </w:r>
      <w:r>
        <w:t xml:space="preserve">(using protoplasts from different batches on different days)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Negative control:</w:t>
      </w:r>
      <w:r>
        <w:t xml:space="preserve"> </w:t>
      </w:r>
      <w:r>
        <w:t xml:space="preserve">receptor + non-activating effector mutant (e.g., PBY2-E42R for Rmo2; PWT7-N39R for Rwt7)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Positive control:</w:t>
      </w:r>
      <w:r>
        <w:t xml:space="preserve"> </w:t>
      </w:r>
      <w:r>
        <w:t xml:space="preserve">receptor + wild-type activating effector</w:t>
      </w:r>
    </w:p>
    <w:bookmarkEnd w:id="44"/>
    <w:bookmarkStart w:id="45" w:name="data-analysis"/>
    <w:p>
      <w:pPr>
        <w:pStyle w:val="Heading2"/>
      </w:pPr>
      <w:r>
        <w:t xml:space="preserve">5.4 Data Analysis</w:t>
      </w:r>
    </w:p>
    <w:p>
      <w:pPr>
        <w:pStyle w:val="Compact"/>
        <w:numPr>
          <w:ilvl w:val="0"/>
          <w:numId w:val="1014"/>
        </w:numPr>
      </w:pPr>
      <w:r>
        <w:t xml:space="preserve">Calculate mean RLU for each condition across the 6 technical replicates.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Normalise:</w:t>
      </w:r>
      <w:r>
        <w:t xml:space="preserve"> </w:t>
      </w:r>
      <w:r>
        <w:t xml:space="preserve">express each condition as a ratio relative to the negative control (mutant effector) set to 1.0.</w:t>
      </w:r>
    </w:p>
    <w:p>
      <w:pPr>
        <w:pStyle w:val="Compact"/>
        <w:numPr>
          <w:ilvl w:val="0"/>
          <w:numId w:val="1014"/>
        </w:numPr>
      </w:pPr>
      <w:r>
        <w:t xml:space="preserve">Plot as box plots (RLU on y-axis, conditions on x-axis) with individual data points shown.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Statistical analysis:</w:t>
      </w:r>
      <w:r>
        <w:t xml:space="preserve"> </w:t>
      </w:r>
      <w:r>
        <w:t xml:space="preserve">one-way ANOVA followed by Tukey’s HSD post-hoc test at</w:t>
      </w:r>
      <w:r>
        <w:t xml:space="preserve"> </w:t>
      </w:r>
      <w:r>
        <w:rPr>
          <w:b/>
          <w:bCs/>
        </w:rPr>
        <w:t xml:space="preserve">p &lt; 0.05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Raf-authored R script (</w:t>
      </w:r>
      <w:r>
        <w:rPr>
          <w:rStyle w:val="VerbatimChar"/>
        </w:rPr>
        <w:t xml:space="preserve">rscript-protoplastRAF.docx</w:t>
      </w:r>
      <w:r>
        <w:t xml:space="preserve"> </w:t>
      </w:r>
      <w:r>
        <w:t xml:space="preserve">in Clemence’s WTK4/Protoplast_R folder) which automates: reading the Excel endpoint data, running ANOVA + Tukey HSD, computing compact letter display (CLD) for significance groups, and generating publication-quality box plots with ggplot2.</w:t>
      </w:r>
    </w:p>
    <w:p>
      <w:pPr>
        <w:pStyle w:val="FirstParagraph"/>
      </w:pPr>
      <w:r>
        <w:rPr>
          <w:b/>
          <w:bCs/>
        </w:rPr>
        <w:t xml:space="preserve">R packages required: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tidyr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multcompView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Rmisc</w:t>
      </w:r>
    </w:p>
    <w:p>
      <w:pPr>
        <w:pStyle w:val="BodyText"/>
      </w:pPr>
      <w:r>
        <w:rPr>
          <w:b/>
          <w:bCs/>
        </w:rPr>
        <w:t xml:space="preserve">Input file format:</w:t>
      </w:r>
      <w:r>
        <w:t xml:space="preserve"> </w:t>
      </w:r>
      <w:r>
        <w:t xml:space="preserve">Excel workbook with a sheet named</w:t>
      </w:r>
      <w:r>
        <w:t xml:space="preserve"> </w:t>
      </w:r>
      <w:r>
        <w:t xml:space="preserve">“End point”</w:t>
      </w:r>
      <w:r>
        <w:t xml:space="preserve">; columns = replicates; rows = conditions (labelled in a</w:t>
      </w:r>
      <w:r>
        <w:t xml:space="preserve"> </w:t>
      </w:r>
      <w:r>
        <w:t xml:space="preserve">“Group”</w:t>
      </w:r>
      <w:r>
        <w:t xml:space="preserve"> </w:t>
      </w:r>
      <w:r>
        <w:t xml:space="preserve">column).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PNG box plot with Tukey HSD letter groupings in red at 600 DPI.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0c8b615fec0180676c503a3fe10076dd8ab0483"/>
    <w:p>
      <w:pPr>
        <w:pStyle w:val="Heading1"/>
      </w:pPr>
      <w:r>
        <w:t xml:space="preserve">PART 6: CONSTRUCT DESIGN AND VECTOR BACKBONES</w:t>
      </w:r>
    </w:p>
    <w:bookmarkStart w:id="47" w:name="overview-of-vectors-used"/>
    <w:p>
      <w:pPr>
        <w:pStyle w:val="Heading2"/>
      </w:pPr>
      <w:r>
        <w:t xml:space="preserve">6.1 Overview of Vectors Used</w:t>
      </w:r>
    </w:p>
    <w:p>
      <w:pPr>
        <w:pStyle w:val="FirstParagraph"/>
      </w:pPr>
      <w:r>
        <w:t xml:space="preserve">The Banfield lab uses two sets of vector backbones for the two assay types:</w:t>
      </w:r>
    </w:p>
    <w:p>
      <w:pPr>
        <w:pStyle w:val="BodyText"/>
      </w:pPr>
      <w:r>
        <w:rPr>
          <w:b/>
          <w:bCs/>
        </w:rPr>
        <w:t xml:space="preserve">Protoplast luciferase assay: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 type</w:t>
            </w:r>
          </w:p>
        </w:tc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Receptor/TKP</w:t>
            </w:r>
          </w:p>
        </w:tc>
        <w:tc>
          <w:tcPr/>
          <w:p>
            <w:pPr>
              <w:pStyle w:val="Compact"/>
            </w:pPr>
            <w:r>
              <w:t xml:space="preserve">pZH2Bik</w:t>
            </w:r>
          </w:p>
        </w:tc>
        <w:tc>
          <w:tcPr/>
          <w:p>
            <w:pPr>
              <w:pStyle w:val="Compact"/>
            </w:pPr>
            <w:r>
              <w:t xml:space="preserve">Full-length receptor under 35S or native promoter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Effector</w:t>
            </w:r>
          </w:p>
        </w:tc>
        <w:tc>
          <w:tcPr/>
          <w:p>
            <w:pPr>
              <w:pStyle w:val="Compact"/>
            </w:pPr>
            <w:r>
              <w:t xml:space="preserve">pZH2Bik</w:t>
            </w:r>
          </w:p>
        </w:tc>
        <w:tc>
          <w:tcPr/>
          <w:p>
            <w:pPr>
              <w:pStyle w:val="Compact"/>
            </w:pPr>
            <w:r>
              <w:t xml:space="preserve">Effector (without SP) under 35S promoter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Luciferase reporter</w:t>
            </w:r>
          </w:p>
        </w:tc>
        <w:tc>
          <w:tcPr/>
          <w:p>
            <w:pPr>
              <w:pStyle w:val="Compact"/>
            </w:pPr>
            <w:r>
              <w:t xml:space="preserve">Separate construct</w:t>
            </w:r>
          </w:p>
        </w:tc>
        <w:tc>
          <w:tcPr/>
          <w:p>
            <w:pPr>
              <w:pStyle w:val="Compact"/>
            </w:pPr>
            <w:r>
              <w:t xml:space="preserve">Constitutive luciferase expression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For the Pik/rice system: receptor and effector constructs use pICH41308 (a MoClo/Golden Gate LV0 backbone). The luciferase reporter is Zm-Luciferase (maize codon-optimised firefly luciferase) under 35S, with RFP as a co-expressed normalisation control.</w:t>
      </w:r>
    </w:p>
    <w:p>
      <w:pPr>
        <w:pStyle w:val="BodyText"/>
      </w:pPr>
      <w:r>
        <w:rPr>
          <w:b/>
          <w:bCs/>
        </w:rPr>
        <w:t xml:space="preserve">Split-GAL4 RUBY assay (agroinfiltration, not protoplasts):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 type</w:t>
            </w:r>
          </w:p>
        </w:tc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Fusion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</w:t>
            </w:r>
          </w:p>
        </w:tc>
        <w:tc>
          <w:tcPr/>
          <w:p>
            <w:pPr>
              <w:pStyle w:val="Compact"/>
            </w:pPr>
            <w:r>
              <w:t xml:space="preserve">pICSL22027</w:t>
            </w:r>
          </w:p>
        </w:tc>
        <w:tc>
          <w:tcPr/>
          <w:p>
            <w:pPr>
              <w:pStyle w:val="Compact"/>
            </w:pPr>
            <w:r>
              <w:t xml:space="preserve">C-terminal GAL4 DNA-binding domain (GAL4-DBD)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Effector</w:t>
            </w:r>
          </w:p>
        </w:tc>
        <w:tc>
          <w:tcPr/>
          <w:p>
            <w:pPr>
              <w:pStyle w:val="Compact"/>
            </w:pPr>
            <w:r>
              <w:t xml:space="preserve">pICSL22026</w:t>
            </w:r>
          </w:p>
        </w:tc>
        <w:tc>
          <w:tcPr/>
          <w:p>
            <w:pPr>
              <w:pStyle w:val="Compact"/>
            </w:pPr>
            <w:r>
              <w:t xml:space="preserve">C-terminal VP16 activation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RUBY reporter</w:t>
            </w:r>
          </w:p>
        </w:tc>
        <w:tc>
          <w:tcPr/>
          <w:p>
            <w:pPr>
              <w:pStyle w:val="Compact"/>
            </w:pPr>
            <w:r>
              <w:t xml:space="preserve">Driven by GAL4 UAS</w:t>
            </w:r>
          </w:p>
        </w:tc>
        <w:tc>
          <w:tcPr/>
          <w:p>
            <w:pPr>
              <w:pStyle w:val="Compact"/>
            </w:pPr>
            <w:r>
              <w:t xml:space="preserve">Betalain biosynthesis genes</w:t>
            </w:r>
          </w:p>
        </w:tc>
      </w:tr>
    </w:tbl>
    <w:bookmarkEnd w:id="47"/>
    <w:bookmarkStart w:id="48" w:name="X2a4ff48559bcfe1acbc4782e0032ce019918285"/>
    <w:p>
      <w:pPr>
        <w:pStyle w:val="Heading2"/>
      </w:pPr>
      <w:r>
        <w:t xml:space="preserve">6.2 Effector Construct Design for Protoplast Assays</w:t>
      </w:r>
    </w:p>
    <w:p>
      <w:pPr>
        <w:pStyle w:val="FirstParagraph"/>
      </w:pPr>
      <w:r>
        <w:t xml:space="preserve">For the protoplast assay, effector constructs typically express the</w:t>
      </w:r>
      <w:r>
        <w:t xml:space="preserve"> </w:t>
      </w:r>
      <w:r>
        <w:rPr>
          <w:b/>
          <w:bCs/>
        </w:rPr>
        <w:t xml:space="preserve">mature effector without its signal peptide</w:t>
      </w:r>
      <w:r>
        <w:t xml:space="preserve"> </w:t>
      </w:r>
      <w:r>
        <w:t xml:space="preserve">(the signal peptide is cleaved during secretion in planta but is not needed for direct cytoplasmic delivery in protoplasts):</w:t>
      </w:r>
    </w:p>
    <w:p>
      <w:pPr>
        <w:pStyle w:val="Compact"/>
        <w:numPr>
          <w:ilvl w:val="0"/>
          <w:numId w:val="1015"/>
        </w:numPr>
      </w:pPr>
      <w:r>
        <w:t xml:space="preserve">AVR-PikD: starts at residue 22 (Δ21, removes the 21-aa signal peptide)</w:t>
      </w:r>
    </w:p>
    <w:p>
      <w:pPr>
        <w:pStyle w:val="Compact"/>
        <w:numPr>
          <w:ilvl w:val="0"/>
          <w:numId w:val="1015"/>
        </w:numPr>
      </w:pPr>
      <w:r>
        <w:t xml:space="preserve">PBY2: residues 21–85 (mature effector)</w:t>
      </w:r>
    </w:p>
    <w:p>
      <w:pPr>
        <w:pStyle w:val="Compact"/>
        <w:numPr>
          <w:ilvl w:val="0"/>
          <w:numId w:val="1015"/>
        </w:numPr>
      </w:pPr>
      <w:r>
        <w:t xml:space="preserve">PWT7: residues 22–98 (mature effector)</w:t>
      </w:r>
    </w:p>
    <w:p>
      <w:pPr>
        <w:pStyle w:val="FirstParagraph"/>
      </w:pPr>
      <w:r>
        <w:t xml:space="preserve">Full-length effectors with signal peptides can also be used, but the signal peptide may direct protein to the secretory pathway and reduce cytoplasmic availability.</w:t>
      </w:r>
    </w:p>
    <w:bookmarkEnd w:id="48"/>
    <w:bookmarkStart w:id="49" w:name="controls"/>
    <w:p>
      <w:pPr>
        <w:pStyle w:val="Heading2"/>
      </w:pPr>
      <w:r>
        <w:t xml:space="preserve">6.3 Controls</w:t>
      </w:r>
    </w:p>
    <w:p>
      <w:pPr>
        <w:pStyle w:val="FirstParagraph"/>
      </w:pPr>
      <w:r>
        <w:rPr>
          <w:b/>
          <w:bCs/>
        </w:rPr>
        <w:t xml:space="preserve">Essential controls in every experiment: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 + activating effector (positive control)</w:t>
            </w:r>
          </w:p>
        </w:tc>
        <w:tc>
          <w:tcPr/>
          <w:p>
            <w:pPr>
              <w:pStyle w:val="Compact"/>
            </w:pPr>
            <w:r>
              <w:t xml:space="preserve">Confirms cell death can occur; validates system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 + non-activating effector mutant (negative control)</w:t>
            </w:r>
          </w:p>
        </w:tc>
        <w:tc>
          <w:tcPr/>
          <w:p>
            <w:pPr>
              <w:pStyle w:val="Compact"/>
            </w:pPr>
            <w:r>
              <w:t xml:space="preserve">Sets the 1.0 normalisation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 + empty vector (no effector)</w:t>
            </w:r>
          </w:p>
        </w:tc>
        <w:tc>
          <w:tcPr/>
          <w:p>
            <w:pPr>
              <w:pStyle w:val="Compact"/>
            </w:pPr>
            <w:r>
              <w:t xml:space="preserve">Checks for receptor autoactivity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vector + effector (no receptor)</w:t>
            </w:r>
          </w:p>
        </w:tc>
        <w:tc>
          <w:tcPr/>
          <w:p>
            <w:pPr>
              <w:pStyle w:val="Compact"/>
            </w:pPr>
            <w:r>
              <w:t xml:space="preserve">Checks for effector toxicity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Luciferase only (no receptor, no effector)</w:t>
            </w:r>
          </w:p>
        </w:tc>
        <w:tc>
          <w:tcPr/>
          <w:p>
            <w:pPr>
              <w:pStyle w:val="Compact"/>
            </w:pPr>
            <w:r>
              <w:t xml:space="preserve">Confirms baseline luciferase expression level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X81c016517da867f2ab7a9db29456f21207ef89f"/>
    <w:p>
      <w:pPr>
        <w:pStyle w:val="Heading1"/>
      </w:pPr>
      <w:r>
        <w:t xml:space="preserve">PART 7: SPLIT-GAL4 RUBY ASSAY (N. BENTHAMIANA)</w:t>
      </w:r>
    </w:p>
    <w:p>
      <w:pPr>
        <w:pStyle w:val="FirstParagraph"/>
      </w:pPr>
      <w:r>
        <w:rPr>
          <w:i/>
          <w:iCs/>
        </w:rPr>
        <w:t xml:space="preserve">This assay is performed by agroinfiltration of N. benthamiana leaves, not in protoplasts. It is included here because it serves a similar purpose — detecting protein-protein interactions — and uses some of the same constructs as the protoplast assay.</w:t>
      </w:r>
    </w:p>
    <w:bookmarkStart w:id="51" w:name="principle-1"/>
    <w:p>
      <w:pPr>
        <w:pStyle w:val="Heading2"/>
      </w:pPr>
      <w:r>
        <w:t xml:space="preserve">7.1 Principle</w:t>
      </w:r>
    </w:p>
    <w:p>
      <w:pPr>
        <w:pStyle w:val="FirstParagraph"/>
      </w:pPr>
      <w:r>
        <w:t xml:space="preserve">The split-GAL4 RUBY assay detects protein-protein interactions in intact</w:t>
      </w:r>
      <w:r>
        <w:t xml:space="preserve"> </w:t>
      </w:r>
      <w:r>
        <w:rPr>
          <w:i/>
          <w:iCs/>
        </w:rPr>
        <w:t xml:space="preserve">N. benthamiana</w:t>
      </w:r>
      <w:r>
        <w:t xml:space="preserve"> </w:t>
      </w:r>
      <w:r>
        <w:t xml:space="preserve">leaves. The bait protein (typically the receptor/NLR/TKP or its integrated domain) is expressed as a fusion with the</w:t>
      </w:r>
      <w:r>
        <w:t xml:space="preserve"> </w:t>
      </w:r>
      <w:r>
        <w:rPr>
          <w:b/>
          <w:bCs/>
        </w:rPr>
        <w:t xml:space="preserve">yeast GAL4 DNA-binding domain (GAL4-DBD)</w:t>
      </w:r>
      <w:r>
        <w:t xml:space="preserve">. The prey protein (typically the effector) is expressed as a fusion with the</w:t>
      </w:r>
      <w:r>
        <w:t xml:space="preserve"> </w:t>
      </w:r>
      <w:r>
        <w:rPr>
          <w:b/>
          <w:bCs/>
        </w:rPr>
        <w:t xml:space="preserve">herpes simplex VP16 transcriptional activation domain</w:t>
      </w:r>
      <w:r>
        <w:t xml:space="preserve">. If the bait and prey interact, the GAL4-DBD and VP16 are brought into proximity, reconstituting a functional transcription factor that drives expression of the</w:t>
      </w:r>
      <w:r>
        <w:t xml:space="preserve"> </w:t>
      </w:r>
      <w:r>
        <w:rPr>
          <w:b/>
          <w:bCs/>
        </w:rPr>
        <w:t xml:space="preserve">RUBY gene cassette</w:t>
      </w:r>
      <w:r>
        <w:t xml:space="preserve">, producing</w:t>
      </w:r>
      <w:r>
        <w:t xml:space="preserve"> </w:t>
      </w:r>
      <w:r>
        <w:rPr>
          <w:b/>
          <w:bCs/>
        </w:rPr>
        <w:t xml:space="preserve">betalain pigment</w:t>
      </w:r>
      <w:r>
        <w:t xml:space="preserve"> </w:t>
      </w:r>
      <w:r>
        <w:t xml:space="preserve">(a bright pink/red colour visible to the naked eye).</w:t>
      </w:r>
    </w:p>
    <w:p>
      <w:pPr>
        <w:pStyle w:val="BodyText"/>
      </w:pPr>
      <w:r>
        <w:t xml:space="preserve">RUBY was originally used as a plant reporter by Zhang et al. and uses a minimal gene set to produce betalain from tyrosine. The betalain is stable, non-toxic, and quantifiable by spectrophotometry.</w:t>
      </w:r>
    </w:p>
    <w:p>
      <w:pPr>
        <w:pStyle w:val="BodyText"/>
      </w:pPr>
      <w:r>
        <w:rPr>
          <w:i/>
          <w:iCs/>
        </w:rPr>
        <w:t xml:space="preserve">This system differs from classical split-GFP or BiFC in that it is not based on fluorescence — it uses a pigment readout that is visible even with the naked eye, making it suitable for screening many combinations quickly.</w:t>
      </w:r>
    </w:p>
    <w:bookmarkEnd w:id="51"/>
    <w:bookmarkStart w:id="52" w:name="infiltration-conditions"/>
    <w:p>
      <w:pPr>
        <w:pStyle w:val="Heading2"/>
      </w:pPr>
      <w:r>
        <w:t xml:space="preserve">7.2 Infiltration Conditions</w:t>
      </w:r>
    </w:p>
    <w:p>
      <w:pPr>
        <w:pStyle w:val="FirstParagraph"/>
      </w:pPr>
      <w:r>
        <w:t xml:space="preserve">All infiltration uses the standard MMA infiltration buffer with acetosyringone (see agroinfiltration handbook):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OD600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Receptor-GAL4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Effector-VP16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p19 (silencing suppressor)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Harvest:</w:t>
      </w:r>
      <w:r>
        <w:t xml:space="preserve"> </w:t>
      </w:r>
      <w:r>
        <w:t xml:space="preserve">4 days post-infiltration (dpi). Note — 4 dpi, not the 3–4 dpi used for standard protein extraction.</w:t>
      </w:r>
    </w:p>
    <w:bookmarkEnd w:id="52"/>
    <w:bookmarkStart w:id="53" w:name="visual-scoring"/>
    <w:p>
      <w:pPr>
        <w:pStyle w:val="Heading2"/>
      </w:pPr>
      <w:r>
        <w:t xml:space="preserve">7.3 Visual Scoring</w:t>
      </w:r>
    </w:p>
    <w:p>
      <w:pPr>
        <w:pStyle w:val="FirstParagraph"/>
      </w:pPr>
      <w:r>
        <w:t xml:space="preserve">After harvest, observe the infiltration sites from the abaxial (lower) surface. Interaction produces visible pink/red colouration. Image under standard daylight conditions. This provides a rapid qualitative indication before quantification.</w:t>
      </w:r>
    </w:p>
    <w:bookmarkEnd w:id="53"/>
    <w:bookmarkStart w:id="54" w:name="betalain-quantification"/>
    <w:p>
      <w:pPr>
        <w:pStyle w:val="Heading2"/>
      </w:pPr>
      <w:r>
        <w:t xml:space="preserve">7.4 Betalain Quantification</w:t>
      </w:r>
    </w:p>
    <w:p>
      <w:pPr>
        <w:pStyle w:val="Compact"/>
        <w:numPr>
          <w:ilvl w:val="0"/>
          <w:numId w:val="1016"/>
        </w:numPr>
      </w:pPr>
      <w:r>
        <w:t xml:space="preserve">After photography, remove chlorophyll by incubating the leaf in</w:t>
      </w:r>
      <w:r>
        <w:t xml:space="preserve"> </w:t>
      </w:r>
      <w:r>
        <w:rPr>
          <w:b/>
          <w:bCs/>
        </w:rPr>
        <w:t xml:space="preserve">100% ethanol</w:t>
      </w:r>
      <w:r>
        <w:t xml:space="preserve"> </w:t>
      </w:r>
      <w:r>
        <w:t xml:space="preserve">until the tissue is bleached (white/colourless). This typically takes 1–2 hours at room temperature.</w:t>
      </w:r>
    </w:p>
    <w:p>
      <w:pPr>
        <w:pStyle w:val="Compact"/>
        <w:numPr>
          <w:ilvl w:val="0"/>
          <w:numId w:val="1016"/>
        </w:numPr>
      </w:pPr>
      <w:r>
        <w:t xml:space="preserve">Once chlorophyll is removed, punch</w:t>
      </w:r>
      <w:r>
        <w:t xml:space="preserve"> </w:t>
      </w:r>
      <w:r>
        <w:rPr>
          <w:b/>
          <w:bCs/>
        </w:rPr>
        <w:t xml:space="preserve">two leaf discs (0.8 cm diameter)</w:t>
      </w:r>
      <w:r>
        <w:t xml:space="preserve"> </w:t>
      </w:r>
      <w:r>
        <w:t xml:space="preserve">from each infiltration spot.</w:t>
      </w:r>
    </w:p>
    <w:p>
      <w:pPr>
        <w:pStyle w:val="Compact"/>
        <w:numPr>
          <w:ilvl w:val="0"/>
          <w:numId w:val="1016"/>
        </w:numPr>
      </w:pPr>
      <w:r>
        <w:t xml:space="preserve">Place each pair of leaf discs in a 1.5 ml Eppendorf tube containing</w:t>
      </w:r>
      <w:r>
        <w:t xml:space="preserve"> </w:t>
      </w:r>
      <w:r>
        <w:rPr>
          <w:b/>
          <w:bCs/>
        </w:rPr>
        <w:t xml:space="preserve">500 µl of milliQ water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Incubate for</w:t>
      </w:r>
      <w:r>
        <w:t xml:space="preserve"> </w:t>
      </w:r>
      <w:r>
        <w:rPr>
          <w:b/>
          <w:bCs/>
        </w:rPr>
        <w:t xml:space="preserve">6 hours at room temperature</w:t>
      </w:r>
      <w:r>
        <w:t xml:space="preserve"> </w:t>
      </w:r>
      <w:r>
        <w:t xml:space="preserve">to allow betalain to diffuse out of the tissue into the water.</w:t>
      </w:r>
    </w:p>
    <w:p>
      <w:pPr>
        <w:pStyle w:val="Compact"/>
        <w:numPr>
          <w:ilvl w:val="0"/>
          <w:numId w:val="1016"/>
        </w:numPr>
      </w:pPr>
      <w:r>
        <w:t xml:space="preserve">Transfer</w:t>
      </w:r>
      <w:r>
        <w:t xml:space="preserve"> </w:t>
      </w:r>
      <w:r>
        <w:rPr>
          <w:b/>
          <w:bCs/>
        </w:rPr>
        <w:t xml:space="preserve">200 µl of the extracted water</w:t>
      </w:r>
      <w:r>
        <w:t xml:space="preserve"> </w:t>
      </w:r>
      <w:r>
        <w:t xml:space="preserve">to a well of a</w:t>
      </w:r>
      <w:r>
        <w:t xml:space="preserve"> </w:t>
      </w:r>
      <w:r>
        <w:rPr>
          <w:b/>
          <w:bCs/>
        </w:rPr>
        <w:t xml:space="preserve">Greiner F-bottom clear 96-well plate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absorbance at 538 nm</w:t>
      </w:r>
      <w:r>
        <w:t xml:space="preserve"> </w:t>
      </w:r>
      <w:r>
        <w:t xml:space="preserve">in a microplate reader (the lab uses the SPECTROstar Nano, BMG Labtech).</w:t>
      </w:r>
    </w:p>
    <w:p>
      <w:pPr>
        <w:pStyle w:val="Compact"/>
        <w:numPr>
          <w:ilvl w:val="0"/>
          <w:numId w:val="1016"/>
        </w:numPr>
      </w:pPr>
      <w:r>
        <w:t xml:space="preserve">Express results as A₅₃₈ per unit area. Statistical analysis: each experiment repeated</w:t>
      </w:r>
      <w:r>
        <w:t xml:space="preserve"> </w:t>
      </w:r>
      <w:r>
        <w:rPr>
          <w:b/>
          <w:bCs/>
        </w:rPr>
        <w:t xml:space="preserve">3 times</w:t>
      </w:r>
      <w:r>
        <w:t xml:space="preserve">; use ANOVA + Tukey HSD.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de6c888c7451e6e040302f313caa70919d71e82"/>
    <w:p>
      <w:pPr>
        <w:pStyle w:val="Heading1"/>
      </w:pPr>
      <w:r>
        <w:t xml:space="preserve">PART 8: KEY DIFFERENCES FROM AGROINFILTRATION AND CO-IP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Agroinfiltration / Co-IP</w:t>
            </w:r>
          </w:p>
        </w:tc>
        <w:tc>
          <w:tcPr/>
          <w:p>
            <w:pPr>
              <w:pStyle w:val="Compact"/>
            </w:pPr>
            <w:r>
              <w:t xml:space="preserve">Protoplast assay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 material</w:t>
            </w:r>
          </w:p>
        </w:tc>
        <w:tc>
          <w:tcPr/>
          <w:p>
            <w:pPr>
              <w:pStyle w:val="Compact"/>
            </w:pPr>
            <w:r>
              <w:t xml:space="preserve">4-week-old</w:t>
            </w:r>
            <w:r>
              <w:t xml:space="preserve"> </w:t>
            </w:r>
            <w:r>
              <w:rPr>
                <w:i/>
                <w:iCs/>
              </w:rPr>
              <w:t xml:space="preserve">N. benthamiana</w:t>
            </w:r>
          </w:p>
        </w:tc>
        <w:tc>
          <w:tcPr/>
          <w:p>
            <w:pPr>
              <w:pStyle w:val="Compact"/>
            </w:pPr>
            <w:r>
              <w:t xml:space="preserve">8–9-day-old dark-grown wheat seedlings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method</w:t>
            </w:r>
          </w:p>
        </w:tc>
        <w:tc>
          <w:tcPr/>
          <w:p>
            <w:pPr>
              <w:pStyle w:val="Compact"/>
            </w:pPr>
            <w:r>
              <w:t xml:space="preserve">Agrobacterium + T-DNA</w:t>
            </w:r>
          </w:p>
        </w:tc>
        <w:tc>
          <w:tcPr/>
          <w:p>
            <w:pPr>
              <w:pStyle w:val="Compact"/>
            </w:pPr>
            <w:r>
              <w:t xml:space="preserve">PEG-calcium transfection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Readout</w:t>
            </w:r>
          </w:p>
        </w:tc>
        <w:tc>
          <w:tcPr/>
          <w:p>
            <w:pPr>
              <w:pStyle w:val="Compact"/>
            </w:pPr>
            <w:r>
              <w:t xml:space="preserve">Western blot / cell death (visual)</w:t>
            </w:r>
          </w:p>
        </w:tc>
        <w:tc>
          <w:tcPr/>
          <w:p>
            <w:pPr>
              <w:pStyle w:val="Compact"/>
            </w:pPr>
            <w:r>
              <w:t xml:space="preserve">Luciferase (enzymatic)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Timescale</w:t>
            </w:r>
          </w:p>
        </w:tc>
        <w:tc>
          <w:tcPr/>
          <w:p>
            <w:pPr>
              <w:pStyle w:val="Compact"/>
            </w:pPr>
            <w:r>
              <w:t xml:space="preserve">3–5 days post-infiltration</w:t>
            </w:r>
          </w:p>
        </w:tc>
        <w:tc>
          <w:tcPr/>
          <w:p>
            <w:pPr>
              <w:pStyle w:val="Compact"/>
            </w:pPr>
            <w:r>
              <w:t xml:space="preserve">18–20 h post-transfection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Per-leaf</w:t>
            </w:r>
          </w:p>
        </w:tc>
        <w:tc>
          <w:tcPr/>
          <w:p>
            <w:pPr>
              <w:pStyle w:val="Compact"/>
            </w:pPr>
            <w:r>
              <w:t xml:space="preserve">Per-well (24-well 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Moderate (limited by plant space)</w:t>
            </w:r>
          </w:p>
        </w:tc>
        <w:tc>
          <w:tcPr/>
          <w:p>
            <w:pPr>
              <w:pStyle w:val="Compact"/>
            </w:pPr>
            <w:r>
              <w:t xml:space="preserve">Higher (6 replicates per condition)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application</w:t>
            </w:r>
          </w:p>
        </w:tc>
        <w:tc>
          <w:tcPr/>
          <w:p>
            <w:pPr>
              <w:pStyle w:val="Compact"/>
            </w:pPr>
            <w:r>
              <w:t xml:space="preserve">Pik system (N. benthamiana compatible)</w:t>
            </w:r>
          </w:p>
        </w:tc>
        <w:tc>
          <w:tcPr/>
          <w:p>
            <w:pPr>
              <w:pStyle w:val="Compact"/>
            </w:pPr>
            <w:r>
              <w:t xml:space="preserve">TKP system (Rmo2, Rwt7, WTK4)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limitation</w:t>
            </w:r>
          </w:p>
        </w:tc>
        <w:tc>
          <w:tcPr/>
          <w:p>
            <w:pPr>
              <w:pStyle w:val="Compact"/>
            </w:pPr>
            <w:r>
              <w:t xml:space="preserve">Some TKPs don’t work well in Nb</w:t>
            </w:r>
          </w:p>
        </w:tc>
        <w:tc>
          <w:tcPr/>
          <w:p>
            <w:pPr>
              <w:pStyle w:val="Compact"/>
            </w:pPr>
            <w:r>
              <w:t xml:space="preserve">Requires fresh protoplast prep each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8" w:name="appendix-a-buffer-quick-reference"/>
    <w:p>
      <w:pPr>
        <w:pStyle w:val="Heading1"/>
      </w:pPr>
      <w:r>
        <w:t xml:space="preserve">APPENDIX A: BUFFER QUICK REFERENCE</w:t>
      </w:r>
    </w:p>
    <w:bookmarkStart w:id="57" w:name="Xb9bdc39716c02970eb5831554248041b9a1603f"/>
    <w:p>
      <w:pPr>
        <w:pStyle w:val="Heading2"/>
      </w:pPr>
      <w:r>
        <w:t xml:space="preserve">Protoplast Isolation Buffers (wheat, Kronos)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Plasmolysis buffer</w:t>
            </w:r>
          </w:p>
        </w:tc>
        <w:tc>
          <w:tcPr/>
          <w:p>
            <w:pPr>
              <w:pStyle w:val="Compact"/>
            </w:pPr>
            <w:r>
              <w:t xml:space="preserve">750 mM mannitol, 1 mM CaCl₂, 15 mM MES-KOH</w:t>
            </w:r>
          </w:p>
        </w:tc>
        <w:tc>
          <w:tcPr/>
          <w:p>
            <w:pPr>
              <w:pStyle w:val="Compact"/>
            </w:pPr>
            <w:r>
              <w:t xml:space="preserve">5.8–6.0</w:t>
            </w:r>
          </w:p>
        </w:tc>
        <w:tc>
          <w:tcPr/>
          <w:p>
            <w:pPr>
              <w:pStyle w:val="Compact"/>
            </w:pPr>
            <w:r>
              <w:t xml:space="preserve">Pre-plasmolysis before enzyme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Enzyme solution</w:t>
            </w:r>
          </w:p>
        </w:tc>
        <w:tc>
          <w:tcPr/>
          <w:p>
            <w:pPr>
              <w:pStyle w:val="Compact"/>
            </w:pPr>
            <w:r>
              <w:t xml:space="preserve">1.5% Cellulase RS, 0.5% Macerozyme R10, 600 mM mannitol, 10 mM MES-KOH, 1 mM CaCl₂, 0.1% BSA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Digestion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125 mM CaCl₂, 154 mM NaCl, 2 mM MES-KOH, 5 mM KCl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Post-digestion wash, stop 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MMG</w:t>
            </w:r>
          </w:p>
        </w:tc>
        <w:tc>
          <w:tcPr/>
          <w:p>
            <w:pPr>
              <w:pStyle w:val="Compact"/>
            </w:pPr>
            <w:r>
              <w:t xml:space="preserve">600 mM mannitol, 15 mM MgCl₂, 4 mM MES-KOH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Pre-transfection resuspension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solution</w:t>
            </w:r>
          </w:p>
        </w:tc>
        <w:tc>
          <w:tcPr/>
          <w:p>
            <w:pPr>
              <w:pStyle w:val="Compact"/>
            </w:pPr>
            <w:r>
              <w:t xml:space="preserve">40% PEG4000, 80 mM mannitol, 20 mM Ca(NO₃)₂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Transfection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PIM</w:t>
            </w:r>
          </w:p>
        </w:tc>
        <w:tc>
          <w:tcPr/>
          <w:p>
            <w:pPr>
              <w:pStyle w:val="Compact"/>
            </w:pPr>
            <w:r>
              <w:t xml:space="preserve">600 mM mannitol, 4 mM MES-KOH, 4 mM KCl, 3 mM CaCl₂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Post-transfection incubation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appendix-b-typical-experimental-timeline"/>
    <w:p>
      <w:pPr>
        <w:pStyle w:val="Heading1"/>
      </w:pPr>
      <w:r>
        <w:t xml:space="preserve">APPENDIX B: TYPICAL EXPERIMENTAL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–10 to –8</w:t>
            </w:r>
          </w:p>
        </w:tc>
        <w:tc>
          <w:tcPr/>
          <w:p>
            <w:pPr>
              <w:pStyle w:val="Compact"/>
            </w:pPr>
            <w:r>
              <w:t xml:space="preserve">Germinate Kronos wheat seeds in 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~8:00 am</w:t>
            </w:r>
          </w:p>
        </w:tc>
        <w:tc>
          <w:tcPr/>
          <w:p>
            <w:pPr>
              <w:pStyle w:val="Compact"/>
            </w:pPr>
            <w:r>
              <w:t xml:space="preserve">Harvest leaves, cut into 0.5–1 mm strips, submerge in plasmolysis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~8:30 am</w:t>
            </w:r>
          </w:p>
        </w:tc>
        <w:tc>
          <w:tcPr/>
          <w:p>
            <w:pPr>
              <w:pStyle w:val="Compact"/>
            </w:pPr>
            <w:r>
              <w:t xml:space="preserve">Transfer to enzyme solution; vacuum infiltrate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~8:30 am → 12:30 pm</w:t>
            </w:r>
          </w:p>
        </w:tc>
        <w:tc>
          <w:tcPr/>
          <w:p>
            <w:pPr>
              <w:pStyle w:val="Compact"/>
            </w:pPr>
            <w:r>
              <w:t xml:space="preserve">Enzyme digestion (4 hours in dark)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~12:30 pm</w:t>
            </w:r>
          </w:p>
        </w:tc>
        <w:tc>
          <w:tcPr/>
          <w:p>
            <w:pPr>
              <w:pStyle w:val="Compact"/>
            </w:pPr>
            <w:r>
              <w:t xml:space="preserve">Filter through 40 µm mesh, first W5 wash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~1:00 pm</w:t>
            </w:r>
          </w:p>
        </w:tc>
        <w:tc>
          <w:tcPr/>
          <w:p>
            <w:pPr>
              <w:pStyle w:val="Compact"/>
            </w:pPr>
            <w:r>
              <w:t xml:space="preserve">Incubate in cold W5 on ice,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~1:30 pm</w:t>
            </w:r>
          </w:p>
        </w:tc>
        <w:tc>
          <w:tcPr/>
          <w:p>
            <w:pPr>
              <w:pStyle w:val="Compact"/>
            </w:pPr>
            <w:r>
              <w:t xml:space="preserve">Count protoplasts, resuspend in MMG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~2:00 pm</w:t>
            </w:r>
          </w:p>
        </w:tc>
        <w:tc>
          <w:tcPr/>
          <w:p>
            <w:pPr>
              <w:pStyle w:val="Compact"/>
            </w:pPr>
            <w:r>
              <w:t xml:space="preserve">Prepare DNA mixes; add protoplasts; add PEG; 15 min transfection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~2:15 pm</w:t>
            </w:r>
          </w:p>
        </w:tc>
        <w:tc>
          <w:tcPr/>
          <w:p>
            <w:pPr>
              <w:pStyle w:val="Compact"/>
            </w:pPr>
            <w:r>
              <w:t xml:space="preserve">Stop with W5; gentle spin; resuspend in PIM; transfer to 24-well 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0, ~2:30 pm → Day 1, ~10:00 am</w:t>
            </w:r>
          </w:p>
        </w:tc>
        <w:tc>
          <w:tcPr/>
          <w:p>
            <w:pPr>
              <w:pStyle w:val="Compact"/>
            </w:pPr>
            <w:r>
              <w:t xml:space="preserve">Incubate in dark at room temperature (18–20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1, ~10:00 am</w:t>
            </w:r>
          </w:p>
        </w:tc>
        <w:tc>
          <w:tcPr/>
          <w:p>
            <w:pPr>
              <w:pStyle w:val="Compact"/>
            </w:pPr>
            <w:r>
              <w:t xml:space="preserve">Measure luciferase activity (Promega E1500); data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appendix-c-troubleshooting"/>
    <w:p>
      <w:pPr>
        <w:pStyle w:val="Heading1"/>
      </w:pPr>
      <w:r>
        <w:t xml:space="preserve">APPENDIX C: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low protoplast yield</w:t>
            </w:r>
          </w:p>
        </w:tc>
        <w:tc>
          <w:tcPr/>
          <w:p>
            <w:pPr>
              <w:pStyle w:val="Compact"/>
            </w:pPr>
            <w:r>
              <w:t xml:space="preserve">Leaf tissue too old; insufficient cutting; incomplete digestion</w:t>
            </w:r>
          </w:p>
        </w:tc>
        <w:tc>
          <w:tcPr/>
          <w:p>
            <w:pPr>
              <w:pStyle w:val="Compact"/>
            </w:pPr>
            <w:r>
              <w:t xml:space="preserve">Use 8-day-old seedlings; ensure cuts are &lt;1 mm; vacuum infiltrate more thoroughly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background cell death (low luciferase in all conditions)</w:t>
            </w:r>
          </w:p>
        </w:tc>
        <w:tc>
          <w:tcPr/>
          <w:p>
            <w:pPr>
              <w:pStyle w:val="Compact"/>
            </w:pPr>
            <w:r>
              <w:t xml:space="preserve">Poor protoplast quality; PEG too concentrated or too long; DNA contamination</w:t>
            </w:r>
          </w:p>
        </w:tc>
        <w:tc>
          <w:tcPr/>
          <w:p>
            <w:pPr>
              <w:pStyle w:val="Compact"/>
            </w:pPr>
            <w:r>
              <w:t xml:space="preserve">Check protoplast viability before transfection (should be &gt;80% viable by FDA staining); reduce PEG incubation to 12 min; use clean DNA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signal in RUBY assay</w:t>
            </w:r>
          </w:p>
        </w:tc>
        <w:tc>
          <w:tcPr/>
          <w:p>
            <w:pPr>
              <w:pStyle w:val="Compact"/>
            </w:pPr>
            <w:r>
              <w:t xml:space="preserve">Proteins not interacting; VP16/GAL4 fusions inactive; RUBY cassette not expressing</w:t>
            </w:r>
          </w:p>
        </w:tc>
        <w:tc>
          <w:tcPr/>
          <w:p>
            <w:pPr>
              <w:pStyle w:val="Compact"/>
            </w:pPr>
            <w:r>
              <w:t xml:space="preserve">Check protein expression by Western blot of co-infiltrated leaf; test GAL4-VP16 fusion directly as positive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difference between positive and negative control in protoplast assay</w:t>
            </w:r>
          </w:p>
        </w:tc>
        <w:tc>
          <w:tcPr/>
          <w:p>
            <w:pPr>
              <w:pStyle w:val="Compact"/>
            </w:pPr>
            <w:r>
              <w:t xml:space="preserve">NLR/TKP not activatable in this system; transfection efficiency too low</w:t>
            </w:r>
          </w:p>
        </w:tc>
        <w:tc>
          <w:tcPr/>
          <w:p>
            <w:pPr>
              <w:pStyle w:val="Compact"/>
            </w:pPr>
            <w:r>
              <w:t xml:space="preserve">Verify that construct design is correct (no signal peptide on effector); try different DNA ratios; confirm the NLR allele recognises the effector in another assay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Irreproducible results between biological replicates</w:t>
            </w:r>
          </w:p>
        </w:tc>
        <w:tc>
          <w:tcPr/>
          <w:p>
            <w:pPr>
              <w:pStyle w:val="Compact"/>
            </w:pPr>
            <w:r>
              <w:t xml:space="preserve">Batch-to-batch variation in protoplast quality</w:t>
            </w:r>
          </w:p>
        </w:tc>
        <w:tc>
          <w:tcPr/>
          <w:p>
            <w:pPr>
              <w:pStyle w:val="Compact"/>
            </w:pPr>
            <w:r>
              <w:t xml:space="preserve">Standardise growth conditions (temperature, dark conditions, seed batch); count protoplasts accurately; prepare enzyme solution fresh each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appendix-d-key-references"/>
    <w:p>
      <w:pPr>
        <w:pStyle w:val="Heading1"/>
      </w:pPr>
      <w:r>
        <w:t xml:space="preserve">APPENDIX D: KEY REFERENCES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Saur, I.M.L., Bauer, S., Lu, X. and Schulze-Lefert, P. (2019)</w:t>
      </w:r>
      <w:r>
        <w:t xml:space="preserve"> </w:t>
      </w:r>
      <w:r>
        <w:t xml:space="preserve">“A cell death assay in barley and wheat protoplasts for identification and validation of matching pathogen AVR effector and plant NLR immune receptors.”</w:t>
      </w:r>
      <w:r>
        <w:t xml:space="preserve"> </w:t>
      </w:r>
      <w:r>
        <w:rPr>
          <w:i/>
          <w:iCs/>
        </w:rPr>
        <w:t xml:space="preserve">Plant Methods</w:t>
      </w:r>
      <w:r>
        <w:t xml:space="preserve"> </w:t>
      </w:r>
      <w:r>
        <w:t xml:space="preserve">16:110. —</w:t>
      </w:r>
      <w:r>
        <w:t xml:space="preserve"> </w:t>
      </w:r>
      <w:r>
        <w:rPr>
          <w:i/>
          <w:iCs/>
        </w:rPr>
        <w:t xml:space="preserve">The foundational paper for the luciferase-based protoplast cell death assay. The Banfield lab protocol is directly adapted from this work.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Knight, Winfield, Goldson, Bargmann and Borrill</w:t>
      </w:r>
      <w:r>
        <w:t xml:space="preserve"> </w:t>
      </w:r>
      <w:r>
        <w:t xml:space="preserve">(ref. 53 in Yu et al. 2025) —</w:t>
      </w:r>
      <w:r>
        <w:t xml:space="preserve"> </w:t>
      </w:r>
      <w:r>
        <w:rPr>
          <w:i/>
          <w:iCs/>
        </w:rPr>
        <w:t xml:space="preserve">The wheat protoplast isolation protocol that the Banfield lab follows. Full citation to be confirmed from the Yu et al. reference list once published.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Yu, D.S., Zdrzałek, R., et al. (2025, submitted)</w:t>
      </w:r>
      <w:r>
        <w:t xml:space="preserve"> </w:t>
      </w:r>
      <w:r>
        <w:t xml:space="preserve">“Protein engineering of plant tandem kinase immune receptors expands effector recognition profiles.”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Primary source for the Banfield lab protoplast and RUBY assay methods documented in this handbook. Supplementary methods are stored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Lab Protocols/Protoplast Assays/Yu_et_al_TKP_paper_Supplementary_Methods_Nov2025.docx</w:t>
      </w:r>
      <w:r>
        <w:rPr>
          <w:i/>
          <w:iCs/>
        </w:rPr>
        <w:t xml:space="preserve">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2026-05-08T15:41:52Z</dcterms:created>
  <dcterms:modified xsi:type="dcterms:W3CDTF">2026-05-08T15:41:52Z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