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sz w:val="22"/>
          <w:szCs w:val="22"/>
          <w:rtl w:val="0"/>
        </w:rPr>
        <w:t xml:space="preserve">This image presents sections of a real estate contract, specifically addressing mortgages, notices, pronouns, time of essence, and condition of premises. The contract outlines the responsibilities of the seller and purchaser regarding mortgage payments, how notices should be delivered, the use of pronouns in the agreement, the importance of time in the contract, and the purchaser's acknowledgment of the property's condition.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0" w:lineRule="auto"/>
        <w:rPr>
          <w:i w:val="1"/>
          <w:iCs w:val="1"/>
          <w:sz w:val="22"/>
          <w:szCs w:val="22"/>
        </w:rPr>
      </w:pPr>
      <w:r w:rsidDel="00000000" w:rsidR="00000000" w:rsidRPr="00000000">
        <w:rPr>
          <w:i w:val="1"/>
          <w:iCs w:val="1"/>
          <w:sz w:val="22"/>
          <w:szCs w:val="22"/>
          <w:rtl w:val="0"/>
        </w:rPr>
        <w:t xml:space="preserve">AI responses may include mistakes.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