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This text describes a legal agreement, likely related to a real estate transaction, specifically concerning mortgages and land contracts. It outlines the responsibilities of the seller regarding existing mortgages and how the purchaser can protect their interests. The document also mentions how payments are handled and the process for giving notices.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0" w:lineRule="auto"/>
        <w:rPr>
          <w:i w:val="1"/>
          <w:iCs w:val="1"/>
          <w:sz w:val="22"/>
          <w:szCs w:val="22"/>
        </w:rPr>
      </w:pPr>
      <w:r w:rsidDel="00000000" w:rsidR="00000000" w:rsidRPr="00000000">
        <w:rPr>
          <w:i w:val="1"/>
          <w:iCs w:val="1"/>
          <w:sz w:val="22"/>
          <w:szCs w:val="22"/>
          <w:rtl w:val="0"/>
        </w:rPr>
        <w:t xml:space="preserve">AI responses may include mistakes.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