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ingapore-macroeconomic-research"/>
    <w:p>
      <w:pPr>
        <w:pStyle w:val="Heading1"/>
      </w:pPr>
      <w:r>
        <w:t xml:space="preserve">Singapore Macroeconomic Research</w:t>
      </w:r>
    </w:p>
    <w:p>
      <w:pPr>
        <w:pStyle w:val="FirstParagraph"/>
      </w:pPr>
      <w:r>
        <w:t xml:space="preserve">Two applied econometric analyses of Singapore’s macroeconomic dynamics, using World Bank World Development Indicators (WDI) data spanning 1980–2024. Both projects were completed as part of independent research coursework for a BSc (Hons) Economics degree at the University of East Anglia.</w:t>
      </w:r>
    </w:p>
    <w:p>
      <w:r>
        <w:pict>
          <v:rect style="width:0;height:1.5pt" o:hralign="center" o:hrstd="t" o:hr="t"/>
        </w:pict>
      </w:r>
    </w:p>
    <w:bookmarkStart w:id="22" w:name="projects"/>
    <w:p>
      <w:pPr>
        <w:pStyle w:val="Heading2"/>
      </w:pPr>
      <w:r>
        <w:t xml:space="preserve">Projects</w:t>
      </w:r>
    </w:p>
    <w:bookmarkStart w:id="20" w:name="Xf87815ebfae3d916873ef22da8eda0e1805ba5d"/>
    <w:p>
      <w:pPr>
        <w:pStyle w:val="Heading3"/>
      </w:pPr>
      <w:r>
        <w:t xml:space="preserve">1. Inflation Dynamics: Domestic Slack vs. External Exposure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01_inflation_dynamics.R</w:t>
      </w:r>
    </w:p>
    <w:p>
      <w:pPr>
        <w:pStyle w:val="BodyText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What drives consumer price inflation in Singapore — domestic labour market conditions (unemployment) or external trade exposure (trade openness)?</w:t>
      </w:r>
    </w:p>
    <w:p>
      <w:pPr>
        <w:pStyle w:val="BodyText"/>
      </w:pPr>
      <w:r>
        <w:t xml:space="preserve">Singapore is an unusually open economy with limited monetary policy independence, making it a distinctive case for testing open-economy inflation models. The analysis examines whether standard Phillips curve logic holds, and whether imported price pressures via trade openness represent a meaningful additional channel.</w:t>
      </w:r>
    </w:p>
    <w:p>
      <w:pPr>
        <w:pStyle w:val="BodyText"/>
      </w:pPr>
      <w:r>
        <w:rPr>
          <w:b/>
          <w:bCs/>
        </w:rPr>
        <w:t xml:space="preserve">Methodology:</w:t>
      </w:r>
    </w:p>
    <w:p>
      <w:pPr>
        <w:pStyle w:val="BodyText"/>
      </w:pPr>
      <w:r>
        <w:t xml:space="preserve">Three progressive model specifications are estimated using OLS: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Baseline OLS</w:t>
      </w:r>
      <w:r>
        <w:t xml:space="preserve"> </w:t>
      </w:r>
      <w:r>
        <w:t xml:space="preserve">— inflation regressed on contemporaneous macroeconomic conditions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Lagged specification</w:t>
      </w:r>
      <w:r>
        <w:t xml:space="preserve"> </w:t>
      </w:r>
      <w:r>
        <w:t xml:space="preserve">— regressors lagged one period to address reverse causality and test policy transmission lags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Error-correction model (ECM)</w:t>
      </w:r>
      <w:r>
        <w:t xml:space="preserve"> </w:t>
      </w:r>
      <w:r>
        <w:t xml:space="preserve">— first-differenced inflation regressed on lagged levels and differences, separating short-run dynamics from long-run adjustment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2"/>
        </w:numPr>
      </w:pPr>
      <w:r>
        <w:t xml:space="preserve">Both unemployment (domestic slack) and trade openness (external exposure) are statistically significant drivers of inflation, consistent with an open-economy Phillips curve</w:t>
      </w:r>
    </w:p>
    <w:p>
      <w:pPr>
        <w:pStyle w:val="Compact"/>
        <w:numPr>
          <w:ilvl w:val="0"/>
          <w:numId w:val="1002"/>
        </w:numPr>
      </w:pPr>
      <w:r>
        <w:t xml:space="preserve">Trade openness has a positive coefficient, suggesting imported price pressures are a meaningful inflation channel — expected given Singapore’s trade-to-GDP ratio exceeding 300%</w:t>
      </w:r>
    </w:p>
    <w:p>
      <w:pPr>
        <w:pStyle w:val="Compact"/>
        <w:numPr>
          <w:ilvl w:val="0"/>
          <w:numId w:val="1002"/>
        </w:numPr>
      </w:pPr>
      <w:r>
        <w:t xml:space="preserve">The ECM error-correction term is negative and significant, indicating relatively fast mean-reversion: a substantial share of deviations from long-run equilibrium are corrected within one year</w:t>
      </w:r>
    </w:p>
    <w:p>
      <w:pPr>
        <w:pStyle w:val="Compact"/>
        <w:numPr>
          <w:ilvl w:val="0"/>
          <w:numId w:val="1002"/>
        </w:numPr>
      </w:pPr>
      <w:r>
        <w:t xml:space="preserve">Inflation persistence is limited, consistent with Singapore’s credible monetary policy framework operated through the SGD exchange rate band</w:t>
      </w:r>
    </w:p>
    <w:p>
      <w:r>
        <w:pict>
          <v:rect style="width:0;height:1.5pt" o:hralign="center" o:hrstd="t" o:hr="t"/>
        </w:pict>
      </w:r>
    </w:p>
    <w:bookmarkEnd w:id="20"/>
    <w:bookmarkStart w:id="21" w:name="macroeconomic-drivers-of-trade-openness"/>
    <w:p>
      <w:pPr>
        <w:pStyle w:val="Heading3"/>
      </w:pPr>
      <w:r>
        <w:t xml:space="preserve">2. Macroeconomic Drivers of Trade Openness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02_trade_openness.R</w:t>
      </w:r>
    </w:p>
    <w:p>
      <w:pPr>
        <w:pStyle w:val="BodyText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What structural macroeconomic factors explain the level and variation of Singapore’s trade openness over time?</w:t>
      </w:r>
    </w:p>
    <w:p>
      <w:pPr>
        <w:pStyle w:val="BodyText"/>
      </w:pPr>
      <w:r>
        <w:t xml:space="preserve">Singapore maintains one of the highest trade-to-GDP ratios in the world. This analysis investigates whether that openness is driven by cyclical macroeconomic conditions or whether it reflects deeper structural features that respond more slowly to prior-period economic states.</w:t>
      </w:r>
    </w:p>
    <w:p>
      <w:pPr>
        <w:pStyle w:val="BodyText"/>
      </w:pPr>
      <w:r>
        <w:rPr>
          <w:b/>
          <w:bCs/>
        </w:rPr>
        <w:t xml:space="preserve">Methodology:</w:t>
      </w:r>
    </w:p>
    <w:p>
      <w:pPr>
        <w:pStyle w:val="BodyText"/>
      </w:pPr>
      <w:r>
        <w:t xml:space="preserve">Two model specifications are estimated using OLS: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Baseline OLS</w:t>
      </w:r>
      <w:r>
        <w:t xml:space="preserve"> </w:t>
      </w:r>
      <w:r>
        <w:t xml:space="preserve">— trade openness regressed on contemporaneous macro conditions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Lagged specification</w:t>
      </w:r>
      <w:r>
        <w:t xml:space="preserve"> </w:t>
      </w:r>
      <w:r>
        <w:t xml:space="preserve">— all regressors lagged one period, testing whether openness responds to prior-period conditions rather than current shocks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4"/>
        </w:numPr>
      </w:pPr>
      <w:r>
        <w:t xml:space="preserve">Higher unemployment is associated with increased trade openness, suggesting trade functions as a counter-cyclical stabilisation mechanism — consistent with Singapore’s outward-oriented growth model</w:t>
      </w:r>
    </w:p>
    <w:p>
      <w:pPr>
        <w:pStyle w:val="Compact"/>
        <w:numPr>
          <w:ilvl w:val="0"/>
          <w:numId w:val="1004"/>
        </w:numPr>
      </w:pPr>
      <w:r>
        <w:t xml:space="preserve">Population growth and current account balance are significant structural drivers of openness</w:t>
      </w:r>
    </w:p>
    <w:p>
      <w:pPr>
        <w:pStyle w:val="Compact"/>
        <w:numPr>
          <w:ilvl w:val="0"/>
          <w:numId w:val="1004"/>
        </w:numPr>
      </w:pPr>
      <w:r>
        <w:t xml:space="preserve">The lagged model explains more variation than the contemporaneous specification, supporting the interpretation that trade openness is an adaptive, structural feature of Singapore’s economy rather than a purely cyclical outcome</w:t>
      </w:r>
    </w:p>
    <w:p>
      <w:pPr>
        <w:pStyle w:val="Compact"/>
        <w:numPr>
          <w:ilvl w:val="0"/>
          <w:numId w:val="1004"/>
        </w:numPr>
      </w:pPr>
      <w:r>
        <w:t xml:space="preserve">GDP growth and fiscal variables show limited direct influence on openness after controlling for other factors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All data are sourced from the</w:t>
      </w:r>
      <w:r>
        <w:t xml:space="preserve"> </w:t>
      </w:r>
      <w:hyperlink r:id="rId23">
        <w:r>
          <w:rPr>
            <w:rStyle w:val="Hyperlink"/>
          </w:rPr>
          <w:t xml:space="preserve">World Bank World Development Indicators (WDI)</w:t>
        </w:r>
      </w:hyperlink>
      <w:r>
        <w:t xml:space="preserve">, accessed programmatically via the</w:t>
      </w:r>
      <w:r>
        <w:t xml:space="preserve"> </w:t>
      </w:r>
      <w:r>
        <w:rPr>
          <w:rStyle w:val="VerbatimChar"/>
        </w:rPr>
        <w:t xml:space="preserve">WDI</w:t>
      </w:r>
      <w:r>
        <w:t xml:space="preserve"> </w:t>
      </w:r>
      <w:r>
        <w:t xml:space="preserve">R package. No manual downloads are required — scripts pull directly from the API on execution.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WDI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</w:t>
            </w:r>
          </w:p>
        </w:tc>
        <w:tc>
          <w:tcPr/>
          <w:p>
            <w:pPr>
              <w:pStyle w:val="Compact"/>
            </w:pPr>
            <w:r>
              <w:t xml:space="preserve">NY.GDP.MKTP.KD.ZG</w:t>
            </w:r>
          </w:p>
        </w:tc>
        <w:tc>
          <w:tcPr/>
          <w:p>
            <w:pPr>
              <w:pStyle w:val="Compact"/>
            </w:pPr>
            <w:r>
              <w:t xml:space="preserve">Real GDP growth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</w:t>
            </w:r>
          </w:p>
        </w:tc>
        <w:tc>
          <w:tcPr/>
          <w:p>
            <w:pPr>
              <w:pStyle w:val="Compact"/>
            </w:pPr>
            <w:r>
              <w:t xml:space="preserve">SL.UEM.TOTL.ZS</w:t>
            </w:r>
          </w:p>
        </w:tc>
        <w:tc>
          <w:tcPr/>
          <w:p>
            <w:pPr>
              <w:pStyle w:val="Compact"/>
            </w:pPr>
            <w:r>
              <w:t xml:space="preserve">Unemployment rate (% of labour 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FP.CPI.TOTL</w:t>
            </w:r>
          </w:p>
        </w:tc>
        <w:tc>
          <w:tcPr/>
          <w:p>
            <w:pPr>
              <w:pStyle w:val="Compact"/>
            </w:pPr>
            <w:r>
              <w:t xml:space="preserve">CPI index, 2010 = 100 (used to derive inflation)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FDI</w:t>
            </w:r>
          </w:p>
        </w:tc>
        <w:tc>
          <w:tcPr/>
          <w:p>
            <w:pPr>
              <w:pStyle w:val="Compact"/>
            </w:pPr>
            <w:r>
              <w:t xml:space="preserve">BX.KLT.DINV.WD.GD.ZS</w:t>
            </w:r>
          </w:p>
        </w:tc>
        <w:tc>
          <w:tcPr/>
          <w:p>
            <w:pPr>
              <w:pStyle w:val="Compact"/>
            </w:pPr>
            <w:r>
              <w:t xml:space="preserve">FDI net inflows (% of GDP)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debt</w:t>
            </w:r>
          </w:p>
        </w:tc>
        <w:tc>
          <w:tcPr/>
          <w:p>
            <w:pPr>
              <w:pStyle w:val="Compact"/>
            </w:pPr>
            <w:r>
              <w:t xml:space="preserve">GC.DOD.TOTL.GD.ZS</w:t>
            </w:r>
          </w:p>
        </w:tc>
        <w:tc>
          <w:tcPr/>
          <w:p>
            <w:pPr>
              <w:pStyle w:val="Compact"/>
            </w:pPr>
            <w:r>
              <w:t xml:space="preserve">Central government debt (% of GDP)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</w:pPr>
            <w:r>
              <w:t xml:space="preserve">NE.TRD.GNFS.ZS</w:t>
            </w:r>
          </w:p>
        </w:tc>
        <w:tc>
          <w:tcPr/>
          <w:p>
            <w:pPr>
              <w:pStyle w:val="Compact"/>
            </w:pPr>
            <w:r>
              <w:t xml:space="preserve">Exports + imports (% of GDP)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account</w:t>
            </w:r>
          </w:p>
        </w:tc>
        <w:tc>
          <w:tcPr/>
          <w:p>
            <w:pPr>
              <w:pStyle w:val="Compact"/>
            </w:pPr>
            <w:r>
              <w:t xml:space="preserve">BN.CAB.XOKA.GD.ZS</w:t>
            </w:r>
          </w:p>
        </w:tc>
        <w:tc>
          <w:tcPr/>
          <w:p>
            <w:pPr>
              <w:pStyle w:val="Compact"/>
            </w:pPr>
            <w:r>
              <w:t xml:space="preserve">Current account balance (% of GDP)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growth</w:t>
            </w:r>
          </w:p>
        </w:tc>
        <w:tc>
          <w:tcPr/>
          <w:p>
            <w:pPr>
              <w:pStyle w:val="Compact"/>
            </w:pPr>
            <w:r>
              <w:t xml:space="preserve">SP.POP.GROW</w:t>
            </w:r>
          </w:p>
        </w:tc>
        <w:tc>
          <w:tcPr/>
          <w:p>
            <w:pPr>
              <w:pStyle w:val="Compact"/>
            </w:pPr>
            <w:r>
              <w:t xml:space="preserve">Population growth rate (%)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quirements"/>
    <w:p>
      <w:pPr>
        <w:pStyle w:val="Heading2"/>
      </w:pPr>
      <w:r>
        <w:t xml:space="preserve">Requirements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"WDI"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Developed and tested in R 4.3+.</w:t>
      </w:r>
    </w:p>
    <w:p>
      <w:r>
        <w:pict>
          <v:rect style="width:0;height:1.5pt" o:hralign="center" o:hrstd="t" o:hr="t"/>
        </w:pict>
      </w:r>
    </w:p>
    <w:bookmarkEnd w:id="25"/>
    <w:bookmarkStart w:id="26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singapore-macro-research/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01_inflation_dynamics.R</w:t>
      </w:r>
      <w:r>
        <w:br/>
      </w:r>
      <w:r>
        <w:rPr>
          <w:rStyle w:val="VerbatimChar"/>
        </w:rPr>
        <w:t xml:space="preserve">└── 02_trade_openness.R</w:t>
      </w:r>
    </w:p>
    <w:p>
      <w:r>
        <w:pict>
          <v:rect style="width:0;height:1.5pt" o:hralign="center" o:hrstd="t" o:hr="t"/>
        </w:pict>
      </w:r>
    </w:p>
    <w:bookmarkEnd w:id="26"/>
    <w:bookmarkStart w:id="28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Joshua Sim Zhe Wei</w:t>
      </w:r>
      <w:r>
        <w:t xml:space="preserve"> </w:t>
      </w:r>
      <w:r>
        <w:t xml:space="preserve">BSc (Hons) Economics, University of East Anglia (predicted First Class Honours)</w:t>
      </w:r>
      <w:r>
        <w:t xml:space="preserve"> </w:t>
      </w:r>
      <w:hyperlink r:id="rId27">
        <w:r>
          <w:rPr>
            <w:rStyle w:val="Hyperlink"/>
          </w:rPr>
          <w:t xml:space="preserve">joshua.simzw@gmail.com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atabank.worldbank.org/source/world-development-indicators" TargetMode="External" /><Relationship Type="http://schemas.openxmlformats.org/officeDocument/2006/relationships/hyperlink" Id="rId27" Target="mailto:joshua.simzw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atabank.worldbank.org/source/world-development-indicators" TargetMode="External" /><Relationship Type="http://schemas.openxmlformats.org/officeDocument/2006/relationships/hyperlink" Id="rId27" Target="mailto:joshua.simzw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2026-03-23T01:07:07Z</dcterms:created>
  <dcterms:modified xsi:type="dcterms:W3CDTF">2026-03-23T01:07:07Z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