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50"/>
      </w:pPr>
      <w:r>
        <w:rPr>
          <w:rFonts w:ascii="Calibri" w:cs="Calibri" w:eastAsia="Calibri" w:hAnsi="Calibri"/>
          <w:b/>
          <w:bCs/>
          <w:color w:val="C0392B"/>
          <w:sz w:val="18"/>
          <w:szCs w:val="18"/>
        </w:rPr>
        <w:t xml:space="preserve">SYNTHETIC SAMPLE — FICTIONAL DATA FOR T-MINUS TESTING. Not a NASA record. No real requirement, vendor, person, or funding.</w:t>
      </w:r>
    </w:p>
    <w:p>
      <w:pPr>
        <w:spacing w:after="0" w:before="0" w:line="250"/>
      </w:pPr>
      <w:r>
        <w:rPr>
          <w:rFonts w:ascii="Calibri" w:cs="Calibri" w:eastAsia="Calibri" w:hAnsi="Calibri"/>
          <w:b/>
          <w:bCs/>
          <w:color w:val="1F2328"/>
          <w:sz w:val="28"/>
          <w:szCs w:val="28"/>
        </w:rPr>
        <w:t xml:space="preserve">Statement of Work</w:t>
      </w:r>
    </w:p>
    <w:p>
      <w:pPr>
        <w:spacing w:after="0" w:before="0" w:line="250"/>
      </w:pPr>
      <w:r>
        <w:rPr>
          <w:rFonts w:ascii="Calibri" w:cs="Calibri" w:eastAsia="Calibri" w:hAnsi="Calibri"/>
          <w:b/>
          <w:bCs/>
          <w:color w:val="1F2328"/>
          <w:sz w:val="24"/>
          <w:szCs w:val="24"/>
        </w:rPr>
        <w:t xml:space="preserve">Commercial Aviation Services — Arctic Snow Depth Flights, Spring 2027 Campaign</w:t>
      </w:r>
    </w:p>
    <w:p>
      <w:pPr>
        <w:spacing w:after="200" w:before="0" w:line="250"/>
      </w:pPr>
      <w:r>
        <w:rPr>
          <w:rFonts w:ascii="Calibri" w:cs="Calibri" w:eastAsia="Calibri" w:hAnsi="Calibri"/>
          <w:color w:val="4A5058"/>
          <w:sz w:val="22"/>
          <w:szCs w:val="22"/>
        </w:rPr>
        <w:t xml:space="preserve">Requisition 4200SAMPLE0101  ·  Version 1.0  ·  13 September 2026</w:t>
      </w:r>
    </w:p>
    <w:p>
      <w:pPr>
        <w:spacing w:after="80" w:before="240"/>
      </w:pPr>
      <w:r>
        <w:rPr>
          <w:rFonts w:ascii="Arial" w:cs="Arial" w:eastAsia="Arial" w:hAnsi="Arial"/>
          <w:b/>
          <w:bCs/>
          <w:color w:val="1B3A8F"/>
          <w:sz w:val="26"/>
          <w:szCs w:val="26"/>
        </w:rPr>
        <w:t xml:space="preserve">1. Scope</w:t>
      </w:r>
    </w:p>
    <w:p>
      <w:pPr>
        <w:spacing w:after="100" w:before="0" w:line="250"/>
      </w:pPr>
      <w:r>
        <w:rPr>
          <w:rFonts w:ascii="Calibri" w:cs="Calibri" w:eastAsia="Calibri" w:hAnsi="Calibri"/>
          <w:color w:val="1F2328"/>
          <w:sz w:val="22"/>
          <w:szCs w:val="22"/>
        </w:rPr>
        <w:t xml:space="preserve">The contractor shall provide a pressurized twin-turboprop aircraft of the King Air 200/350 class with flight crew, maintenance, fuel, hangar, and ground handling to fly a government-furnished airborne snow radar over Arctic Alaska during the spring 2027 campaign. The contractor shall integrate the government-furnished radar and belly-mounted antenna fairing on the aircraft, operate the aircraft in accordance with the government flight plans, and return the government property at the end of the campaign. The aircraft shall be operated as a NASA public aircraft for science flights.</w:t>
      </w:r>
    </w:p>
    <w:p>
      <w:pPr>
        <w:spacing w:after="80" w:before="240"/>
      </w:pPr>
      <w:r>
        <w:rPr>
          <w:rFonts w:ascii="Arial" w:cs="Arial" w:eastAsia="Arial" w:hAnsi="Arial"/>
          <w:b/>
          <w:bCs/>
          <w:color w:val="1B3A8F"/>
          <w:sz w:val="26"/>
          <w:szCs w:val="26"/>
        </w:rPr>
        <w:t xml:space="preserve">2. Background</w:t>
      </w:r>
    </w:p>
    <w:p>
      <w:pPr>
        <w:spacing w:after="100" w:before="0" w:line="250"/>
      </w:pPr>
      <w:r>
        <w:rPr>
          <w:rFonts w:ascii="Calibri" w:cs="Calibri" w:eastAsia="Calibri" w:hAnsi="Calibri"/>
          <w:color w:val="1F2328"/>
          <w:sz w:val="22"/>
          <w:szCs w:val="22"/>
        </w:rPr>
        <w:t xml:space="preserve">The Arctic Snow Depth Campaign 2027 supports validation of satellite snow depth products. The government radar (Ku/Ka-band) was integrated on a King Air 200 in the 2025 campaign under the operator's supplemental type certificate for the belly radome. Peak snowpack on the North Slope occurs in early April; the first science flight is required on or before 6 April 2027.</w:t>
      </w:r>
    </w:p>
    <w:p>
      <w:pPr>
        <w:spacing w:after="80" w:before="240"/>
      </w:pPr>
      <w:r>
        <w:rPr>
          <w:rFonts w:ascii="Arial" w:cs="Arial" w:eastAsia="Arial" w:hAnsi="Arial"/>
          <w:b/>
          <w:bCs/>
          <w:color w:val="1B3A8F"/>
          <w:sz w:val="26"/>
          <w:szCs w:val="26"/>
        </w:rPr>
        <w:t xml:space="preserve">3. Period and place of performance</w:t>
      </w:r>
    </w:p>
    <w:p>
      <w:pPr>
        <w:spacing w:after="100" w:before="0" w:line="250"/>
      </w:pPr>
      <w:r>
        <w:rPr>
          <w:rFonts w:ascii="Calibri" w:cs="Calibri" w:eastAsia="Calibri" w:hAnsi="Calibri"/>
          <w:color w:val="1F2328"/>
          <w:sz w:val="22"/>
          <w:szCs w:val="22"/>
        </w:rPr>
        <w:t xml:space="preserve">Period of performance: 1 March 2027 through 30 May 2027. Integration and check flights at the contractor's home base or Fairbanks between 1 and 14 March 2027; science flights from Fairbanks International Airport (PAFA), Fairbanks, Alaska, between 15 March and 30 May 2027. The contractor shall provide hangar space at Fairbanks for the aircraft with the radar installed for the duration of the science flight window.</w:t>
      </w:r>
    </w:p>
    <w:p>
      <w:pPr>
        <w:spacing w:after="80" w:before="240"/>
      </w:pPr>
      <w:r>
        <w:rPr>
          <w:rFonts w:ascii="Arial" w:cs="Arial" w:eastAsia="Arial" w:hAnsi="Arial"/>
          <w:b/>
          <w:bCs/>
          <w:color w:val="1B3A8F"/>
          <w:sz w:val="26"/>
          <w:szCs w:val="26"/>
        </w:rPr>
        <w:t xml:space="preserve">4. Tasks</w:t>
      </w:r>
    </w:p>
    <w:p>
      <w:pPr>
        <w:spacing w:after="100" w:before="0" w:line="250"/>
      </w:pPr>
      <w:r>
        <w:rPr>
          <w:rFonts w:ascii="Calibri" w:cs="Calibri" w:eastAsia="Calibri" w:hAnsi="Calibri"/>
          <w:b/>
          <w:bCs/>
          <w:color w:val="1F2328"/>
          <w:sz w:val="22"/>
          <w:szCs w:val="22"/>
        </w:rPr>
        <w:t xml:space="preserve">4.1 Integration. </w:t>
      </w:r>
      <w:r>
        <w:rPr>
          <w:rFonts w:ascii="Calibri" w:cs="Calibri" w:eastAsia="Calibri" w:hAnsi="Calibri"/>
          <w:color w:val="1F2328"/>
          <w:sz w:val="22"/>
          <w:szCs w:val="22"/>
        </w:rPr>
        <w:t xml:space="preserve">Install the government-furnished radar, antenna fairing, operator console, and power/data cabling in accordance with the government's integration drawings and the contractor's STC or approved field modification. Provide a weight-and-balance and electrical load analysis and a conformity inspection record before the first flight.</w:t>
      </w:r>
    </w:p>
    <w:p>
      <w:pPr>
        <w:spacing w:after="100" w:before="0" w:line="250"/>
      </w:pPr>
      <w:r>
        <w:rPr>
          <w:rFonts w:ascii="Calibri" w:cs="Calibri" w:eastAsia="Calibri" w:hAnsi="Calibri"/>
          <w:b/>
          <w:bCs/>
          <w:color w:val="1F2328"/>
          <w:sz w:val="22"/>
          <w:szCs w:val="22"/>
        </w:rPr>
        <w:t xml:space="preserve">4.2 Check flights. </w:t>
      </w:r>
      <w:r>
        <w:rPr>
          <w:rFonts w:ascii="Calibri" w:cs="Calibri" w:eastAsia="Calibri" w:hAnsi="Calibri"/>
          <w:color w:val="1F2328"/>
          <w:sz w:val="22"/>
          <w:szCs w:val="22"/>
        </w:rPr>
        <w:t xml:space="preserve">Conduct at least two functional check flights (minimum 2.0 hours each) with the government operator aboard to verify radar operation, EMI/EMC compatibility with aircraft systems, and fairing aerodynamic behavior through the science flight envelope (150 to 200 KIAS, 500 to 3,000 ft AGL).</w:t>
      </w:r>
    </w:p>
    <w:p>
      <w:pPr>
        <w:spacing w:after="100" w:before="0" w:line="250"/>
      </w:pPr>
      <w:r>
        <w:rPr>
          <w:rFonts w:ascii="Calibri" w:cs="Calibri" w:eastAsia="Calibri" w:hAnsi="Calibri"/>
          <w:b/>
          <w:bCs/>
          <w:color w:val="1F2328"/>
          <w:sz w:val="22"/>
          <w:szCs w:val="22"/>
        </w:rPr>
        <w:t xml:space="preserve">4.3 Science flights. </w:t>
      </w:r>
      <w:r>
        <w:rPr>
          <w:rFonts w:ascii="Calibri" w:cs="Calibri" w:eastAsia="Calibri" w:hAnsi="Calibri"/>
          <w:color w:val="1F2328"/>
          <w:sz w:val="22"/>
          <w:szCs w:val="22"/>
        </w:rPr>
        <w:t xml:space="preserve">Fly approximately 20 to 24 science sorties totaling approximately 160 flight hours along government-provided survey lines over the North Slope, Brooks Range, and Interior Alaska at 500 to 1,500 ft AGL, with terrain-following at the pilot's discretion for safety. Sorties are typically 5 to 7 hours. The contractor shall be capable of launching within 90 minutes of a go call on any day in the science window, weather permitting.</w:t>
      </w:r>
    </w:p>
    <w:p>
      <w:pPr>
        <w:spacing w:after="100" w:before="0" w:line="250"/>
      </w:pPr>
      <w:r>
        <w:rPr>
          <w:rFonts w:ascii="Calibri" w:cs="Calibri" w:eastAsia="Calibri" w:hAnsi="Calibri"/>
          <w:b/>
          <w:bCs/>
          <w:color w:val="1F2328"/>
          <w:sz w:val="22"/>
          <w:szCs w:val="22"/>
        </w:rPr>
        <w:t xml:space="preserve">4.4 Standby. </w:t>
      </w:r>
      <w:r>
        <w:rPr>
          <w:rFonts w:ascii="Calibri" w:cs="Calibri" w:eastAsia="Calibri" w:hAnsi="Calibri"/>
          <w:color w:val="1F2328"/>
          <w:sz w:val="22"/>
          <w:szCs w:val="22"/>
        </w:rPr>
        <w:t xml:space="preserve">Maintain the aircraft and crew on standby at Fairbanks on non-flying days within the science window. Up to 20 standby days are anticipated.</w:t>
      </w:r>
    </w:p>
    <w:p>
      <w:pPr>
        <w:spacing w:after="100" w:before="0" w:line="250"/>
      </w:pPr>
      <w:r>
        <w:rPr>
          <w:rFonts w:ascii="Calibri" w:cs="Calibri" w:eastAsia="Calibri" w:hAnsi="Calibri"/>
          <w:b/>
          <w:bCs/>
          <w:color w:val="1F2328"/>
          <w:sz w:val="22"/>
          <w:szCs w:val="22"/>
        </w:rPr>
        <w:t xml:space="preserve">4.5 Crew and duty. </w:t>
      </w:r>
      <w:r>
        <w:rPr>
          <w:rFonts w:ascii="Calibri" w:cs="Calibri" w:eastAsia="Calibri" w:hAnsi="Calibri"/>
          <w:color w:val="1F2328"/>
          <w:sz w:val="22"/>
          <w:szCs w:val="22"/>
        </w:rPr>
        <w:t xml:space="preserve">Provide two pilots per sortie qualified for low-level survey operations in Arctic conditions, and a maintenance technician at Fairbanks. Comply with 14 CFR Part 135 crew rest or the contractor's approved equivalent under public aircraft operations.</w:t>
      </w:r>
    </w:p>
    <w:p>
      <w:pPr>
        <w:spacing w:after="100" w:before="0" w:line="250"/>
      </w:pPr>
      <w:r>
        <w:rPr>
          <w:rFonts w:ascii="Calibri" w:cs="Calibri" w:eastAsia="Calibri" w:hAnsi="Calibri"/>
          <w:b/>
          <w:bCs/>
          <w:color w:val="1F2328"/>
          <w:sz w:val="22"/>
          <w:szCs w:val="22"/>
        </w:rPr>
        <w:t xml:space="preserve">4.6 Data. </w:t>
      </w:r>
      <w:r>
        <w:rPr>
          <w:rFonts w:ascii="Calibri" w:cs="Calibri" w:eastAsia="Calibri" w:hAnsi="Calibri"/>
          <w:color w:val="1F2328"/>
          <w:sz w:val="22"/>
          <w:szCs w:val="22"/>
        </w:rPr>
        <w:t xml:space="preserve">Provide GPS/INS aircraft position and attitude data at 10 Hz for every flight in a government-specified format within 24 hours of landing. Provide daily flight logs and a campaign summary report within 15 days of the last science flight.</w:t>
      </w:r>
    </w:p>
    <w:p>
      <w:pPr>
        <w:spacing w:after="100" w:before="0" w:line="250"/>
      </w:pPr>
      <w:r>
        <w:rPr>
          <w:rFonts w:ascii="Calibri" w:cs="Calibri" w:eastAsia="Calibri" w:hAnsi="Calibri"/>
          <w:b/>
          <w:bCs/>
          <w:color w:val="1F2328"/>
          <w:sz w:val="22"/>
          <w:szCs w:val="22"/>
        </w:rPr>
        <w:t xml:space="preserve">4.7 De-integration. </w:t>
      </w:r>
      <w:r>
        <w:rPr>
          <w:rFonts w:ascii="Calibri" w:cs="Calibri" w:eastAsia="Calibri" w:hAnsi="Calibri"/>
          <w:color w:val="1F2328"/>
          <w:sz w:val="22"/>
          <w:szCs w:val="22"/>
        </w:rPr>
        <w:t xml:space="preserve">Remove the government property, restore the aircraft, pack the property in the government shipping cases, and deliver it to the government at Fairbanks by 30 May 2027 with an inventory signed by both parties.</w:t>
      </w:r>
    </w:p>
    <w:p>
      <w:pPr>
        <w:spacing w:after="80" w:before="240"/>
      </w:pPr>
      <w:r>
        <w:rPr>
          <w:rFonts w:ascii="Arial" w:cs="Arial" w:eastAsia="Arial" w:hAnsi="Arial"/>
          <w:b/>
          <w:bCs/>
          <w:color w:val="1B3A8F"/>
          <w:sz w:val="26"/>
          <w:szCs w:val="26"/>
        </w:rPr>
        <w:t xml:space="preserve">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Deliverable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Due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D1</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Integration package: weight and balance, electrical load analysis, conformity record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Before first check flight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D2</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Check flight reports (2)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48 hours after each check flight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D3</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Daily flight logs and 10 Hz position/attitude data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24 hours after each flight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D4</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Campaign summary report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15 days after last science flight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D5</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Property return inventory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At de-integration, no later than 30 May 2027</w:t>
            </w:r>
          </w:p>
        </w:tc>
      </w:tr>
    </w:tbl>
    <w:p>
      <w:pPr>
        <w:spacing w:after="80" w:before="240"/>
      </w:pPr>
      <w:r>
        <w:rPr>
          <w:rFonts w:ascii="Arial" w:cs="Arial" w:eastAsia="Arial" w:hAnsi="Arial"/>
          <w:b/>
          <w:bCs/>
          <w:color w:val="1B3A8F"/>
          <w:sz w:val="26"/>
          <w:szCs w:val="26"/>
        </w:rPr>
        <w:t xml:space="preserve">6. Government-furnished property</w:t>
      </w:r>
    </w:p>
    <w:p>
      <w:pPr>
        <w:spacing w:after="100" w:before="0" w:line="250"/>
      </w:pPr>
      <w:r>
        <w:rPr>
          <w:rFonts w:ascii="Calibri" w:cs="Calibri" w:eastAsia="Calibri" w:hAnsi="Calibri"/>
          <w:color w:val="1F2328"/>
          <w:sz w:val="22"/>
          <w:szCs w:val="22"/>
        </w:rPr>
        <w:t xml:space="preserve">The government will furnish one airborne snow radar, one belly antenna fairing with mounting hardware, one operator console, cabling, and shipping cases (approximate value $2.1M). The contractor shall be accountable for the property from receipt to return and shall report any loss, damage, or destruction within 24 hours.</w:t>
      </w:r>
    </w:p>
    <w:p>
      <w:pPr>
        <w:spacing w:after="80" w:before="240"/>
      </w:pPr>
      <w:r>
        <w:rPr>
          <w:rFonts w:ascii="Arial" w:cs="Arial" w:eastAsia="Arial" w:hAnsi="Arial"/>
          <w:b/>
          <w:bCs/>
          <w:color w:val="1B3A8F"/>
          <w:sz w:val="26"/>
          <w:szCs w:val="26"/>
        </w:rPr>
        <w:t xml:space="preserve">7. Safety and airworthiness</w:t>
      </w:r>
    </w:p>
    <w:p>
      <w:pPr>
        <w:spacing w:after="100" w:before="0" w:line="250"/>
      </w:pPr>
      <w:r>
        <w:rPr>
          <w:rFonts w:ascii="Calibri" w:cs="Calibri" w:eastAsia="Calibri" w:hAnsi="Calibri"/>
          <w:color w:val="1F2328"/>
          <w:sz w:val="22"/>
          <w:szCs w:val="22"/>
        </w:rPr>
        <w:t xml:space="preserve">The contractor shall support the NASA aviation safety review under NPR 7900.3 and provide the documents requested by the Center Aviation Safety Officer, including the operator's safety management system summary, crew qualifications, aircraft maintenance status, and the STC or field approval for the fairing. Flights will not begin until the NASA Flight Readiness Review is complete.</w:t>
      </w:r>
    </w:p>
    <w:p>
      <w:pPr>
        <w:spacing w:after="80" w:before="240"/>
      </w:pPr>
      <w:r>
        <w:rPr>
          <w:rFonts w:ascii="Arial" w:cs="Arial" w:eastAsia="Arial" w:hAnsi="Arial"/>
          <w:b/>
          <w:bCs/>
          <w:color w:val="1B3A8F"/>
          <w:sz w:val="26"/>
          <w:szCs w:val="26"/>
        </w:rPr>
        <w:t xml:space="preserve">8. Radio frequency</w:t>
      </w:r>
    </w:p>
    <w:p>
      <w:pPr>
        <w:spacing w:after="100" w:before="0" w:line="250"/>
      </w:pPr>
      <w:r>
        <w:rPr>
          <w:rFonts w:ascii="Calibri" w:cs="Calibri" w:eastAsia="Calibri" w:hAnsi="Calibri"/>
          <w:color w:val="1F2328"/>
          <w:sz w:val="22"/>
          <w:szCs w:val="22"/>
        </w:rPr>
        <w:t xml:space="preserve">The government radar is an RF emitter. The government will obtain Spectrum Manager authorization; the contractor shall operate the radar only when directed by the government operator and only within the authorized parameters.</w:t>
      </w:r>
    </w:p>
    <w:p>
      <w:pPr>
        <w:spacing w:after="80" w:before="240"/>
      </w:pPr>
      <w:r>
        <w:rPr>
          <w:rFonts w:ascii="Arial" w:cs="Arial" w:eastAsia="Arial" w:hAnsi="Arial"/>
          <w:b/>
          <w:bCs/>
          <w:color w:val="1B3A8F"/>
          <w:sz w:val="26"/>
          <w:szCs w:val="26"/>
        </w:rPr>
        <w:t xml:space="preserve">9. Government-furnished information and support</w:t>
      </w:r>
    </w:p>
    <w:p>
      <w:pPr>
        <w:spacing w:after="100" w:before="0" w:line="250"/>
      </w:pPr>
      <w:r>
        <w:rPr>
          <w:rFonts w:ascii="Calibri" w:cs="Calibri" w:eastAsia="Calibri" w:hAnsi="Calibri"/>
          <w:color w:val="1F2328"/>
          <w:sz w:val="22"/>
          <w:szCs w:val="22"/>
        </w:rPr>
        <w:t xml:space="preserve">Survey line files, integration drawings, radar operating procedures, and one government radar operator per flight.</w:t>
      </w:r>
    </w:p>
    <w:p>
      <w:pPr>
        <w:spacing w:after="80" w:before="240"/>
      </w:pPr>
      <w:r>
        <w:rPr>
          <w:rFonts w:ascii="Arial" w:cs="Arial" w:eastAsia="Arial" w:hAnsi="Arial"/>
          <w:b/>
          <w:bCs/>
          <w:color w:val="1B3A8F"/>
          <w:sz w:val="26"/>
          <w:szCs w:val="26"/>
        </w:rPr>
        <w:t xml:space="preserve">10. Travel</w:t>
      </w:r>
    </w:p>
    <w:p>
      <w:pPr>
        <w:spacing w:after="100" w:before="0" w:line="250"/>
      </w:pPr>
      <w:r>
        <w:rPr>
          <w:rFonts w:ascii="Calibri" w:cs="Calibri" w:eastAsia="Calibri" w:hAnsi="Calibri"/>
          <w:color w:val="1F2328"/>
          <w:sz w:val="22"/>
          <w:szCs w:val="22"/>
        </w:rPr>
        <w:t xml:space="preserve">Contractor travel to and from Fairbanks is included in the mobilization and demobilization price. No foreign travel is required.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2026-09-14T14:46:29.542Z</dcterms:created>
  <dcterms:modified xsi:type="dcterms:W3CDTF">2026-09-14T14:46:29.542Z</dcterms:modified>
</cp:coreProperties>
</file>

<file path=docProps/custom.xml><?xml version="1.0" encoding="utf-8"?>
<Properties xmlns="http://schemas.openxmlformats.org/officeDocument/2006/custom-properties" xmlns:vt="http://schemas.openxmlformats.org/officeDocument/2006/docPropsVTypes"/>
</file>