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80" w:rsidRDefault="00B16FBB" w:rsidP="00955F80">
      <w:pPr>
        <w:pStyle w:val="myNormal"/>
        <w:jc w:val="center"/>
      </w:pPr>
      <w:r>
        <w:t xml:space="preserve">CEE </w:t>
      </w:r>
      <w:r w:rsidR="00545041">
        <w:t>5410/</w:t>
      </w:r>
      <w:r>
        <w:t>6410</w:t>
      </w:r>
    </w:p>
    <w:p w:rsidR="00955F80" w:rsidRDefault="00955F80" w:rsidP="00955F80">
      <w:pPr>
        <w:pStyle w:val="myNormal"/>
        <w:jc w:val="center"/>
      </w:pPr>
      <w:r>
        <w:t xml:space="preserve">HW </w:t>
      </w:r>
      <w:r w:rsidR="00545041">
        <w:t>4</w:t>
      </w:r>
      <w:bookmarkStart w:id="0" w:name="_GoBack"/>
      <w:bookmarkEnd w:id="0"/>
      <w:r>
        <w:t xml:space="preserve"> – Reservoir Operation</w:t>
      </w:r>
    </w:p>
    <w:p w:rsidR="00955F80" w:rsidRDefault="00955F80" w:rsidP="00955F80">
      <w:pPr>
        <w:pStyle w:val="myNormal"/>
        <w:jc w:val="center"/>
      </w:pPr>
    </w:p>
    <w:p w:rsidR="00955F80" w:rsidRDefault="00955F80" w:rsidP="00955F80">
      <w:pPr>
        <w:pStyle w:val="myNormal"/>
      </w:pPr>
    </w:p>
    <w:p w:rsidR="00955F80" w:rsidRDefault="00955F80" w:rsidP="00955F80">
      <w:pPr>
        <w:pStyle w:val="myNormal"/>
      </w:pPr>
      <w:r>
        <w:t xml:space="preserve">A reservoir is designed to provide hydropower and water for irrigation.  The turbine releases may also be used for irrigation as shown in Figure </w:t>
      </w:r>
      <w:r w:rsidR="008E1601">
        <w:t>1</w:t>
      </w:r>
      <w:r>
        <w:t>.  At least one unit of water must be kept in the river each month at point A.  The hydropower turbines have a capacity of 4 units of water per month (flows are constant during any single month), and any other releases must bypass the tur</w:t>
      </w:r>
      <w:r>
        <w:softHyphen/>
        <w:t xml:space="preserve">bines.  The size of farmed area is very large relative to the amount of irrigation water available, so there is no upper limit on usable irrigation water.  The reservoir has a capacity of </w:t>
      </w:r>
      <w:r w:rsidR="004A53DB">
        <w:t>9</w:t>
      </w:r>
      <w:r>
        <w:t xml:space="preserve"> units, and initial storage is </w:t>
      </w:r>
      <w:r w:rsidR="004A53DB">
        <w:t>5</w:t>
      </w:r>
      <w:r>
        <w:t xml:space="preserve"> units of water.  The ending storage must be equal to or greater than the begin</w:t>
      </w:r>
      <w:r>
        <w:softHyphen/>
        <w:t xml:space="preserve">ning storage.  The benefits per unit of water, and the estimated average inflows to the reservoir are given in Table </w:t>
      </w:r>
      <w:r w:rsidR="008E1601">
        <w:t>1</w:t>
      </w:r>
      <w:r>
        <w:t>.</w:t>
      </w:r>
    </w:p>
    <w:p w:rsidR="00955F80" w:rsidRDefault="00955F80" w:rsidP="00955F80">
      <w:pPr>
        <w:pStyle w:val="myNormal"/>
      </w:pPr>
    </w:p>
    <w:p w:rsidR="00955F80" w:rsidRDefault="00955F80" w:rsidP="00955F80">
      <w:pPr>
        <w:pStyle w:val="myNormal"/>
      </w:pPr>
    </w:p>
    <w:p w:rsidR="00955F80" w:rsidRDefault="002F0C9A" w:rsidP="00955F80">
      <w:pPr>
        <w:pStyle w:val="myNormal"/>
        <w:jc w:val="center"/>
      </w:pPr>
      <w:r w:rsidRPr="002F0C9A">
        <w:rPr>
          <w:noProof/>
        </w:rPr>
        <w:drawing>
          <wp:inline distT="0" distB="0" distL="0" distR="0">
            <wp:extent cx="5943600" cy="22013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80" w:rsidRDefault="00955F80" w:rsidP="00955F80">
      <w:pPr>
        <w:pStyle w:val="myNormal"/>
        <w:jc w:val="center"/>
      </w:pPr>
    </w:p>
    <w:p w:rsidR="00955F80" w:rsidRDefault="00955F80" w:rsidP="00955F80">
      <w:pPr>
        <w:pStyle w:val="myNormal"/>
        <w:jc w:val="center"/>
        <w:rPr>
          <w:b/>
        </w:rPr>
      </w:pPr>
      <w:r>
        <w:rPr>
          <w:b/>
        </w:rPr>
        <w:t xml:space="preserve">Figure </w:t>
      </w:r>
      <w:r w:rsidR="008E1601">
        <w:rPr>
          <w:b/>
        </w:rPr>
        <w:t>1</w:t>
      </w:r>
      <w:r>
        <w:rPr>
          <w:b/>
        </w:rPr>
        <w:t>:  Schematic of a Hydropower and Irrigation Supply Problem</w:t>
      </w:r>
    </w:p>
    <w:p w:rsidR="00955F80" w:rsidRDefault="00955F80" w:rsidP="00955F80">
      <w:pPr>
        <w:pStyle w:val="myNormal"/>
      </w:pPr>
    </w:p>
    <w:p w:rsidR="00955F80" w:rsidRDefault="00955F80" w:rsidP="00955F80">
      <w:pPr>
        <w:pStyle w:val="myNormal"/>
      </w:pPr>
    </w:p>
    <w:p w:rsidR="00955F80" w:rsidRDefault="00955F80" w:rsidP="00955F80">
      <w:pPr>
        <w:pStyle w:val="myNormal"/>
        <w:jc w:val="center"/>
        <w:rPr>
          <w:b/>
        </w:rPr>
      </w:pPr>
      <w:r>
        <w:rPr>
          <w:b/>
        </w:rPr>
        <w:t xml:space="preserve">Table </w:t>
      </w:r>
      <w:r w:rsidR="008E1601">
        <w:rPr>
          <w:b/>
        </w:rPr>
        <w:t>1</w:t>
      </w:r>
      <w:r>
        <w:rPr>
          <w:b/>
        </w:rPr>
        <w:t>:  Hydropower and Irrigation Problem Data</w:t>
      </w:r>
    </w:p>
    <w:tbl>
      <w:tblPr>
        <w:tblW w:w="0" w:type="auto"/>
        <w:tblInd w:w="-1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620"/>
        <w:gridCol w:w="3330"/>
        <w:gridCol w:w="3528"/>
      </w:tblGrid>
      <w:tr w:rsidR="00955F80" w:rsidTr="00F26532">
        <w:tc>
          <w:tcPr>
            <w:tcW w:w="1098" w:type="dxa"/>
            <w:tcBorders>
              <w:top w:val="double" w:sz="4" w:space="0" w:color="auto"/>
              <w:bottom w:val="single" w:sz="4" w:space="0" w:color="auto"/>
            </w:tcBorders>
            <w:shd w:val="pct12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Month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  <w:shd w:val="pct12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Inflow Units</w:t>
            </w:r>
          </w:p>
        </w:tc>
        <w:tc>
          <w:tcPr>
            <w:tcW w:w="3330" w:type="dxa"/>
            <w:tcBorders>
              <w:top w:val="double" w:sz="4" w:space="0" w:color="auto"/>
              <w:bottom w:val="single" w:sz="4" w:space="0" w:color="auto"/>
            </w:tcBorders>
            <w:shd w:val="pct12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Hydropower Benefits ($/unit)</w:t>
            </w:r>
          </w:p>
        </w:tc>
        <w:tc>
          <w:tcPr>
            <w:tcW w:w="3528" w:type="dxa"/>
            <w:tcBorders>
              <w:top w:val="double" w:sz="4" w:space="0" w:color="auto"/>
              <w:bottom w:val="single" w:sz="4" w:space="0" w:color="auto"/>
            </w:tcBorders>
            <w:shd w:val="pct12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Irrigation Benefits ($/unit)</w:t>
            </w:r>
          </w:p>
        </w:tc>
      </w:tr>
      <w:tr w:rsidR="00955F80" w:rsidTr="00F26532">
        <w:tc>
          <w:tcPr>
            <w:tcW w:w="1098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2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1.6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1.0</w:t>
            </w:r>
          </w:p>
        </w:tc>
      </w:tr>
      <w:tr w:rsidR="00955F80" w:rsidTr="00F26532">
        <w:tc>
          <w:tcPr>
            <w:tcW w:w="1098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2</w:t>
            </w:r>
          </w:p>
        </w:tc>
        <w:tc>
          <w:tcPr>
            <w:tcW w:w="3330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1.7</w:t>
            </w:r>
          </w:p>
        </w:tc>
        <w:tc>
          <w:tcPr>
            <w:tcW w:w="3528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1.2</w:t>
            </w:r>
          </w:p>
        </w:tc>
      </w:tr>
      <w:tr w:rsidR="00955F80" w:rsidTr="00F26532">
        <w:tc>
          <w:tcPr>
            <w:tcW w:w="1098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3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1.8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1.9</w:t>
            </w:r>
          </w:p>
        </w:tc>
      </w:tr>
      <w:tr w:rsidR="00955F80" w:rsidTr="00F26532">
        <w:tc>
          <w:tcPr>
            <w:tcW w:w="1098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4</w:t>
            </w:r>
          </w:p>
        </w:tc>
        <w:tc>
          <w:tcPr>
            <w:tcW w:w="3330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1.9</w:t>
            </w:r>
          </w:p>
        </w:tc>
        <w:tc>
          <w:tcPr>
            <w:tcW w:w="3528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2.0</w:t>
            </w:r>
          </w:p>
        </w:tc>
      </w:tr>
      <w:tr w:rsidR="00955F80" w:rsidTr="00F26532">
        <w:tc>
          <w:tcPr>
            <w:tcW w:w="1098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5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3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2.0</w:t>
            </w:r>
          </w:p>
        </w:tc>
        <w:tc>
          <w:tcPr>
            <w:tcW w:w="3528" w:type="dxa"/>
            <w:tcBorders>
              <w:top w:val="nil"/>
              <w:bottom w:val="nil"/>
            </w:tcBorders>
          </w:tcPr>
          <w:p w:rsidR="00955F80" w:rsidRDefault="00955F80" w:rsidP="00F26532">
            <w:pPr>
              <w:pStyle w:val="myNormal"/>
              <w:jc w:val="center"/>
            </w:pPr>
            <w:r>
              <w:t>2.2</w:t>
            </w:r>
          </w:p>
        </w:tc>
      </w:tr>
      <w:tr w:rsidR="00955F80" w:rsidTr="00F26532">
        <w:tc>
          <w:tcPr>
            <w:tcW w:w="1098" w:type="dxa"/>
            <w:tcBorders>
              <w:top w:val="dotted" w:sz="4" w:space="0" w:color="auto"/>
              <w:bottom w:val="double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6</w:t>
            </w:r>
          </w:p>
        </w:tc>
        <w:tc>
          <w:tcPr>
            <w:tcW w:w="1620" w:type="dxa"/>
            <w:tcBorders>
              <w:top w:val="dotted" w:sz="4" w:space="0" w:color="auto"/>
              <w:bottom w:val="double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2</w:t>
            </w:r>
          </w:p>
        </w:tc>
        <w:tc>
          <w:tcPr>
            <w:tcW w:w="3330" w:type="dxa"/>
            <w:tcBorders>
              <w:top w:val="dotted" w:sz="4" w:space="0" w:color="auto"/>
              <w:bottom w:val="double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2.0</w:t>
            </w:r>
          </w:p>
        </w:tc>
        <w:tc>
          <w:tcPr>
            <w:tcW w:w="3528" w:type="dxa"/>
            <w:tcBorders>
              <w:top w:val="dotted" w:sz="4" w:space="0" w:color="auto"/>
              <w:bottom w:val="double" w:sz="4" w:space="0" w:color="auto"/>
            </w:tcBorders>
            <w:shd w:val="pct5" w:color="auto" w:fill="FFFFFF"/>
          </w:tcPr>
          <w:p w:rsidR="00955F80" w:rsidRDefault="00955F80" w:rsidP="00F26532">
            <w:pPr>
              <w:pStyle w:val="myNormal"/>
              <w:jc w:val="center"/>
            </w:pPr>
            <w:r>
              <w:t>2.2</w:t>
            </w:r>
          </w:p>
        </w:tc>
      </w:tr>
    </w:tbl>
    <w:p w:rsidR="008E1601" w:rsidRDefault="008E1601" w:rsidP="00955F80">
      <w:pPr>
        <w:pStyle w:val="myNormal"/>
      </w:pPr>
    </w:p>
    <w:p w:rsidR="008E1601" w:rsidRDefault="008E1601">
      <w:pPr>
        <w:spacing w:after="160" w:line="259" w:lineRule="auto"/>
      </w:pPr>
    </w:p>
    <w:p w:rsidR="008E1601" w:rsidRDefault="008E1601">
      <w:pPr>
        <w:spacing w:after="160" w:line="259" w:lineRule="auto"/>
      </w:pPr>
      <w:r>
        <w:t>(continued next page)</w:t>
      </w:r>
      <w:r>
        <w:br w:type="page"/>
      </w:r>
    </w:p>
    <w:p w:rsidR="00955F80" w:rsidRDefault="00955F80" w:rsidP="00955F80">
      <w:pPr>
        <w:pStyle w:val="myNormal"/>
      </w:pPr>
    </w:p>
    <w:p w:rsidR="00955F80" w:rsidRDefault="00955F80" w:rsidP="00955F80">
      <w:pPr>
        <w:pStyle w:val="myNormal"/>
      </w:pPr>
    </w:p>
    <w:p w:rsidR="003722E8" w:rsidRDefault="00955F80" w:rsidP="00955F80">
      <w:pPr>
        <w:pStyle w:val="ListParagraph"/>
        <w:numPr>
          <w:ilvl w:val="0"/>
          <w:numId w:val="1"/>
        </w:numPr>
      </w:pPr>
      <w:r>
        <w:t>Develop and solve an LP model for maximizing the economic benefits of reservoir opera</w:t>
      </w:r>
      <w:r>
        <w:softHyphen/>
        <w:t>tion.</w:t>
      </w:r>
    </w:p>
    <w:p w:rsidR="00955F80" w:rsidRDefault="00955F80" w:rsidP="00955F80">
      <w:pPr>
        <w:pStyle w:val="ListParagraph"/>
      </w:pPr>
    </w:p>
    <w:p w:rsidR="00955F80" w:rsidRDefault="00955F80" w:rsidP="00955F80">
      <w:pPr>
        <w:pStyle w:val="ListParagraph"/>
        <w:numPr>
          <w:ilvl w:val="0"/>
          <w:numId w:val="1"/>
        </w:numPr>
      </w:pPr>
      <w:r>
        <w:t>How will net benefits change if the:</w:t>
      </w:r>
    </w:p>
    <w:p w:rsidR="00955F80" w:rsidRDefault="00955F80" w:rsidP="00955F80">
      <w:pPr>
        <w:pStyle w:val="ListParagraph"/>
      </w:pPr>
    </w:p>
    <w:p w:rsidR="00955F80" w:rsidRDefault="00955F80" w:rsidP="00955F80">
      <w:pPr>
        <w:pStyle w:val="ListParagraph"/>
        <w:numPr>
          <w:ilvl w:val="1"/>
          <w:numId w:val="1"/>
        </w:numPr>
      </w:pPr>
      <w:r>
        <w:t>Reservoir capacity is expanded one unit?</w:t>
      </w:r>
    </w:p>
    <w:p w:rsidR="00955F80" w:rsidRDefault="00955F80" w:rsidP="00955F80">
      <w:pPr>
        <w:pStyle w:val="ListParagraph"/>
        <w:ind w:left="1440"/>
      </w:pPr>
    </w:p>
    <w:p w:rsidR="00955F80" w:rsidRDefault="00955F80" w:rsidP="00955F80">
      <w:pPr>
        <w:pStyle w:val="ListParagraph"/>
        <w:numPr>
          <w:ilvl w:val="1"/>
          <w:numId w:val="1"/>
        </w:numPr>
      </w:pPr>
      <w:r>
        <w:t>In-stream flow requirement is increased?</w:t>
      </w:r>
    </w:p>
    <w:p w:rsidR="00955F80" w:rsidRDefault="00955F80" w:rsidP="00955F80">
      <w:pPr>
        <w:pStyle w:val="ListParagraph"/>
      </w:pPr>
    </w:p>
    <w:p w:rsidR="00955F80" w:rsidRDefault="002F0C9A" w:rsidP="00955F80">
      <w:pPr>
        <w:pStyle w:val="ListParagraph"/>
        <w:numPr>
          <w:ilvl w:val="1"/>
          <w:numId w:val="1"/>
        </w:numPr>
      </w:pPr>
      <w:r>
        <w:t>Farms are irrigated with o</w:t>
      </w:r>
      <w:r w:rsidR="00955F80">
        <w:t>ne more unit of water in months 1, 2, and 3?</w:t>
      </w:r>
    </w:p>
    <w:p w:rsidR="00955F80" w:rsidRDefault="00955F80" w:rsidP="00955F80">
      <w:pPr>
        <w:pStyle w:val="ListParagraph"/>
      </w:pPr>
    </w:p>
    <w:p w:rsidR="003F7D8D" w:rsidRDefault="008E1601" w:rsidP="00955F80">
      <w:pPr>
        <w:pStyle w:val="ListParagraph"/>
        <w:numPr>
          <w:ilvl w:val="0"/>
          <w:numId w:val="1"/>
        </w:numPr>
      </w:pPr>
      <w:r>
        <w:t>What increase in the in-stream flow requirement is allowed before the solution basis changes?</w:t>
      </w:r>
    </w:p>
    <w:p w:rsidR="00B16FBB" w:rsidRDefault="00B16FBB" w:rsidP="00B16FBB">
      <w:pPr>
        <w:pStyle w:val="ListParagraph"/>
      </w:pPr>
    </w:p>
    <w:p w:rsidR="00B16FBB" w:rsidRDefault="00B16FBB" w:rsidP="00955F80">
      <w:pPr>
        <w:pStyle w:val="ListParagraph"/>
        <w:numPr>
          <w:ilvl w:val="0"/>
          <w:numId w:val="1"/>
        </w:numPr>
      </w:pPr>
      <w:r>
        <w:t xml:space="preserve">What concerns would a water manager likely raise as the number of months in this model increases? </w:t>
      </w:r>
    </w:p>
    <w:p w:rsidR="00B80B4E" w:rsidRDefault="00B80B4E" w:rsidP="00B80B4E"/>
    <w:p w:rsidR="00B80B4E" w:rsidRDefault="00B80B4E" w:rsidP="00B80B4E"/>
    <w:p w:rsidR="00B80B4E" w:rsidRDefault="00B80B4E" w:rsidP="00B80B4E"/>
    <w:p w:rsidR="00B80B4E" w:rsidRDefault="00B80B4E" w:rsidP="00B80B4E"/>
    <w:p w:rsidR="00B80B4E" w:rsidRDefault="00B80B4E" w:rsidP="00B80B4E">
      <w:pPr>
        <w:rPr>
          <w:b/>
        </w:rPr>
      </w:pPr>
      <w:r w:rsidRPr="00B80B4E">
        <w:rPr>
          <w:b/>
        </w:rPr>
        <w:t>HINTS:</w:t>
      </w:r>
    </w:p>
    <w:p w:rsidR="00B80B4E" w:rsidRPr="00B80B4E" w:rsidRDefault="00B80B4E" w:rsidP="00B80B4E">
      <w:pPr>
        <w:rPr>
          <w:b/>
        </w:rPr>
      </w:pPr>
    </w:p>
    <w:p w:rsidR="00B80B4E" w:rsidRDefault="00B80B4E" w:rsidP="00B80B4E">
      <w:pPr>
        <w:pStyle w:val="ListParagraph"/>
        <w:numPr>
          <w:ilvl w:val="0"/>
          <w:numId w:val="4"/>
        </w:numPr>
      </w:pPr>
      <w:r>
        <w:t>In GAMS, define a set for time (months) so that input data, variables, and equations can be written in a general form once for each time step.</w:t>
      </w:r>
    </w:p>
    <w:p w:rsidR="00B80B4E" w:rsidRDefault="00B80B4E" w:rsidP="00B80B4E">
      <w:pPr>
        <w:pStyle w:val="ListParagraph"/>
      </w:pPr>
    </w:p>
    <w:p w:rsidR="00B80B4E" w:rsidRDefault="00B80B4E" w:rsidP="00B80B4E">
      <w:pPr>
        <w:pStyle w:val="ListParagraph"/>
        <w:numPr>
          <w:ilvl w:val="0"/>
          <w:numId w:val="4"/>
        </w:numPr>
        <w:sectPr w:rsidR="00B80B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Define a model constraint that specifies reservoir storage (mass) balance in each time step. As part of the reservoir mass balance, define a decision variable that represents the reservoir storage volume in each time step.</w:t>
      </w: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328"/>
        <w:gridCol w:w="1640"/>
        <w:gridCol w:w="2255"/>
        <w:gridCol w:w="1889"/>
        <w:gridCol w:w="2789"/>
        <w:gridCol w:w="901"/>
        <w:gridCol w:w="1350"/>
      </w:tblGrid>
      <w:tr w:rsidR="003F7D8D" w:rsidRPr="00BC4A94" w:rsidTr="003F7D8D">
        <w:tc>
          <w:tcPr>
            <w:tcW w:w="1799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lastRenderedPageBreak/>
              <w:t>Category</w:t>
            </w:r>
          </w:p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(Max. Score)</w:t>
            </w:r>
          </w:p>
        </w:tc>
        <w:tc>
          <w:tcPr>
            <w:tcW w:w="1328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No Evidence</w:t>
            </w:r>
          </w:p>
        </w:tc>
        <w:tc>
          <w:tcPr>
            <w:tcW w:w="1640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Doesn’t Meet Standard</w:t>
            </w:r>
          </w:p>
        </w:tc>
        <w:tc>
          <w:tcPr>
            <w:tcW w:w="2255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Nearly Meets Standard</w:t>
            </w:r>
          </w:p>
        </w:tc>
        <w:tc>
          <w:tcPr>
            <w:tcW w:w="1889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Meets Standard</w:t>
            </w:r>
          </w:p>
        </w:tc>
        <w:tc>
          <w:tcPr>
            <w:tcW w:w="2789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Exceeds Standard</w:t>
            </w:r>
          </w:p>
        </w:tc>
        <w:tc>
          <w:tcPr>
            <w:tcW w:w="901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Self- Score</w:t>
            </w:r>
          </w:p>
        </w:tc>
        <w:tc>
          <w:tcPr>
            <w:tcW w:w="1350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Instructor Score</w:t>
            </w:r>
          </w:p>
        </w:tc>
      </w:tr>
      <w:tr w:rsidR="003F7D8D" w:rsidRPr="00BC4A94" w:rsidTr="003F7D8D">
        <w:tc>
          <w:tcPr>
            <w:tcW w:w="179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Title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(1)</w:t>
            </w:r>
          </w:p>
        </w:tc>
        <w:tc>
          <w:tcPr>
            <w:tcW w:w="1328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Absent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640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Evidence of two or less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Evidence of three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Evidence of four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A6430C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:rsidR="003F7D8D" w:rsidRPr="00A6430C" w:rsidRDefault="003F7D8D" w:rsidP="00F2653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Title – can assess main point from title alone; Name, Instructors</w:t>
            </w:r>
            <w:r>
              <w:rPr>
                <w:rFonts w:ascii="TimesNewRomanPSMT" w:hAnsi="TimesNewRomanPSMT" w:cs="TimesNewRomanPSMT"/>
                <w:sz w:val="20"/>
              </w:rPr>
              <w:t>’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Name</w:t>
            </w:r>
            <w:r>
              <w:rPr>
                <w:rFonts w:ascii="TimesNewRomanPSMT" w:hAnsi="TimesNewRomanPSMT" w:cs="TimesNewRomanPSMT"/>
                <w:sz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</w:rPr>
              <w:t>, Course, Date, Neatly finished</w:t>
            </w:r>
            <w:r>
              <w:rPr>
                <w:rFonts w:ascii="TimesNewRomanPSMT" w:hAnsi="TimesNewRomanPSMT" w:cs="TimesNewRomanPSMT"/>
                <w:sz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3F7D8D">
        <w:tc>
          <w:tcPr>
            <w:tcW w:w="179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Introduction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(3)</w:t>
            </w:r>
          </w:p>
        </w:tc>
        <w:tc>
          <w:tcPr>
            <w:tcW w:w="1328" w:type="dxa"/>
          </w:tcPr>
          <w:p w:rsidR="003F7D8D" w:rsidRDefault="003F7D8D" w:rsidP="00F26532">
            <w:r w:rsidRPr="00BC4A94">
              <w:t>Absent, no evidence</w:t>
            </w:r>
          </w:p>
          <w:p w:rsidR="003F7D8D" w:rsidRDefault="003F7D8D" w:rsidP="00F26532"/>
          <w:p w:rsidR="003F7D8D" w:rsidRDefault="003F7D8D" w:rsidP="00F26532"/>
          <w:p w:rsidR="003F7D8D" w:rsidRDefault="003F7D8D" w:rsidP="00F26532"/>
          <w:p w:rsidR="003F7D8D" w:rsidRPr="00BC4A94" w:rsidRDefault="003F7D8D" w:rsidP="00F26532">
            <w:pPr>
              <w:pStyle w:val="PointValue"/>
            </w:pPr>
            <w:r>
              <w:t>0</w:t>
            </w:r>
          </w:p>
        </w:tc>
        <w:tc>
          <w:tcPr>
            <w:tcW w:w="1640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There is no clear introduction or main topic.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</w:rPr>
              <w:t>ither:</w:t>
            </w:r>
          </w:p>
          <w:p w:rsidR="003F7D8D" w:rsidRPr="00BC4A94" w:rsidRDefault="003F7D8D" w:rsidP="003F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overview, Or:</w:t>
            </w:r>
          </w:p>
          <w:p w:rsidR="003F7D8D" w:rsidRPr="00BC4A94" w:rsidRDefault="003F7D8D" w:rsidP="003F7D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Good overview of the </w:t>
            </w:r>
            <w:r>
              <w:rPr>
                <w:rFonts w:ascii="TimesNewRomanPSMT" w:hAnsi="TimesNewRomanPSMT" w:cs="TimesNewRomanPSMT"/>
                <w:sz w:val="20"/>
              </w:rPr>
              <w:t>problem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and s</w:t>
            </w:r>
            <w:r>
              <w:rPr>
                <w:rFonts w:ascii="TimesNewRomanPSMT" w:hAnsi="TimesNewRomanPSMT" w:cs="TimesNewRomanPSMT"/>
                <w:sz w:val="20"/>
              </w:rPr>
              <w:t>olution approach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Gives enough detail to </w:t>
            </w:r>
            <w:r>
              <w:rPr>
                <w:rFonts w:ascii="TimesNewRomanPSMT" w:hAnsi="TimesNewRomanPSMT" w:cs="TimesNewRomanPSMT"/>
                <w:sz w:val="20"/>
              </w:rPr>
              <w:t>motivate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the reader</w:t>
            </w:r>
            <w:r>
              <w:rPr>
                <w:rFonts w:ascii="TimesNewRomanPSMT" w:hAnsi="TimesNewRomanPSMT" w:cs="TimesNewRomanPSMT"/>
                <w:sz w:val="20"/>
              </w:rPr>
              <w:t xml:space="preserve"> to continue reading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3F7D8D">
        <w:tc>
          <w:tcPr>
            <w:tcW w:w="179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conclusions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(10)</w:t>
            </w:r>
          </w:p>
        </w:tc>
        <w:tc>
          <w:tcPr>
            <w:tcW w:w="1328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No </w:t>
            </w:r>
            <w:r>
              <w:rPr>
                <w:rFonts w:ascii="TimesNewRomanPSMT" w:hAnsi="TimesNewRomanPSMT" w:cs="TimesNewRomanPSMT"/>
                <w:sz w:val="20"/>
              </w:rPr>
              <w:t>content provided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C60308"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0</w:t>
            </w:r>
          </w:p>
        </w:tc>
        <w:tc>
          <w:tcPr>
            <w:tcW w:w="1640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Paragraphs fail to develop the main idea. </w:t>
            </w:r>
            <w:r>
              <w:rPr>
                <w:rFonts w:ascii="TimesNewRomanPSMT" w:hAnsi="TimesNewRomanPSMT" w:cs="TimesNewRomanPSMT"/>
                <w:sz w:val="20"/>
              </w:rPr>
              <w:t>No section headers or guide to help the reader understand how material is organized.</w:t>
            </w:r>
          </w:p>
          <w:p w:rsidR="003F7D8D" w:rsidRPr="00BC4A94" w:rsidRDefault="003F7D8D" w:rsidP="00F26532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>Paragraphs lack supporting detail sentences. No transitions</w:t>
            </w:r>
            <w:r>
              <w:rPr>
                <w:rFonts w:ascii="TimesNewRomanPSMT" w:hAnsi="TimesNewRomanPSMT" w:cs="TimesNewRomanPSMT"/>
                <w:sz w:val="20"/>
              </w:rPr>
              <w:t xml:space="preserve"> and/or ineffective section headers.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Each paragraph has sufficient supporting detail sentences. </w:t>
            </w:r>
            <w:r>
              <w:rPr>
                <w:rFonts w:ascii="TimesNewRomanPSMT" w:hAnsi="TimesNewRomanPSMT" w:cs="TimesNewRomanPSMT"/>
                <w:sz w:val="20"/>
              </w:rPr>
              <w:t>Few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transitions.</w:t>
            </w:r>
          </w:p>
          <w:p w:rsidR="003F7D8D" w:rsidRPr="00BC4A94" w:rsidRDefault="003F7D8D" w:rsidP="00F26532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Writer demonstrates logic and sequencing of ideas through well-developed</w:t>
            </w:r>
            <w:r>
              <w:rPr>
                <w:rFonts w:ascii="TimesNewRomanPSMT" w:hAnsi="TimesNewRomanPSMT" w:cs="TimesNewRomanPSMT"/>
                <w:sz w:val="20"/>
              </w:rPr>
              <w:t xml:space="preserve"> section headers, </w:t>
            </w:r>
            <w:r w:rsidRPr="00BC4A94">
              <w:rPr>
                <w:rFonts w:ascii="TimesNewRomanPSMT" w:hAnsi="TimesNewRomanPSMT" w:cs="TimesNewRomanPSMT"/>
                <w:sz w:val="20"/>
              </w:rPr>
              <w:t>paragraphs</w:t>
            </w:r>
            <w:r>
              <w:rPr>
                <w:rFonts w:ascii="TimesNewRomanPSMT" w:hAnsi="TimesNewRomanPSMT" w:cs="TimesNewRomanPSMT"/>
                <w:sz w:val="20"/>
              </w:rPr>
              <w:t>, and transitions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The first sentence of each paragraph is the summary sentence. 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991CB0" w:rsidTr="003F7D8D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Technical Correctness</w:t>
            </w:r>
          </w:p>
          <w:p w:rsidR="003F7D8D" w:rsidRPr="008F5A56" w:rsidRDefault="003F7D8D" w:rsidP="00F2653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(70)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Questions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not addressed.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8F5A56" w:rsidRDefault="003F7D8D" w:rsidP="00F26532">
            <w:pPr>
              <w:pStyle w:val="PointValue"/>
            </w:pPr>
            <w:r w:rsidRPr="008F5A56">
              <w:t>3 – 42%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writer has no clue what they are talking about. </w:t>
            </w:r>
          </w:p>
          <w:p w:rsidR="003F7D8D" w:rsidRPr="008F5A56" w:rsidRDefault="003F7D8D" w:rsidP="00F26532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</w:rPr>
              <w:t xml:space="preserve"> Many important answers are incorrect.</w:t>
            </w:r>
          </w:p>
          <w:p w:rsidR="003F7D8D" w:rsidRPr="008F5A56" w:rsidRDefault="003F7D8D" w:rsidP="00F26532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</w:rPr>
              <w:t xml:space="preserve"> and nearly all answers are correct.</w:t>
            </w:r>
          </w:p>
          <w:p w:rsidR="003F7D8D" w:rsidRPr="008F5A56" w:rsidRDefault="003F7D8D" w:rsidP="00F26532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</w:rPr>
              <w:t xml:space="preserve"> Answers are correct and reasonable.</w:t>
            </w:r>
          </w:p>
          <w:p w:rsidR="003F7D8D" w:rsidRPr="008F5A56" w:rsidRDefault="003F7D8D" w:rsidP="00F26532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7D8D" w:rsidRPr="00991CB0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7D8D" w:rsidRPr="00991CB0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</w:tr>
      <w:tr w:rsidR="003F7D8D" w:rsidRPr="00BC4A94" w:rsidTr="00F26532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7D8D" w:rsidRPr="00A813D6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:rsidR="003F7D8D" w:rsidRPr="008F5A56" w:rsidRDefault="003F7D8D" w:rsidP="003F7D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Problem formulation (15) and solution (10)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F26532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:rsidR="003F7D8D" w:rsidRPr="008F5A56" w:rsidRDefault="003F7D8D" w:rsidP="003F7D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Sensitivity of net benefits (30)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F26532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:rsidR="003F7D8D" w:rsidRPr="008F5A56" w:rsidRDefault="003F7D8D" w:rsidP="00040B9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Allowable increase of in-stream flow requirement (1</w:t>
            </w:r>
            <w:r w:rsidR="00040B9A">
              <w:rPr>
                <w:rFonts w:ascii="TimesNewRomanPSMT" w:hAnsi="TimesNewRomanPSMT" w:cs="TimesNewRomanPSMT"/>
                <w:sz w:val="20"/>
              </w:rPr>
              <w:t>0</w:t>
            </w:r>
            <w:r>
              <w:rPr>
                <w:rFonts w:ascii="TimesNewRomanPSMT" w:hAnsi="TimesNewRomanPSMT" w:cs="TimesNewRomanPSMT"/>
                <w:sz w:val="20"/>
              </w:rPr>
              <w:t>)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F26532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:rsidR="003F7D8D" w:rsidRPr="008F5A56" w:rsidRDefault="00040B9A" w:rsidP="003F7D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Manager concerns as model time period increases (5)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F26532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:rsidR="003F7D8D" w:rsidRDefault="003F7D8D" w:rsidP="003F7D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3F7D8D">
        <w:tc>
          <w:tcPr>
            <w:tcW w:w="1799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sz w:val="22"/>
                <w:szCs w:val="22"/>
              </w:rPr>
              <w:br w:type="page"/>
            </w: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Category</w:t>
            </w:r>
          </w:p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(Max. Score)</w:t>
            </w:r>
          </w:p>
        </w:tc>
        <w:tc>
          <w:tcPr>
            <w:tcW w:w="1328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No Evidence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Doesn’t Meet Standard</w:t>
            </w:r>
          </w:p>
        </w:tc>
        <w:tc>
          <w:tcPr>
            <w:tcW w:w="2255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Nearly Meets Standard</w:t>
            </w:r>
          </w:p>
        </w:tc>
        <w:tc>
          <w:tcPr>
            <w:tcW w:w="1889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Meets Standard</w:t>
            </w:r>
          </w:p>
        </w:tc>
        <w:tc>
          <w:tcPr>
            <w:tcW w:w="2789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Exceeds Standard</w:t>
            </w:r>
          </w:p>
        </w:tc>
        <w:tc>
          <w:tcPr>
            <w:tcW w:w="901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Self- Score</w:t>
            </w:r>
          </w:p>
        </w:tc>
        <w:tc>
          <w:tcPr>
            <w:tcW w:w="1350" w:type="dxa"/>
            <w:vAlign w:val="center"/>
          </w:tcPr>
          <w:p w:rsidR="003F7D8D" w:rsidRP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Instructor Score</w:t>
            </w:r>
          </w:p>
        </w:tc>
      </w:tr>
      <w:tr w:rsidR="003F7D8D" w:rsidRPr="00BC4A94" w:rsidTr="003F7D8D">
        <w:tc>
          <w:tcPr>
            <w:tcW w:w="179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328" w:type="dxa"/>
            <w:tcBorders>
              <w:right w:val="single" w:sz="4" w:space="0" w:color="auto"/>
            </w:tcBorders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Not applicable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</w:rPr>
              <w:t>Could be improved by being more meticulous.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3F7D8D">
        <w:tc>
          <w:tcPr>
            <w:tcW w:w="179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328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Absent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</w:pPr>
            <w:r>
              <w:t>0</w:t>
            </w:r>
          </w:p>
        </w:tc>
        <w:tc>
          <w:tcPr>
            <w:tcW w:w="164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BC4A94" w:rsidTr="003F7D8D">
        <w:tc>
          <w:tcPr>
            <w:tcW w:w="179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328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Absent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</w:pPr>
            <w:r>
              <w:t>0</w:t>
            </w:r>
          </w:p>
        </w:tc>
        <w:tc>
          <w:tcPr>
            <w:tcW w:w="164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</w:rPr>
              <w:t>Numerous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errors, off-the-wall sources used.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</w:rPr>
              <w:t>ome errors</w:t>
            </w:r>
            <w:r>
              <w:rPr>
                <w:rFonts w:ascii="TimesNewRomanPSMT" w:hAnsi="TimesNewRomanPSMT" w:cs="TimesNewRomanPSMT"/>
                <w:sz w:val="20"/>
              </w:rPr>
              <w:t xml:space="preserve"> in citing format; more sources should be cited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</w:t>
            </w:r>
          </w:p>
          <w:p w:rsidR="003F7D8D" w:rsidRPr="00BC4A94" w:rsidRDefault="003F7D8D" w:rsidP="00F26532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 xml:space="preserve">Prior work cited with </w:t>
            </w:r>
            <w:r w:rsidRPr="00BC4A94">
              <w:rPr>
                <w:rFonts w:ascii="TimesNewRomanPSMT" w:hAnsi="TimesNewRomanPSMT" w:cs="TimesNewRomanPSMT"/>
                <w:sz w:val="20"/>
              </w:rPr>
              <w:t>few errors</w:t>
            </w:r>
            <w:r>
              <w:rPr>
                <w:rFonts w:ascii="TimesNewRomanPSMT" w:hAnsi="TimesNewRomanPSMT" w:cs="TimesNewRomanPSMT"/>
                <w:sz w:val="20"/>
              </w:rPr>
              <w:t>.</w:t>
            </w:r>
          </w:p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:rsidR="003F7D8D" w:rsidRPr="00BC4A94" w:rsidRDefault="003F7D8D" w:rsidP="00F26532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:rsidR="003F7D8D" w:rsidRDefault="003F7D8D" w:rsidP="00F265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All </w:t>
            </w:r>
            <w:r>
              <w:rPr>
                <w:rFonts w:ascii="TimesNewRomanPSMT" w:hAnsi="TimesNewRomanPSMT" w:cs="TimesNewRomanPSMT"/>
                <w:sz w:val="20"/>
              </w:rPr>
              <w:t xml:space="preserve">prior </w:t>
            </w:r>
            <w:r w:rsidRPr="00BC4A94">
              <w:rPr>
                <w:rFonts w:ascii="TimesNewRomanPSMT" w:hAnsi="TimesNewRomanPSMT" w:cs="TimesNewRomanPSMT"/>
                <w:sz w:val="20"/>
              </w:rPr>
              <w:t>work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and data sources are </w:t>
            </w:r>
            <w:r>
              <w:rPr>
                <w:rFonts w:ascii="TimesNewRomanPSMT" w:hAnsi="TimesNewRomanPSMT" w:cs="TimesNewRomanPSMT"/>
                <w:sz w:val="20"/>
              </w:rPr>
              <w:t xml:space="preserve">cited in </w:t>
            </w:r>
            <w:r w:rsidRPr="00BC4A94">
              <w:rPr>
                <w:rFonts w:ascii="TimesNewRomanPSMT" w:hAnsi="TimesNewRomanPSMT" w:cs="TimesNewRomanPSMT"/>
                <w:sz w:val="20"/>
              </w:rPr>
              <w:t>the correct format with no errors.</w:t>
            </w:r>
          </w:p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BC4A9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F7D8D" w:rsidRPr="00A848C4" w:rsidTr="00F26532">
        <w:tc>
          <w:tcPr>
            <w:tcW w:w="1799" w:type="dxa"/>
            <w:tcBorders>
              <w:right w:val="single" w:sz="4" w:space="0" w:color="auto"/>
            </w:tcBorders>
          </w:tcPr>
          <w:p w:rsidR="003F7D8D" w:rsidRPr="00D2247D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:rsidR="003F7D8D" w:rsidRPr="00A848C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</w:rPr>
            </w:pPr>
          </w:p>
        </w:tc>
        <w:tc>
          <w:tcPr>
            <w:tcW w:w="901" w:type="dxa"/>
          </w:tcPr>
          <w:p w:rsidR="003F7D8D" w:rsidRPr="00A848C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</w:tcPr>
          <w:p w:rsidR="003F7D8D" w:rsidRPr="00A848C4" w:rsidRDefault="003F7D8D" w:rsidP="00F26532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</w:tbl>
    <w:p w:rsidR="003F7D8D" w:rsidRPr="0066222F" w:rsidRDefault="003F7D8D" w:rsidP="003F7D8D">
      <w:pPr>
        <w:rPr>
          <w:sz w:val="28"/>
          <w:szCs w:val="28"/>
        </w:rPr>
      </w:pPr>
    </w:p>
    <w:p w:rsidR="00955F80" w:rsidRDefault="00955F80" w:rsidP="003F7D8D">
      <w:pPr>
        <w:pStyle w:val="ListParagraph"/>
      </w:pPr>
    </w:p>
    <w:sectPr w:rsidR="00955F80" w:rsidSect="00384CC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84F" w:rsidRDefault="00E2084F" w:rsidP="003F7D8D">
      <w:r>
        <w:separator/>
      </w:r>
    </w:p>
  </w:endnote>
  <w:endnote w:type="continuationSeparator" w:id="0">
    <w:p w:rsidR="00E2084F" w:rsidRDefault="00E2084F" w:rsidP="003F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84F" w:rsidRDefault="00E2084F" w:rsidP="003F7D8D">
      <w:r>
        <w:separator/>
      </w:r>
    </w:p>
  </w:footnote>
  <w:footnote w:type="continuationSeparator" w:id="0">
    <w:p w:rsidR="00E2084F" w:rsidRDefault="00E2084F" w:rsidP="003F7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C7" w:rsidRPr="00384CC7" w:rsidRDefault="00DB0D0D" w:rsidP="0054538D">
    <w:pPr>
      <w:pStyle w:val="Header"/>
      <w:tabs>
        <w:tab w:val="clear" w:pos="9360"/>
        <w:tab w:val="left" w:pos="4230"/>
        <w:tab w:val="right" w:pos="13410"/>
      </w:tabs>
    </w:pPr>
    <w:r w:rsidRPr="00B43B45">
      <w:rPr>
        <w:b/>
        <w:sz w:val="28"/>
        <w:szCs w:val="28"/>
      </w:rPr>
      <w:t>CEE 64</w:t>
    </w:r>
    <w:r>
      <w:rPr>
        <w:b/>
        <w:sz w:val="28"/>
        <w:szCs w:val="28"/>
      </w:rPr>
      <w:t>1</w:t>
    </w:r>
    <w:r w:rsidRPr="00B43B45">
      <w:rPr>
        <w:b/>
        <w:sz w:val="28"/>
        <w:szCs w:val="28"/>
      </w:rPr>
      <w:t xml:space="preserve">0, </w:t>
    </w:r>
    <w:r>
      <w:rPr>
        <w:b/>
        <w:sz w:val="28"/>
        <w:szCs w:val="28"/>
      </w:rPr>
      <w:t>HW</w:t>
    </w:r>
    <w:r w:rsidRPr="00B43B45">
      <w:rPr>
        <w:b/>
        <w:sz w:val="28"/>
        <w:szCs w:val="28"/>
      </w:rPr>
      <w:t>-Grading Rubric</w:t>
    </w:r>
    <w:r w:rsidRPr="00CB0C68">
      <w:rPr>
        <w:sz w:val="28"/>
        <w:szCs w:val="28"/>
      </w:rPr>
      <w:tab/>
    </w:r>
    <w:r>
      <w:rPr>
        <w:b/>
        <w:sz w:val="28"/>
        <w:szCs w:val="28"/>
      </w:rPr>
      <w:t>HW</w:t>
    </w:r>
    <w:r w:rsidRPr="0054538D">
      <w:rPr>
        <w:b/>
        <w:sz w:val="28"/>
        <w:szCs w:val="28"/>
      </w:rPr>
      <w:t>-</w:t>
    </w:r>
    <w:r w:rsidR="00B16FBB">
      <w:rPr>
        <w:b/>
        <w:sz w:val="28"/>
        <w:szCs w:val="28"/>
      </w:rPr>
      <w:t>5</w:t>
    </w:r>
    <w:r w:rsidRPr="0054538D">
      <w:rPr>
        <w:b/>
        <w:sz w:val="28"/>
        <w:szCs w:val="28"/>
      </w:rPr>
      <w:t xml:space="preserve">  Date: _____________</w:t>
    </w:r>
    <w:r w:rsidRPr="0054538D">
      <w:rPr>
        <w:b/>
        <w:sz w:val="28"/>
        <w:szCs w:val="28"/>
      </w:rPr>
      <w:tab/>
      <w:t xml:space="preserve">   Student: 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1DF"/>
    <w:multiLevelType w:val="hybridMultilevel"/>
    <w:tmpl w:val="39E4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933BD"/>
    <w:multiLevelType w:val="hybridMultilevel"/>
    <w:tmpl w:val="50FE96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F80"/>
    <w:rsid w:val="00040B9A"/>
    <w:rsid w:val="00071919"/>
    <w:rsid w:val="002F0C9A"/>
    <w:rsid w:val="00357E74"/>
    <w:rsid w:val="003722E8"/>
    <w:rsid w:val="003F7D8D"/>
    <w:rsid w:val="004A53DB"/>
    <w:rsid w:val="004D1A0A"/>
    <w:rsid w:val="00545041"/>
    <w:rsid w:val="007C6E13"/>
    <w:rsid w:val="008E1601"/>
    <w:rsid w:val="00955F80"/>
    <w:rsid w:val="00B16FBB"/>
    <w:rsid w:val="00B80B4E"/>
    <w:rsid w:val="00C0737C"/>
    <w:rsid w:val="00DB0D0D"/>
    <w:rsid w:val="00E2084F"/>
    <w:rsid w:val="00FB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D0CD"/>
  <w15:chartTrackingRefBased/>
  <w15:docId w15:val="{732903FC-3CEE-476B-A0B2-DFB55357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F8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">
    <w:name w:val="myNormal"/>
    <w:basedOn w:val="Normal"/>
    <w:rsid w:val="00955F80"/>
    <w:pPr>
      <w:tabs>
        <w:tab w:val="left" w:pos="360"/>
        <w:tab w:val="left" w:pos="720"/>
        <w:tab w:val="left" w:pos="1440"/>
        <w:tab w:val="left" w:pos="4680"/>
        <w:tab w:val="right" w:pos="9360"/>
      </w:tabs>
      <w:jc w:val="both"/>
    </w:pPr>
  </w:style>
  <w:style w:type="paragraph" w:styleId="ListParagraph">
    <w:name w:val="List Paragraph"/>
    <w:basedOn w:val="Normal"/>
    <w:uiPriority w:val="34"/>
    <w:qFormat/>
    <w:rsid w:val="00955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D8D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7D8D"/>
    <w:rPr>
      <w:rFonts w:ascii="Calibri" w:eastAsia="Calibri" w:hAnsi="Calibri" w:cs="Times New Roman"/>
    </w:rPr>
  </w:style>
  <w:style w:type="paragraph" w:customStyle="1" w:styleId="PointValue">
    <w:name w:val="PointValue"/>
    <w:basedOn w:val="Normal"/>
    <w:qFormat/>
    <w:rsid w:val="003F7D8D"/>
    <w:pPr>
      <w:autoSpaceDE w:val="0"/>
      <w:autoSpaceDN w:val="0"/>
      <w:adjustRightInd w:val="0"/>
      <w:jc w:val="center"/>
    </w:pPr>
    <w:rPr>
      <w:rFonts w:ascii="TimesNewRomanPSMT" w:eastAsia="Calibri" w:hAnsi="TimesNewRomanPSMT" w:cs="TimesNewRomanPSMT"/>
      <w:sz w:val="20"/>
      <w:bdr w:val="single" w:sz="4" w:space="0" w:color="auto"/>
    </w:rPr>
  </w:style>
  <w:style w:type="paragraph" w:styleId="Footer">
    <w:name w:val="footer"/>
    <w:basedOn w:val="Normal"/>
    <w:link w:val="FooterChar"/>
    <w:uiPriority w:val="99"/>
    <w:unhideWhenUsed/>
    <w:rsid w:val="003F7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D8D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F3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drosenberg</dc:creator>
  <cp:keywords/>
  <dc:description/>
  <cp:lastModifiedBy>David Rosenberg</cp:lastModifiedBy>
  <cp:revision>3</cp:revision>
  <cp:lastPrinted>2016-08-29T20:24:00Z</cp:lastPrinted>
  <dcterms:created xsi:type="dcterms:W3CDTF">2020-09-14T18:55:00Z</dcterms:created>
  <dcterms:modified xsi:type="dcterms:W3CDTF">2020-09-14T18:56:00Z</dcterms:modified>
</cp:coreProperties>
</file>