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ajorBidi"/>
          <w:b/>
          <w:sz w:val="2"/>
          <w:szCs w:val="32"/>
        </w:rPr>
        <w:id w:val="973103790"/>
        <w:docPartObj>
          <w:docPartGallery w:val="Cover Pages"/>
          <w:docPartUnique/>
        </w:docPartObj>
      </w:sdtPr>
      <w:sdtEndPr>
        <w:rPr>
          <w:rFonts w:eastAsiaTheme="majorEastAsia"/>
          <w:sz w:val="24"/>
          <w:szCs w:val="26"/>
        </w:rPr>
      </w:sdtEndPr>
      <w:sdtContent>
        <w:p w14:paraId="6B618946" w14:textId="77777777" w:rsidR="00600273" w:rsidRDefault="00600273">
          <w:pPr>
            <w:pStyle w:val="NoSpacing"/>
            <w:rPr>
              <w:sz w:val="2"/>
            </w:rPr>
          </w:pPr>
        </w:p>
        <w:p w14:paraId="17DC4508" w14:textId="77777777" w:rsidR="00600273" w:rsidRDefault="006002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D00DD69" wp14:editId="053AEF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1912E" w14:textId="166AB137" w:rsidR="00600273" w:rsidRPr="004C6270" w:rsidRDefault="005E2ADC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>reservoir management plan to maximize hydropower and irrigation benefits while maintaining storage</w:t>
                                    </w:r>
                                  </w:p>
                                </w:sdtContent>
                              </w:sdt>
                              <w:p w14:paraId="6D5B56F1" w14:textId="40968309" w:rsidR="00600273" w:rsidRPr="00D058AB" w:rsidRDefault="000B26DE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270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Six Months of Optimal System Allocations</w:t>
                                    </w:r>
                                  </w:sdtContent>
                                </w:sdt>
                                <w:r w:rsidR="00600273" w:rsidRPr="00D058AB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235575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9257B9" w14:textId="77777777" w:rsidR="00D058AB" w:rsidRDefault="00D058A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Prepared by Joshua Ward</w:t>
                                </w:r>
                              </w:p>
                              <w:p w14:paraId="1B3C3577" w14:textId="53470985" w:rsidR="00600273" w:rsidRPr="00D058AB" w:rsidRDefault="004C6270" w:rsidP="002D407A">
                                <w:pPr>
                                  <w:pStyle w:val="NoSpacing"/>
                                  <w:spacing w:before="120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09/25/2020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00DD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1912E" w14:textId="166AB137" w:rsidR="00600273" w:rsidRPr="004C6270" w:rsidRDefault="005E2ADC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>reservoir management plan to maximize hydropower and irrigation benefits while maintaining storage</w:t>
                              </w:r>
                            </w:p>
                          </w:sdtContent>
                        </w:sdt>
                        <w:p w14:paraId="6D5B56F1" w14:textId="40968309" w:rsidR="00600273" w:rsidRPr="00D058AB" w:rsidRDefault="000B26DE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270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Six Months of Optimal System Allocations</w:t>
                              </w:r>
                            </w:sdtContent>
                          </w:sdt>
                          <w:r w:rsidR="00600273" w:rsidRPr="00D058AB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14:paraId="64235575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A9257B9" w14:textId="77777777" w:rsidR="00D058AB" w:rsidRDefault="00D058A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Prepared by Joshua Ward</w:t>
                          </w:r>
                        </w:p>
                        <w:p w14:paraId="1B3C3577" w14:textId="53470985" w:rsidR="00600273" w:rsidRPr="00D058AB" w:rsidRDefault="004C6270" w:rsidP="002D407A">
                          <w:pPr>
                            <w:pStyle w:val="NoSpacing"/>
                            <w:spacing w:before="12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09/25/2020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1019EC4" wp14:editId="7634ACA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A394B3" id="Group 2" o:spid="_x0000_s1026" style="position:absolute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DD16321" wp14:editId="44D4D3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28378" w14:textId="77777777" w:rsidR="00600273" w:rsidRPr="0084631B" w:rsidRDefault="000B26D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631B"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Utah State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A85E9" w14:textId="77777777" w:rsidR="00600273" w:rsidRPr="0084631B" w:rsidRDefault="0084631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4631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CEE 5410/6410 | Dr. David Rosenberg, PhD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D16321" id="Text Box 69" o:spid="_x0000_s1027" type="#_x0000_t202" style="position:absolute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2428378" w14:textId="77777777" w:rsidR="00600273" w:rsidRPr="0084631B" w:rsidRDefault="000B26D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631B"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Utah State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BA85E9" w14:textId="77777777" w:rsidR="00600273" w:rsidRPr="0084631B" w:rsidRDefault="0084631B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84631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CEE 5410/6410 | Dr. David Rosenberg, PhD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469130" w14:textId="77777777" w:rsidR="003D638E" w:rsidRDefault="003D638E">
          <w:pPr>
            <w:spacing w:after="160" w:line="259" w:lineRule="auto"/>
            <w:sectPr w:rsidR="003D638E" w:rsidSect="00600273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58A49471" w14:textId="649FDF95" w:rsidR="0000522D" w:rsidRPr="003D638E" w:rsidRDefault="00232136" w:rsidP="00E84F21">
          <w:pPr>
            <w:pStyle w:val="Heading2"/>
          </w:pPr>
          <w:r>
            <w:lastRenderedPageBreak/>
            <w:t>Introduction</w:t>
          </w:r>
        </w:p>
      </w:sdtContent>
    </w:sdt>
    <w:p w14:paraId="3CDF894B" w14:textId="1C1E644C" w:rsidR="00232136" w:rsidRDefault="005F619F" w:rsidP="00232136">
      <w:r>
        <w:t>Even in a</w:t>
      </w:r>
      <w:r w:rsidR="00586A23">
        <w:t xml:space="preserve">n idealized </w:t>
      </w:r>
      <w:r w:rsidR="006974F2">
        <w:t xml:space="preserve">world where water resources are measured in arbitrary volume “units” and </w:t>
      </w:r>
      <w:r w:rsidR="002922E5">
        <w:t xml:space="preserve">economic inflation has yet to </w:t>
      </w:r>
      <w:r>
        <w:t xml:space="preserve">diminish the purchasing power of the dollar, </w:t>
      </w:r>
      <w:r w:rsidR="00586A23">
        <w:t>r</w:t>
      </w:r>
      <w:r w:rsidR="00396F4D">
        <w:t xml:space="preserve">eservoir management </w:t>
      </w:r>
      <w:r w:rsidR="00AA1634">
        <w:t>strategies are s</w:t>
      </w:r>
      <w:r w:rsidR="00056639">
        <w:t xml:space="preserve">till essential </w:t>
      </w:r>
      <w:r w:rsidR="00FE63EB">
        <w:t xml:space="preserve">in academic societies. A water manager in </w:t>
      </w:r>
      <w:r w:rsidR="00586252">
        <w:t xml:space="preserve">such circumstances asked the author to </w:t>
      </w:r>
      <w:r w:rsidR="00B45FB7">
        <w:t xml:space="preserve">determine the optimal management strategy </w:t>
      </w:r>
      <w:r w:rsidR="008D2B7D">
        <w:t>that</w:t>
      </w:r>
      <w:r w:rsidR="00B45FB7">
        <w:t xml:space="preserve"> maximized financial benefits</w:t>
      </w:r>
      <w:r w:rsidR="008D2B7D">
        <w:t>, as well as</w:t>
      </w:r>
      <w:r w:rsidR="00B45FB7">
        <w:t xml:space="preserve"> the </w:t>
      </w:r>
      <w:r w:rsidR="008D2B7D">
        <w:t xml:space="preserve">detail the recommended </w:t>
      </w:r>
      <w:r w:rsidR="00B45FB7">
        <w:t xml:space="preserve">plan’s sensitivity to </w:t>
      </w:r>
      <w:r w:rsidR="008D2B7D">
        <w:t>changes in constraints</w:t>
      </w:r>
      <w:r w:rsidR="004E0597">
        <w:t xml:space="preserve"> </w:t>
      </w:r>
      <w:sdt>
        <w:sdtPr>
          <w:id w:val="-1105575025"/>
          <w:citation/>
        </w:sdtPr>
        <w:sdtEndPr/>
        <w:sdtContent>
          <w:r w:rsidR="004E0597">
            <w:fldChar w:fldCharType="begin"/>
          </w:r>
          <w:r w:rsidR="004E0597">
            <w:instrText xml:space="preserve"> CITATION Ros201 \l 1033 </w:instrText>
          </w:r>
          <w:r w:rsidR="004E0597">
            <w:fldChar w:fldCharType="separate"/>
          </w:r>
          <w:r w:rsidR="004E0597">
            <w:rPr>
              <w:noProof/>
            </w:rPr>
            <w:t>(Rosenberg 2020)</w:t>
          </w:r>
          <w:r w:rsidR="004E0597">
            <w:fldChar w:fldCharType="end"/>
          </w:r>
        </w:sdtContent>
      </w:sdt>
      <w:r w:rsidR="008D2B7D">
        <w:t xml:space="preserve">. </w:t>
      </w:r>
      <w:r w:rsidR="00396F4D">
        <w:t xml:space="preserve">This report details </w:t>
      </w:r>
      <w:r w:rsidR="00822231">
        <w:t>the methods and results of a linear programming</w:t>
      </w:r>
      <w:r w:rsidR="00C451D5">
        <w:t xml:space="preserve"> (LP)</w:t>
      </w:r>
      <w:r w:rsidR="00822231">
        <w:t xml:space="preserve"> model formulation</w:t>
      </w:r>
      <w:r w:rsidR="00C31ECE">
        <w:t xml:space="preserve">. </w:t>
      </w:r>
      <w:r w:rsidR="00411100">
        <w:t xml:space="preserve">The primary findings </w:t>
      </w:r>
      <w:r w:rsidR="00822231">
        <w:t xml:space="preserve">include the maximized benefits </w:t>
      </w:r>
      <w:r w:rsidR="00FA2AB3">
        <w:t>of the</w:t>
      </w:r>
      <w:r w:rsidR="00822231">
        <w:t xml:space="preserve"> recommended </w:t>
      </w:r>
      <w:r w:rsidR="00721FF3">
        <w:t xml:space="preserve">management </w:t>
      </w:r>
      <w:r w:rsidR="00822231">
        <w:t>strategy</w:t>
      </w:r>
      <w:r w:rsidR="008E3673">
        <w:t xml:space="preserve">, the sensitivity of model parameters, and potential implications for the water manager </w:t>
      </w:r>
      <w:r w:rsidR="00337D78">
        <w:t>when modeling larger time periods.</w:t>
      </w:r>
    </w:p>
    <w:p w14:paraId="66A2DEB5" w14:textId="77777777" w:rsidR="002D407A" w:rsidRDefault="002D407A" w:rsidP="00232136"/>
    <w:p w14:paraId="1146A524" w14:textId="77777777" w:rsidR="008D1903" w:rsidRDefault="008D1903" w:rsidP="00E84F21">
      <w:pPr>
        <w:pStyle w:val="Heading2"/>
      </w:pPr>
      <w:r>
        <w:t>Methods</w:t>
      </w:r>
    </w:p>
    <w:p w14:paraId="5E3A1252" w14:textId="0ADE57B7" w:rsidR="0000522D" w:rsidRDefault="00D17CD8" w:rsidP="00232136">
      <w:r>
        <w:t xml:space="preserve">A model was formulated and </w:t>
      </w:r>
      <w:r w:rsidR="000A71B5">
        <w:t>solved</w:t>
      </w:r>
      <w:r>
        <w:t xml:space="preserve"> in </w:t>
      </w:r>
      <w:r w:rsidR="00655A8F">
        <w:t>the General Algebraic Modeling System (</w:t>
      </w:r>
      <w:r>
        <w:t>GAMS</w:t>
      </w:r>
      <w:r w:rsidR="00655A8F">
        <w:t>)</w:t>
      </w:r>
      <w:r>
        <w:t xml:space="preserve"> software</w:t>
      </w:r>
      <w:r w:rsidR="001551D1">
        <w:t>.</w:t>
      </w:r>
      <w:r w:rsidR="00655A8F">
        <w:t xml:space="preserve"> </w:t>
      </w:r>
      <w:r w:rsidR="006820FC">
        <w:t>The model incorporated decision variables (allocated water units) at several locations over a course of six months, giving a total of 30 decision variables to optimize. Similarly, all constraints location specific and dependent on time and produced many various constraints equations.</w:t>
      </w:r>
      <w:r w:rsidR="008D1FAF">
        <w:t xml:space="preserve"> </w:t>
      </w:r>
      <w:r w:rsidR="003872FF">
        <w:t>Sensitivity analyses were performed to determine how marginal changes in variables or constraints affect the total benefits (</w:t>
      </w:r>
      <w:r w:rsidR="003872FF">
        <w:fldChar w:fldCharType="begin"/>
      </w:r>
      <w:r w:rsidR="003872FF">
        <w:instrText xml:space="preserve"> REF _Ref51932737 \h </w:instrText>
      </w:r>
      <w:r w:rsidR="003872FF">
        <w:fldChar w:fldCharType="separate"/>
      </w:r>
      <w:r w:rsidR="003872FF">
        <w:t xml:space="preserve">Table </w:t>
      </w:r>
      <w:r w:rsidR="003872FF">
        <w:rPr>
          <w:noProof/>
        </w:rPr>
        <w:t>1</w:t>
      </w:r>
      <w:r w:rsidR="003872FF">
        <w:fldChar w:fldCharType="end"/>
      </w:r>
      <w:r w:rsidR="003872FF">
        <w:t xml:space="preserve">) and at what point streamflow requirements would change the basis, or the set of non-zero decision variables; changes in the basis </w:t>
      </w:r>
      <w:r w:rsidR="00ED0174">
        <w:t xml:space="preserve">variables </w:t>
      </w:r>
      <w:r w:rsidR="003872FF">
        <w:t xml:space="preserve">would indicate a major change in the optimal allocation plan. </w:t>
      </w:r>
      <w:r w:rsidR="008D1FAF">
        <w:t>The model formulation is shown in</w:t>
      </w:r>
      <w:r w:rsidR="009572C9">
        <w:t xml:space="preserve"> </w:t>
      </w:r>
      <w:r w:rsidR="009572C9">
        <w:fldChar w:fldCharType="begin"/>
      </w:r>
      <w:r w:rsidR="009572C9">
        <w:instrText xml:space="preserve"> REF _Ref51933666 \h </w:instrText>
      </w:r>
      <w:r w:rsidR="009572C9">
        <w:fldChar w:fldCharType="separate"/>
      </w:r>
      <w:r w:rsidR="009572C9">
        <w:t xml:space="preserve">Figure </w:t>
      </w:r>
      <w:r w:rsidR="009572C9">
        <w:rPr>
          <w:noProof/>
        </w:rPr>
        <w:t>1</w:t>
      </w:r>
      <w:r w:rsidR="009572C9">
        <w:fldChar w:fldCharType="end"/>
      </w:r>
      <w:r w:rsidR="008D1FAF">
        <w:t xml:space="preserve"> and the code solution is available online in the </w:t>
      </w:r>
      <w:hyperlink r:id="rId8" w:history="1">
        <w:r w:rsidR="008D1FAF" w:rsidRPr="00271E07">
          <w:rPr>
            <w:rStyle w:val="Hyperlink"/>
          </w:rPr>
          <w:t>author’s GitHub repository</w:t>
        </w:r>
      </w:hyperlink>
      <w:r w:rsidR="008D1FAF">
        <w:t xml:space="preserve"> </w:t>
      </w:r>
      <w:sdt>
        <w:sdtPr>
          <w:id w:val="-1655453227"/>
          <w:citation/>
        </w:sdtPr>
        <w:sdtEndPr/>
        <w:sdtContent>
          <w:r w:rsidR="00271E07">
            <w:fldChar w:fldCharType="begin"/>
          </w:r>
          <w:r w:rsidR="00271E07">
            <w:instrText xml:space="preserve"> CITATION War203 \l 1033 </w:instrText>
          </w:r>
          <w:r w:rsidR="00271E07">
            <w:fldChar w:fldCharType="separate"/>
          </w:r>
          <w:r w:rsidR="00271E07">
            <w:rPr>
              <w:noProof/>
            </w:rPr>
            <w:t>(Ward 2020)</w:t>
          </w:r>
          <w:r w:rsidR="00271E07">
            <w:fldChar w:fldCharType="end"/>
          </w:r>
        </w:sdtContent>
      </w:sdt>
      <w:r w:rsidR="000A71B5">
        <w:t>.</w:t>
      </w:r>
    </w:p>
    <w:p w14:paraId="74DDAF20" w14:textId="77777777" w:rsidR="002D407A" w:rsidRDefault="002D407A" w:rsidP="00232136"/>
    <w:p w14:paraId="77944892" w14:textId="77777777" w:rsidR="008D1903" w:rsidRDefault="008D1903" w:rsidP="00E84F21">
      <w:pPr>
        <w:pStyle w:val="Heading2"/>
      </w:pPr>
      <w:r>
        <w:t>Results</w:t>
      </w:r>
    </w:p>
    <w:p w14:paraId="7B369AC4" w14:textId="2236FC1C" w:rsidR="008363DA" w:rsidRDefault="001551D1" w:rsidP="00232136">
      <w:r>
        <w:t xml:space="preserve">The LP model </w:t>
      </w:r>
      <w:r w:rsidR="00482FFA">
        <w:t>projected maximum</w:t>
      </w:r>
      <w:r>
        <w:t xml:space="preserve"> benefits of $51.6</w:t>
      </w:r>
      <w:r w:rsidR="00482FFA">
        <w:t xml:space="preserve"> </w:t>
      </w:r>
      <w:r w:rsidR="00941A2C">
        <w:t>in total.</w:t>
      </w:r>
      <w:r w:rsidR="00956CAA">
        <w:t xml:space="preserve"> </w:t>
      </w:r>
      <w:r w:rsidR="00A450EB">
        <w:t xml:space="preserve">The water manager specifically requested an evaluation on how benefits change under the scenarios in </w:t>
      </w:r>
      <w:r w:rsidR="000F3942">
        <w:fldChar w:fldCharType="begin"/>
      </w:r>
      <w:r w:rsidR="000F3942">
        <w:instrText xml:space="preserve"> REF _Ref51932737 \h </w:instrText>
      </w:r>
      <w:r w:rsidR="000F3942">
        <w:fldChar w:fldCharType="separate"/>
      </w:r>
      <w:r w:rsidR="000F3942">
        <w:t xml:space="preserve">Table </w:t>
      </w:r>
      <w:r w:rsidR="000F3942">
        <w:rPr>
          <w:noProof/>
        </w:rPr>
        <w:t>1</w:t>
      </w:r>
      <w:r w:rsidR="000F3942">
        <w:fldChar w:fldCharType="end"/>
      </w:r>
      <w:r w:rsidR="000F3942">
        <w:t xml:space="preserve">, </w:t>
      </w:r>
      <w:r w:rsidR="00027D5A">
        <w:t>provided the solution basis remains the same.</w:t>
      </w:r>
      <w:r w:rsidR="00A450EB">
        <w:t xml:space="preserve"> </w:t>
      </w:r>
      <w:r w:rsidR="000F3942">
        <w:fldChar w:fldCharType="begin"/>
      </w:r>
      <w:r w:rsidR="000F3942">
        <w:instrText xml:space="preserve"> REF _Ref51932943 \h </w:instrText>
      </w:r>
      <w:r w:rsidR="000F3942">
        <w:fldChar w:fldCharType="separate"/>
      </w:r>
      <w:r w:rsidR="000F3942">
        <w:t xml:space="preserve">Table </w:t>
      </w:r>
      <w:r w:rsidR="000F3942">
        <w:rPr>
          <w:noProof/>
        </w:rPr>
        <w:t>2</w:t>
      </w:r>
      <w:r w:rsidR="000F3942">
        <w:fldChar w:fldCharType="end"/>
      </w:r>
      <w:r w:rsidR="000F3942">
        <w:t xml:space="preserve"> </w:t>
      </w:r>
      <w:r w:rsidR="00956CAA">
        <w:t>shows the recommended water allocations by location and month.</w:t>
      </w:r>
      <w:r w:rsidR="001F6292">
        <w:t xml:space="preserve"> </w:t>
      </w:r>
    </w:p>
    <w:p w14:paraId="3531EB4A" w14:textId="54FA76B3" w:rsidR="008363DA" w:rsidRDefault="008363DA" w:rsidP="00232136"/>
    <w:p w14:paraId="365BBA9B" w14:textId="316CF41D" w:rsidR="00217C03" w:rsidRDefault="00217C03" w:rsidP="00217C03">
      <w:pPr>
        <w:pStyle w:val="Caption"/>
        <w:keepNext/>
      </w:pPr>
      <w:bookmarkStart w:id="0" w:name="_Ref51932737"/>
      <w:r>
        <w:t xml:space="preserve">Table </w:t>
      </w:r>
      <w:r w:rsidR="000B26DE">
        <w:fldChar w:fldCharType="begin"/>
      </w:r>
      <w:r w:rsidR="000B26DE">
        <w:instrText xml:space="preserve"> SEQ Table \* ARABIC </w:instrText>
      </w:r>
      <w:r w:rsidR="000B26DE">
        <w:fldChar w:fldCharType="separate"/>
      </w:r>
      <w:r>
        <w:rPr>
          <w:noProof/>
        </w:rPr>
        <w:t>1</w:t>
      </w:r>
      <w:r w:rsidR="000B26DE">
        <w:rPr>
          <w:noProof/>
        </w:rPr>
        <w:fldChar w:fldCharType="end"/>
      </w:r>
      <w:bookmarkEnd w:id="0"/>
      <w:r>
        <w:t>. Sensitivity of total benefits to changes in model constraints and decision variables</w:t>
      </w:r>
    </w:p>
    <w:tbl>
      <w:tblPr>
        <w:tblStyle w:val="TableGrid0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728"/>
        <w:gridCol w:w="1872"/>
        <w:gridCol w:w="4896"/>
      </w:tblGrid>
      <w:tr w:rsidR="00B44FE9" w:rsidRPr="000571EC" w14:paraId="785DCCB0" w14:textId="77777777" w:rsidTr="00834865">
        <w:tc>
          <w:tcPr>
            <w:tcW w:w="244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667F3D" w14:textId="65602906" w:rsidR="00337D78" w:rsidRPr="000571EC" w:rsidRDefault="00926AED" w:rsidP="00834865">
            <w:pPr>
              <w:jc w:val="center"/>
              <w:rPr>
                <w:b/>
                <w:bCs/>
                <w:sz w:val="21"/>
                <w:szCs w:val="21"/>
              </w:rPr>
            </w:pPr>
            <w:r w:rsidRPr="000571EC">
              <w:rPr>
                <w:b/>
                <w:bCs/>
                <w:sz w:val="21"/>
                <w:szCs w:val="21"/>
              </w:rPr>
              <w:t>Scenario</w:t>
            </w:r>
          </w:p>
        </w:tc>
        <w:tc>
          <w:tcPr>
            <w:tcW w:w="172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D2C3740" w14:textId="3EC2D68F" w:rsidR="00337D78" w:rsidRPr="000571EC" w:rsidRDefault="0022705B" w:rsidP="00834865">
            <w:pPr>
              <w:jc w:val="center"/>
              <w:rPr>
                <w:b/>
                <w:bCs/>
                <w:sz w:val="21"/>
                <w:szCs w:val="21"/>
              </w:rPr>
            </w:pPr>
            <w:r w:rsidRPr="000571EC">
              <w:rPr>
                <w:b/>
                <w:bCs/>
                <w:sz w:val="21"/>
                <w:szCs w:val="21"/>
              </w:rPr>
              <w:t>Marginal set by month ($/unit)</w:t>
            </w:r>
          </w:p>
        </w:tc>
        <w:tc>
          <w:tcPr>
            <w:tcW w:w="18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4508843" w14:textId="3B88E8AF" w:rsidR="00337D78" w:rsidRPr="000571EC" w:rsidRDefault="00B80C66" w:rsidP="00834865">
            <w:pPr>
              <w:jc w:val="center"/>
              <w:rPr>
                <w:b/>
                <w:bCs/>
                <w:sz w:val="21"/>
                <w:szCs w:val="21"/>
              </w:rPr>
            </w:pPr>
            <w:r w:rsidRPr="000571EC">
              <w:rPr>
                <w:b/>
                <w:bCs/>
                <w:sz w:val="21"/>
                <w:szCs w:val="21"/>
              </w:rPr>
              <w:t xml:space="preserve">Change in </w:t>
            </w:r>
            <w:r w:rsidR="00446396" w:rsidRPr="000571EC">
              <w:rPr>
                <w:b/>
                <w:bCs/>
                <w:sz w:val="21"/>
                <w:szCs w:val="21"/>
              </w:rPr>
              <w:t xml:space="preserve">Total </w:t>
            </w:r>
            <w:r w:rsidRPr="000571EC">
              <w:rPr>
                <w:b/>
                <w:bCs/>
                <w:sz w:val="21"/>
                <w:szCs w:val="21"/>
              </w:rPr>
              <w:t>Benefits ($)</w:t>
            </w:r>
          </w:p>
        </w:tc>
        <w:tc>
          <w:tcPr>
            <w:tcW w:w="489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884F7A" w14:textId="64F61D68" w:rsidR="00337D78" w:rsidRPr="000571EC" w:rsidRDefault="001C3240" w:rsidP="00834865">
            <w:pPr>
              <w:jc w:val="center"/>
              <w:rPr>
                <w:b/>
                <w:bCs/>
                <w:sz w:val="21"/>
                <w:szCs w:val="21"/>
              </w:rPr>
            </w:pPr>
            <w:r w:rsidRPr="000571EC">
              <w:rPr>
                <w:b/>
                <w:bCs/>
                <w:sz w:val="21"/>
                <w:szCs w:val="21"/>
              </w:rPr>
              <w:t>Findings</w:t>
            </w:r>
          </w:p>
        </w:tc>
      </w:tr>
      <w:tr w:rsidR="00B44FE9" w:rsidRPr="000571EC" w14:paraId="0DCB2FBD" w14:textId="77777777" w:rsidTr="00834865">
        <w:tc>
          <w:tcPr>
            <w:tcW w:w="2448" w:type="dxa"/>
            <w:tcBorders>
              <w:top w:val="single" w:sz="6" w:space="0" w:color="auto"/>
            </w:tcBorders>
            <w:vAlign w:val="center"/>
          </w:tcPr>
          <w:p w14:paraId="4182862E" w14:textId="6916F41E" w:rsidR="00337D78" w:rsidRPr="000571EC" w:rsidRDefault="00926AED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 xml:space="preserve">Reservoir capacity </w:t>
            </w:r>
            <w:r w:rsidR="00685A0E" w:rsidRPr="000571EC">
              <w:rPr>
                <w:sz w:val="21"/>
                <w:szCs w:val="21"/>
              </w:rPr>
              <w:t>expanded +1 unit</w:t>
            </w:r>
          </w:p>
        </w:tc>
        <w:tc>
          <w:tcPr>
            <w:tcW w:w="1728" w:type="dxa"/>
            <w:tcBorders>
              <w:top w:val="single" w:sz="6" w:space="0" w:color="auto"/>
            </w:tcBorders>
            <w:vAlign w:val="center"/>
          </w:tcPr>
          <w:p w14:paraId="4762717F" w14:textId="46D6E1E8" w:rsidR="00337D78" w:rsidRPr="000571EC" w:rsidRDefault="00B80C66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[0, 0, 0, 0, 0, 0]</w:t>
            </w:r>
          </w:p>
        </w:tc>
        <w:tc>
          <w:tcPr>
            <w:tcW w:w="1872" w:type="dxa"/>
            <w:tcBorders>
              <w:top w:val="single" w:sz="6" w:space="0" w:color="auto"/>
            </w:tcBorders>
            <w:vAlign w:val="center"/>
          </w:tcPr>
          <w:p w14:paraId="26A8E65C" w14:textId="36B780B4" w:rsidR="00337D78" w:rsidRPr="000571EC" w:rsidRDefault="005C7A98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0</w:t>
            </w:r>
          </w:p>
        </w:tc>
        <w:tc>
          <w:tcPr>
            <w:tcW w:w="4896" w:type="dxa"/>
            <w:tcBorders>
              <w:top w:val="single" w:sz="6" w:space="0" w:color="auto"/>
            </w:tcBorders>
            <w:vAlign w:val="center"/>
          </w:tcPr>
          <w:p w14:paraId="389A2D5E" w14:textId="26AA996D" w:rsidR="00337D78" w:rsidRPr="000571EC" w:rsidRDefault="00394D14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Reservoir capacity never bound</w:t>
            </w:r>
            <w:r w:rsidR="00B04B82" w:rsidRPr="000571EC">
              <w:rPr>
                <w:sz w:val="21"/>
                <w:szCs w:val="21"/>
              </w:rPr>
              <w:t>. Increasing capacity does not change the model.</w:t>
            </w:r>
          </w:p>
        </w:tc>
      </w:tr>
      <w:tr w:rsidR="00B44FE9" w:rsidRPr="000571EC" w14:paraId="76831FA0" w14:textId="77777777" w:rsidTr="00834865">
        <w:tc>
          <w:tcPr>
            <w:tcW w:w="2448" w:type="dxa"/>
            <w:vAlign w:val="center"/>
          </w:tcPr>
          <w:p w14:paraId="46F32F2A" w14:textId="4493579A" w:rsidR="00337D78" w:rsidRPr="000571EC" w:rsidRDefault="00685A0E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Streamflow requirements increase +1 unit</w:t>
            </w:r>
          </w:p>
        </w:tc>
        <w:tc>
          <w:tcPr>
            <w:tcW w:w="1728" w:type="dxa"/>
            <w:vAlign w:val="center"/>
          </w:tcPr>
          <w:p w14:paraId="7A653F5D" w14:textId="7FA82EBA" w:rsidR="00337D78" w:rsidRPr="000571EC" w:rsidRDefault="00B80C66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[</w:t>
            </w:r>
            <w:r w:rsidR="005C7A98" w:rsidRPr="000571EC">
              <w:rPr>
                <w:sz w:val="21"/>
                <w:szCs w:val="21"/>
              </w:rPr>
              <w:t>-2.1, -2.0, -1.9, -2.0, -2.2, -2.2]</w:t>
            </w:r>
          </w:p>
        </w:tc>
        <w:tc>
          <w:tcPr>
            <w:tcW w:w="1872" w:type="dxa"/>
            <w:vAlign w:val="center"/>
          </w:tcPr>
          <w:p w14:paraId="193CBC36" w14:textId="28B65E8C" w:rsidR="00337D78" w:rsidRPr="000571EC" w:rsidRDefault="005C7A98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-12.4</w:t>
            </w:r>
          </w:p>
        </w:tc>
        <w:tc>
          <w:tcPr>
            <w:tcW w:w="4896" w:type="dxa"/>
            <w:vAlign w:val="center"/>
          </w:tcPr>
          <w:p w14:paraId="4A0D2CF9" w14:textId="6B721498" w:rsidR="00337D78" w:rsidRPr="000571EC" w:rsidRDefault="00794B5E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 xml:space="preserve">Streamflow requirements </w:t>
            </w:r>
            <w:r w:rsidR="001C3240" w:rsidRPr="000571EC">
              <w:rPr>
                <w:sz w:val="21"/>
                <w:szCs w:val="21"/>
              </w:rPr>
              <w:t>bind</w:t>
            </w:r>
            <w:r w:rsidRPr="000571EC">
              <w:rPr>
                <w:sz w:val="21"/>
                <w:szCs w:val="21"/>
              </w:rPr>
              <w:t xml:space="preserve"> each month. </w:t>
            </w:r>
            <w:r w:rsidR="00A3599E" w:rsidRPr="000571EC">
              <w:rPr>
                <w:sz w:val="21"/>
                <w:szCs w:val="21"/>
              </w:rPr>
              <w:t xml:space="preserve">Change in basis </w:t>
            </w:r>
            <w:r w:rsidR="000E6F7D" w:rsidRPr="000571EC">
              <w:rPr>
                <w:sz w:val="21"/>
                <w:szCs w:val="21"/>
              </w:rPr>
              <w:t>(</w:t>
            </w:r>
            <w:r w:rsidR="00CE40D4" w:rsidRPr="000571EC">
              <w:rPr>
                <w:sz w:val="21"/>
                <w:szCs w:val="21"/>
              </w:rPr>
              <w:t>+1 streamflow unit</w:t>
            </w:r>
            <w:r w:rsidR="000E6F7D" w:rsidRPr="000571EC">
              <w:rPr>
                <w:sz w:val="21"/>
                <w:szCs w:val="21"/>
              </w:rPr>
              <w:t>)</w:t>
            </w:r>
            <w:r w:rsidR="00CE40D4" w:rsidRPr="000571EC">
              <w:rPr>
                <w:sz w:val="21"/>
                <w:szCs w:val="21"/>
              </w:rPr>
              <w:t xml:space="preserve"> </w:t>
            </w:r>
            <w:r w:rsidR="00A3599E" w:rsidRPr="000571EC">
              <w:rPr>
                <w:sz w:val="21"/>
                <w:szCs w:val="21"/>
              </w:rPr>
              <w:t xml:space="preserve">decreases </w:t>
            </w:r>
            <w:r w:rsidR="00873974" w:rsidRPr="000571EC">
              <w:rPr>
                <w:sz w:val="21"/>
                <w:szCs w:val="21"/>
              </w:rPr>
              <w:t>benefits by $0.4.</w:t>
            </w:r>
          </w:p>
        </w:tc>
      </w:tr>
      <w:tr w:rsidR="00B44FE9" w:rsidRPr="000571EC" w14:paraId="104D46E6" w14:textId="77777777" w:rsidTr="00834865">
        <w:tc>
          <w:tcPr>
            <w:tcW w:w="2448" w:type="dxa"/>
            <w:tcBorders>
              <w:bottom w:val="single" w:sz="12" w:space="0" w:color="auto"/>
            </w:tcBorders>
            <w:vAlign w:val="center"/>
          </w:tcPr>
          <w:p w14:paraId="1F612ECB" w14:textId="0C446933" w:rsidR="00337D78" w:rsidRPr="000571EC" w:rsidRDefault="0022705B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Irrigation increase +1 unit in months 1-3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6E4CEA59" w14:textId="01026660" w:rsidR="00337D78" w:rsidRPr="000571EC" w:rsidRDefault="00446396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[-1.1, -0.8, 0, 0, 0, 0]</w:t>
            </w:r>
          </w:p>
        </w:tc>
        <w:tc>
          <w:tcPr>
            <w:tcW w:w="1872" w:type="dxa"/>
            <w:tcBorders>
              <w:bottom w:val="single" w:sz="12" w:space="0" w:color="auto"/>
            </w:tcBorders>
            <w:vAlign w:val="center"/>
          </w:tcPr>
          <w:p w14:paraId="17C758E9" w14:textId="6FC198EC" w:rsidR="00337D78" w:rsidRPr="000571EC" w:rsidRDefault="00446396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>-1.9</w:t>
            </w:r>
          </w:p>
        </w:tc>
        <w:tc>
          <w:tcPr>
            <w:tcW w:w="4896" w:type="dxa"/>
            <w:tcBorders>
              <w:bottom w:val="single" w:sz="12" w:space="0" w:color="auto"/>
            </w:tcBorders>
            <w:vAlign w:val="center"/>
          </w:tcPr>
          <w:p w14:paraId="55AAB0CB" w14:textId="4853CF25" w:rsidR="00337D78" w:rsidRPr="000571EC" w:rsidRDefault="00873974" w:rsidP="00834865">
            <w:pPr>
              <w:jc w:val="center"/>
              <w:rPr>
                <w:sz w:val="21"/>
                <w:szCs w:val="21"/>
              </w:rPr>
            </w:pPr>
            <w:r w:rsidRPr="000571EC">
              <w:rPr>
                <w:sz w:val="21"/>
                <w:szCs w:val="21"/>
              </w:rPr>
              <w:t xml:space="preserve">Only months 1-2 </w:t>
            </w:r>
            <w:r w:rsidR="001C3240" w:rsidRPr="000571EC">
              <w:rPr>
                <w:sz w:val="21"/>
                <w:szCs w:val="21"/>
              </w:rPr>
              <w:t>bind and decrease overall benefits</w:t>
            </w:r>
            <w:r w:rsidRPr="000571EC">
              <w:rPr>
                <w:sz w:val="21"/>
                <w:szCs w:val="21"/>
              </w:rPr>
              <w:t>.</w:t>
            </w:r>
          </w:p>
        </w:tc>
      </w:tr>
    </w:tbl>
    <w:p w14:paraId="6D111275" w14:textId="08D88EE9" w:rsidR="00337D78" w:rsidRDefault="00337D78" w:rsidP="00232136"/>
    <w:p w14:paraId="76EF3923" w14:textId="68ACB212" w:rsidR="004B21A2" w:rsidRDefault="003872FF" w:rsidP="00232136">
      <w:r>
        <w:t xml:space="preserve">The water manager also requested information about when the streamflow requirements change the </w:t>
      </w:r>
      <w:r w:rsidR="00CE40D4">
        <w:t xml:space="preserve">optimal solution. </w:t>
      </w:r>
      <w:r w:rsidR="00F9020D">
        <w:t>Increases in</w:t>
      </w:r>
      <w:r w:rsidR="00CE7344">
        <w:t xml:space="preserve"> months 1-3</w:t>
      </w:r>
      <w:r w:rsidR="00DB227A">
        <w:t xml:space="preserve"> </w:t>
      </w:r>
      <w:r w:rsidR="00F9020D">
        <w:t xml:space="preserve">and months 4-6 </w:t>
      </w:r>
      <w:r w:rsidR="00DB227A">
        <w:t>by 1 unit</w:t>
      </w:r>
      <w:r w:rsidR="00F9020D">
        <w:t xml:space="preserve"> and 3 units, respectively,</w:t>
      </w:r>
      <w:r w:rsidR="00D76081">
        <w:t xml:space="preserve"> would </w:t>
      </w:r>
      <w:r w:rsidR="00DB227A">
        <w:t xml:space="preserve">change the </w:t>
      </w:r>
      <w:r w:rsidR="00D76081">
        <w:t>solution basis</w:t>
      </w:r>
      <w:r w:rsidR="001E0329">
        <w:t>. Should streamflow requirements increase</w:t>
      </w:r>
      <w:r w:rsidR="00D76081">
        <w:t xml:space="preserve"> by even </w:t>
      </w:r>
      <w:r w:rsidR="00ED0174">
        <w:t>1</w:t>
      </w:r>
      <w:r w:rsidR="00D76081">
        <w:t xml:space="preserve"> unit</w:t>
      </w:r>
      <w:r w:rsidR="001E0329">
        <w:t>, the model should be solved anew</w:t>
      </w:r>
      <w:sdt>
        <w:sdtPr>
          <w:id w:val="-975748355"/>
          <w:citation/>
        </w:sdtPr>
        <w:sdtEndPr/>
        <w:sdtContent>
          <w:r w:rsidR="00ED0174">
            <w:fldChar w:fldCharType="begin"/>
          </w:r>
          <w:r w:rsidR="00ED0174">
            <w:instrText xml:space="preserve"> CITATION War203 \l 1033 </w:instrText>
          </w:r>
          <w:r w:rsidR="00ED0174">
            <w:fldChar w:fldCharType="separate"/>
          </w:r>
          <w:r w:rsidR="00ED0174">
            <w:rPr>
              <w:noProof/>
            </w:rPr>
            <w:t xml:space="preserve"> (Ward 2020)</w:t>
          </w:r>
          <w:r w:rsidR="00ED0174">
            <w:fldChar w:fldCharType="end"/>
          </w:r>
        </w:sdtContent>
      </w:sdt>
      <w:r w:rsidR="001E0329">
        <w:t>.</w:t>
      </w:r>
    </w:p>
    <w:p w14:paraId="2BAE12F7" w14:textId="77777777" w:rsidR="004B21A2" w:rsidRDefault="004B21A2" w:rsidP="00232136"/>
    <w:p w14:paraId="37EB5D2C" w14:textId="77777777" w:rsidR="008D1903" w:rsidRDefault="008D1903" w:rsidP="00E84F21">
      <w:pPr>
        <w:pStyle w:val="Heading2"/>
      </w:pPr>
      <w:r>
        <w:t>Conclusion</w:t>
      </w:r>
    </w:p>
    <w:p w14:paraId="04391E25" w14:textId="77777777" w:rsidR="00E84F21" w:rsidRDefault="00E84F21" w:rsidP="00E84F21">
      <w:r>
        <w:t>Despite its usefulness, the model has several potential drawbacks as the number of time periods increase that the water manager should consider:</w:t>
      </w:r>
    </w:p>
    <w:p w14:paraId="1E4635B4" w14:textId="77777777" w:rsidR="00E84F21" w:rsidRDefault="00E84F21" w:rsidP="00E84F21"/>
    <w:p w14:paraId="06870014" w14:textId="77777777" w:rsidR="00E84F21" w:rsidRDefault="00E84F21" w:rsidP="00E84F21">
      <w:pPr>
        <w:pStyle w:val="ListParagraph"/>
        <w:numPr>
          <w:ilvl w:val="0"/>
          <w:numId w:val="7"/>
        </w:numPr>
      </w:pPr>
      <w:r>
        <w:t>Future flows, prices, etc. are more accurate in the short-term than long-term. Introducing more time periods in the model may increase uncertainty in the model results.</w:t>
      </w:r>
    </w:p>
    <w:p w14:paraId="4A95656A" w14:textId="77777777" w:rsidR="00E84F21" w:rsidRDefault="00E84F21" w:rsidP="00E84F21">
      <w:pPr>
        <w:pStyle w:val="ListParagraph"/>
        <w:numPr>
          <w:ilvl w:val="0"/>
          <w:numId w:val="7"/>
        </w:numPr>
      </w:pPr>
      <w:r>
        <w:t>Each additional month modeled adds 5 decision variables, 1 inflow value, 2 objective function coefficients, and 6 constrain equations. Model maintenance could develop into a significant hassle.</w:t>
      </w:r>
    </w:p>
    <w:p w14:paraId="1C8E6E52" w14:textId="6077DC51" w:rsidR="00E84F21" w:rsidRDefault="00E84F21" w:rsidP="00E84F21">
      <w:pPr>
        <w:pStyle w:val="ListParagraph"/>
        <w:numPr>
          <w:ilvl w:val="0"/>
          <w:numId w:val="7"/>
        </w:numPr>
      </w:pPr>
      <w:r>
        <w:t>The model is based on maintaining existing storage, not planning for future growth.</w:t>
      </w:r>
    </w:p>
    <w:p w14:paraId="714C08CF" w14:textId="77777777" w:rsidR="00E84F21" w:rsidRDefault="00E84F21" w:rsidP="00E84F21"/>
    <w:p w14:paraId="615DCEFF" w14:textId="52887DD8" w:rsidR="0000522D" w:rsidRPr="00CE40D4" w:rsidRDefault="000571EC" w:rsidP="00E84F21">
      <w:pPr>
        <w:rPr>
          <w:rFonts w:eastAsiaTheme="majorEastAsia" w:cstheme="majorBidi"/>
          <w:b/>
          <w:sz w:val="28"/>
          <w:szCs w:val="32"/>
        </w:rPr>
      </w:pPr>
      <w:r>
        <w:t>That said, t</w:t>
      </w:r>
      <w:r w:rsidR="0011678E">
        <w:t>his information</w:t>
      </w:r>
      <w:r w:rsidR="00956CAA">
        <w:t xml:space="preserve"> has significant potential for effectively managing</w:t>
      </w:r>
      <w:r w:rsidR="001E0329">
        <w:t xml:space="preserve"> this water resource system</w:t>
      </w:r>
      <w:r w:rsidR="005E2ADC">
        <w:t xml:space="preserve">. The model determined that a maximum total benefit of $51.6 </w:t>
      </w:r>
      <w:r w:rsidR="00705AA8">
        <w:t xml:space="preserve">results from the allocation plan in </w:t>
      </w:r>
      <w:r w:rsidR="00705AA8">
        <w:fldChar w:fldCharType="begin"/>
      </w:r>
      <w:r w:rsidR="00705AA8">
        <w:instrText xml:space="preserve"> REF _Ref51932943 \h </w:instrText>
      </w:r>
      <w:r w:rsidR="00705AA8">
        <w:fldChar w:fldCharType="separate"/>
      </w:r>
      <w:r w:rsidR="00705AA8">
        <w:t xml:space="preserve">Table </w:t>
      </w:r>
      <w:r w:rsidR="00705AA8">
        <w:rPr>
          <w:noProof/>
        </w:rPr>
        <w:t>2</w:t>
      </w:r>
      <w:r w:rsidR="00705AA8">
        <w:fldChar w:fldCharType="end"/>
      </w:r>
      <w:r w:rsidR="00FC2323">
        <w:t xml:space="preserve">, and beneficial uses are far more sensitive to streamflow requirements than reservoir capacity. </w:t>
      </w:r>
      <w:r w:rsidR="0000522D"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1656481849"/>
        <w:docPartObj>
          <w:docPartGallery w:val="Bibliographies"/>
          <w:docPartUnique/>
        </w:docPartObj>
      </w:sdtPr>
      <w:sdtEndPr/>
      <w:sdtContent>
        <w:p w14:paraId="7A2DBBCA" w14:textId="42722E0F" w:rsidR="00D20120" w:rsidRDefault="00D201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960D26C" w14:textId="77777777" w:rsidR="00D20120" w:rsidRDefault="00D20120" w:rsidP="00D2012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Rosenberg, David E. 2020. "HW4 - Reservoir operation problem." </w:t>
              </w:r>
              <w:r>
                <w:rPr>
                  <w:i/>
                  <w:iCs/>
                  <w:noProof/>
                </w:rPr>
                <w:t>CEE 5410 Canvas Course.</w:t>
              </w:r>
              <w:r>
                <w:rPr>
                  <w:noProof/>
                </w:rPr>
                <w:t xml:space="preserve"> September. Accessed September 25, 2020. https://usu.instructure.com/courses/612457/assignments/3066093.</w:t>
              </w:r>
            </w:p>
            <w:p w14:paraId="02754F55" w14:textId="77777777" w:rsidR="00D20120" w:rsidRDefault="00D20120" w:rsidP="00D201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Ward, Joshua Timothy. 2020. "HW 4 Reservoir." </w:t>
              </w:r>
              <w:r>
                <w:rPr>
                  <w:i/>
                  <w:iCs/>
                  <w:noProof/>
                </w:rPr>
                <w:t>JTW_CEE5410_Repo | GitHub.</w:t>
              </w:r>
              <w:r>
                <w:rPr>
                  <w:noProof/>
                </w:rPr>
                <w:t xml:space="preserve"> September 25. https://github.com/joshuatward/JTW_CEE5410_Repo/tree/master/HW4%20Reservoir.</w:t>
              </w:r>
            </w:p>
            <w:p w14:paraId="478A2753" w14:textId="43201FD6" w:rsidR="00D20120" w:rsidRDefault="00D20120" w:rsidP="00D201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BF85D9" w14:textId="77777777" w:rsidR="008D1903" w:rsidRDefault="008D1903" w:rsidP="00232136"/>
    <w:p w14:paraId="437EC7CC" w14:textId="09D969C5" w:rsidR="00791FA4" w:rsidRDefault="00791FA4">
      <w:pPr>
        <w:spacing w:after="160" w:line="259" w:lineRule="auto"/>
      </w:pPr>
      <w:r>
        <w:br w:type="page"/>
      </w:r>
    </w:p>
    <w:p w14:paraId="74BB5A98" w14:textId="5F261F53" w:rsidR="00520627" w:rsidRDefault="00791FA4" w:rsidP="00791FA4">
      <w:pPr>
        <w:pStyle w:val="Heading1"/>
      </w:pPr>
      <w:r>
        <w:lastRenderedPageBreak/>
        <w:t>Appendix A: Model Formulation and Output</w:t>
      </w:r>
    </w:p>
    <w:p w14:paraId="548CABA3" w14:textId="33A1690D" w:rsidR="00F31A91" w:rsidRDefault="00F31A91" w:rsidP="00F31A91"/>
    <w:p w14:paraId="7D178141" w14:textId="77777777" w:rsidR="00AC644F" w:rsidRDefault="00AC644F" w:rsidP="00AC644F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6574E5A2" wp14:editId="3602E921">
                <wp:extent cx="6867236" cy="6525491"/>
                <wp:effectExtent l="0" t="0" r="10160" b="279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236" cy="6525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455E" w14:textId="0DD53F66" w:rsidR="00AC644F" w:rsidRDefault="00227DA6">
                            <w:r w:rsidRPr="002F0C9A">
                              <w:rPr>
                                <w:noProof/>
                              </w:rPr>
                              <w:drawing>
                                <wp:inline distT="0" distB="0" distL="0" distR="0" wp14:anchorId="7A3FC774" wp14:editId="4B6C759B">
                                  <wp:extent cx="6148447" cy="2276764"/>
                                  <wp:effectExtent l="0" t="0" r="5080" b="9525"/>
                                  <wp:docPr id="3" name="Picture 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Diagram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31" cy="229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DDEB5" w14:textId="12456707" w:rsidR="00227DA6" w:rsidRDefault="00227DA6"/>
                          <w:p w14:paraId="6879AC06" w14:textId="50AFCD27" w:rsidR="00227DA6" w:rsidRPr="00D22184" w:rsidRDefault="00227D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2184">
                              <w:rPr>
                                <w:b/>
                                <w:bCs/>
                              </w:rPr>
                              <w:t>Objective Function</w:t>
                            </w:r>
                          </w:p>
                          <w:p w14:paraId="2BBF5E95" w14:textId="3DDDCCC4" w:rsidR="00227DA6" w:rsidRDefault="00AB4AA8">
                            <w:r>
                              <w:t xml:space="preserve">Maximize </w:t>
                            </w:r>
                            <w:r w:rsidR="00330E26">
                              <w:t>financial benefits ($) from hydropower generation and irrigation of farmland.</w:t>
                            </w:r>
                          </w:p>
                          <w:p w14:paraId="01054F34" w14:textId="43BC22C1" w:rsidR="00330E26" w:rsidRDefault="00330E26"/>
                          <w:p w14:paraId="238E2E0B" w14:textId="4338A13A" w:rsidR="00330E26" w:rsidRDefault="00330E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Max Z=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Hydropower, 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*X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Hydropower, 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Irrigation, 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*X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Irrigation, t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CE6C69A" w14:textId="77777777" w:rsidR="004674C1" w:rsidRDefault="004674C1"/>
                          <w:p w14:paraId="0B8E43AC" w14:textId="1EC94DEE" w:rsidR="00227DA6" w:rsidRPr="00D22184" w:rsidRDefault="00227DA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2184">
                              <w:rPr>
                                <w:b/>
                                <w:bCs/>
                              </w:rPr>
                              <w:t>Decision Variables</w:t>
                            </w:r>
                          </w:p>
                          <w:p w14:paraId="37C480A5" w14:textId="2735356D" w:rsidR="00227DA6" w:rsidRDefault="003327E4">
                            <w:r>
                              <w:tab/>
                              <w:t>Water allocations X(L, t) at each location in each time step</w:t>
                            </w:r>
                          </w:p>
                          <w:p w14:paraId="6985EB97" w14:textId="77777777" w:rsidR="004674C1" w:rsidRDefault="004674C1"/>
                          <w:p w14:paraId="64E7CE4C" w14:textId="03E05DF1" w:rsidR="00227DA6" w:rsidRPr="00D22184" w:rsidRDefault="001843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2184">
                              <w:rPr>
                                <w:b/>
                                <w:bCs/>
                              </w:rPr>
                              <w:t>Sets</w:t>
                            </w:r>
                          </w:p>
                          <w:p w14:paraId="1B5BFFAA" w14:textId="189E6316" w:rsidR="00982085" w:rsidRDefault="00982085" w:rsidP="008348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Locations</w:t>
                            </w:r>
                            <w:r w:rsidR="00834865">
                              <w:t xml:space="preserve"> (L):</w:t>
                            </w:r>
                            <w:r>
                              <w:t xml:space="preserve"> </w:t>
                            </w:r>
                            <w:r w:rsidR="00834865">
                              <w:t>res “Reservoir”</w:t>
                            </w:r>
                            <w:r>
                              <w:t xml:space="preserve">, </w:t>
                            </w:r>
                            <w:r w:rsidR="00834865">
                              <w:t>sp “S</w:t>
                            </w:r>
                            <w:r>
                              <w:t>pillway</w:t>
                            </w:r>
                            <w:r w:rsidR="00834865">
                              <w:t>”</w:t>
                            </w:r>
                            <w:r>
                              <w:t xml:space="preserve">, </w:t>
                            </w:r>
                            <w:r w:rsidR="00834865">
                              <w:t>hyd “Hydropower”</w:t>
                            </w:r>
                            <w:r>
                              <w:t xml:space="preserve">, </w:t>
                            </w:r>
                            <w:r w:rsidR="00834865">
                              <w:t>irr “</w:t>
                            </w:r>
                            <w:r>
                              <w:t>irrigation</w:t>
                            </w:r>
                            <w:r w:rsidR="00834865">
                              <w:t>”</w:t>
                            </w:r>
                            <w:r>
                              <w:t xml:space="preserve">, </w:t>
                            </w:r>
                            <w:r w:rsidR="00834865">
                              <w:t>riv “S</w:t>
                            </w:r>
                            <w:r>
                              <w:t>treamflow at A</w:t>
                            </w:r>
                            <w:r w:rsidR="00834865">
                              <w:t>”</w:t>
                            </w:r>
                          </w:p>
                          <w:p w14:paraId="063CADD6" w14:textId="6447268A" w:rsidR="00982085" w:rsidRDefault="00982085" w:rsidP="008348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Months</w:t>
                            </w:r>
                            <w:r w:rsidR="00834865">
                              <w:t xml:space="preserve"> (t):</w:t>
                            </w:r>
                            <w:r>
                              <w:t xml:space="preserve"> </w:t>
                            </w:r>
                            <w:r w:rsidR="00834865">
                              <w:t>M</w:t>
                            </w:r>
                            <w:r>
                              <w:t xml:space="preserve">1- </w:t>
                            </w:r>
                            <w:r w:rsidR="00834865">
                              <w:t>M</w:t>
                            </w:r>
                            <w:r>
                              <w:t>6</w:t>
                            </w:r>
                          </w:p>
                          <w:p w14:paraId="6669E536" w14:textId="078B33D8" w:rsidR="00982085" w:rsidRDefault="00982085"/>
                          <w:p w14:paraId="3183F710" w14:textId="5180AA23" w:rsidR="004674C1" w:rsidRPr="00546028" w:rsidRDefault="009820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6028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617D2CA2" w14:textId="77777777" w:rsidR="00E62993" w:rsidRPr="00FA718C" w:rsidRDefault="00D22184" w:rsidP="00DD02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 xml:space="preserve">Obey </w:t>
                            </w:r>
                            <w:r w:rsidR="00E62993" w:rsidRPr="00FA718C">
                              <w:t>reservoir continuity</w:t>
                            </w:r>
                            <w:r w:rsidR="00DD020D" w:rsidRPr="00FA718C">
                              <w:t>:</w:t>
                            </w:r>
                            <w:r w:rsidR="004271AA" w:rsidRPr="00FA718C">
                              <w:t xml:space="preserve"> </w:t>
                            </w:r>
                          </w:p>
                          <w:p w14:paraId="500BD469" w14:textId="609D0233" w:rsidR="00D22184" w:rsidRPr="00FA718C" w:rsidRDefault="003A0A9F" w:rsidP="00E6299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+inflow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sp,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∀ t≥2</m:t>
                              </m:r>
                            </m:oMath>
                          </w:p>
                          <w:p w14:paraId="01B04986" w14:textId="026A397F" w:rsidR="00E62993" w:rsidRPr="00FA718C" w:rsidRDefault="00E62993" w:rsidP="00E6299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initial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+inflow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sp,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hyd,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t=1</m:t>
                              </m:r>
                            </m:oMath>
                          </w:p>
                          <w:p w14:paraId="74D7F3A1" w14:textId="6283C5A4" w:rsidR="006331AD" w:rsidRPr="00FA718C" w:rsidRDefault="00D22184" w:rsidP="00E629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 xml:space="preserve">Obey </w:t>
                            </w:r>
                            <w:r w:rsidR="00E62993" w:rsidRPr="00FA718C">
                              <w:t>continuity</w:t>
                            </w:r>
                            <w:r w:rsidRPr="00FA718C">
                              <w:t xml:space="preserve"> at </w:t>
                            </w:r>
                            <w:r w:rsidR="00546028" w:rsidRPr="00FA718C">
                              <w:t>diversion node</w:t>
                            </w:r>
                            <w:r w:rsidR="00E62993" w:rsidRPr="00FA718C"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sp,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irr,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riv,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∀ t</m:t>
                              </m:r>
                            </m:oMath>
                          </w:p>
                          <w:p w14:paraId="2D014CF4" w14:textId="20C2F2EA" w:rsidR="006331AD" w:rsidRPr="00FA718C" w:rsidRDefault="00546028" w:rsidP="00E629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>Reservoir capacity (9 units) must not be exceeded</w:t>
                            </w:r>
                            <w:r w:rsidR="00E62993" w:rsidRPr="00FA718C"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≤9 ∀ t</m:t>
                              </m:r>
                            </m:oMath>
                          </w:p>
                          <w:p w14:paraId="2A38BC64" w14:textId="166C5D8F" w:rsidR="00546028" w:rsidRPr="00FA718C" w:rsidRDefault="00546028" w:rsidP="00D221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>Turbine capacity (4 units) must not be exceeded</w:t>
                            </w:r>
                            <w:r w:rsidR="00720723" w:rsidRPr="00FA718C"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≤4 ∀ t</m:t>
                              </m:r>
                            </m:oMath>
                          </w:p>
                          <w:p w14:paraId="5327C321" w14:textId="0545303C" w:rsidR="00546028" w:rsidRPr="00FA718C" w:rsidRDefault="00AA2B51" w:rsidP="00D221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 xml:space="preserve">Ending reservoir storage must equal or </w:t>
                            </w:r>
                            <w:r w:rsidR="00FA718C" w:rsidRPr="00FA718C">
                              <w:t>exceed</w:t>
                            </w:r>
                            <w:r w:rsidRPr="00FA718C">
                              <w:t xml:space="preserve"> beginning storage</w:t>
                            </w:r>
                            <w:r w:rsidR="003F4890" w:rsidRPr="00FA718C"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res, 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≥X(res, initial)</m:t>
                              </m:r>
                            </m:oMath>
                          </w:p>
                          <w:p w14:paraId="7EFC916F" w14:textId="4BE1EA76" w:rsidR="00AA2B51" w:rsidRPr="00FA718C" w:rsidRDefault="00236C15" w:rsidP="00D2218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FA718C">
                              <w:t>Streamflow at A must be greater than or equal to 1 unit</w:t>
                            </w:r>
                            <w:r w:rsidR="00FA718C"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riv,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≥1 ∀ 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4E5A2" id="Text Box 1" o:spid="_x0000_s1028" type="#_x0000_t202" style="width:540.75pt;height:5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" fillcolor="white [3201]" strokecolor="black [3200]" strokeweight="1pt">
                <v:textbox>
                  <w:txbxContent>
                    <w:p w14:paraId="41D9455E" w14:textId="0DD53F66" w:rsidR="00AC644F" w:rsidRDefault="00227DA6">
                      <w:r w:rsidRPr="002F0C9A">
                        <w:rPr>
                          <w:noProof/>
                        </w:rPr>
                        <w:drawing>
                          <wp:inline distT="0" distB="0" distL="0" distR="0" wp14:anchorId="7A3FC774" wp14:editId="4B6C759B">
                            <wp:extent cx="6148447" cy="2276764"/>
                            <wp:effectExtent l="0" t="0" r="5080" b="9525"/>
                            <wp:docPr id="3" name="Picture 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Diagram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31" cy="229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DDEB5" w14:textId="12456707" w:rsidR="00227DA6" w:rsidRDefault="00227DA6"/>
                    <w:p w14:paraId="6879AC06" w14:textId="50AFCD27" w:rsidR="00227DA6" w:rsidRPr="00D22184" w:rsidRDefault="00227DA6">
                      <w:pPr>
                        <w:rPr>
                          <w:b/>
                          <w:bCs/>
                        </w:rPr>
                      </w:pPr>
                      <w:r w:rsidRPr="00D22184">
                        <w:rPr>
                          <w:b/>
                          <w:bCs/>
                        </w:rPr>
                        <w:t>Objective Function</w:t>
                      </w:r>
                    </w:p>
                    <w:p w14:paraId="2BBF5E95" w14:textId="3DDDCCC4" w:rsidR="00227DA6" w:rsidRDefault="00AB4AA8">
                      <w:r>
                        <w:t xml:space="preserve">Maximize </w:t>
                      </w:r>
                      <w:r w:rsidR="00330E26">
                        <w:t>financial benefits ($) from hydropower generation and irrigation of farmland.</w:t>
                      </w:r>
                    </w:p>
                    <w:p w14:paraId="01054F34" w14:textId="43BC22C1" w:rsidR="00330E26" w:rsidRDefault="00330E26"/>
                    <w:p w14:paraId="238E2E0B" w14:textId="4338A13A" w:rsidR="00330E26" w:rsidRDefault="00330E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Max Z=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Hydropower,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Hydropower,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Irrigation, 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Irrigation, 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6CE6C69A" w14:textId="77777777" w:rsidR="004674C1" w:rsidRDefault="004674C1"/>
                    <w:p w14:paraId="0B8E43AC" w14:textId="1EC94DEE" w:rsidR="00227DA6" w:rsidRPr="00D22184" w:rsidRDefault="00227DA6">
                      <w:pPr>
                        <w:rPr>
                          <w:b/>
                          <w:bCs/>
                        </w:rPr>
                      </w:pPr>
                      <w:r w:rsidRPr="00D22184">
                        <w:rPr>
                          <w:b/>
                          <w:bCs/>
                        </w:rPr>
                        <w:t>Decision Variables</w:t>
                      </w:r>
                    </w:p>
                    <w:p w14:paraId="37C480A5" w14:textId="2735356D" w:rsidR="00227DA6" w:rsidRDefault="003327E4">
                      <w:r>
                        <w:tab/>
                        <w:t>Water allocations X(L, t) at each location in each time step</w:t>
                      </w:r>
                    </w:p>
                    <w:p w14:paraId="6985EB97" w14:textId="77777777" w:rsidR="004674C1" w:rsidRDefault="004674C1"/>
                    <w:p w14:paraId="64E7CE4C" w14:textId="03E05DF1" w:rsidR="00227DA6" w:rsidRPr="00D22184" w:rsidRDefault="001843CD">
                      <w:pPr>
                        <w:rPr>
                          <w:b/>
                          <w:bCs/>
                        </w:rPr>
                      </w:pPr>
                      <w:r w:rsidRPr="00D22184">
                        <w:rPr>
                          <w:b/>
                          <w:bCs/>
                        </w:rPr>
                        <w:t>Sets</w:t>
                      </w:r>
                    </w:p>
                    <w:p w14:paraId="1B5BFFAA" w14:textId="189E6316" w:rsidR="00982085" w:rsidRDefault="00982085" w:rsidP="0083486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Locations</w:t>
                      </w:r>
                      <w:r w:rsidR="00834865">
                        <w:t xml:space="preserve"> (L):</w:t>
                      </w:r>
                      <w:r>
                        <w:t xml:space="preserve"> </w:t>
                      </w:r>
                      <w:r w:rsidR="00834865">
                        <w:t>res “Reservoir”</w:t>
                      </w:r>
                      <w:r>
                        <w:t xml:space="preserve">, </w:t>
                      </w:r>
                      <w:r w:rsidR="00834865">
                        <w:t>sp “S</w:t>
                      </w:r>
                      <w:r>
                        <w:t>pillway</w:t>
                      </w:r>
                      <w:r w:rsidR="00834865">
                        <w:t>”</w:t>
                      </w:r>
                      <w:r>
                        <w:t xml:space="preserve">, </w:t>
                      </w:r>
                      <w:r w:rsidR="00834865">
                        <w:t>hyd “Hydropower”</w:t>
                      </w:r>
                      <w:r>
                        <w:t xml:space="preserve">, </w:t>
                      </w:r>
                      <w:r w:rsidR="00834865">
                        <w:t>irr “</w:t>
                      </w:r>
                      <w:r>
                        <w:t>irrigation</w:t>
                      </w:r>
                      <w:r w:rsidR="00834865">
                        <w:t>”</w:t>
                      </w:r>
                      <w:r>
                        <w:t xml:space="preserve">, </w:t>
                      </w:r>
                      <w:r w:rsidR="00834865">
                        <w:t>riv “S</w:t>
                      </w:r>
                      <w:r>
                        <w:t>treamflow at A</w:t>
                      </w:r>
                      <w:r w:rsidR="00834865">
                        <w:t>”</w:t>
                      </w:r>
                    </w:p>
                    <w:p w14:paraId="063CADD6" w14:textId="6447268A" w:rsidR="00982085" w:rsidRDefault="00982085" w:rsidP="0083486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Months</w:t>
                      </w:r>
                      <w:r w:rsidR="00834865">
                        <w:t xml:space="preserve"> (t):</w:t>
                      </w:r>
                      <w:r>
                        <w:t xml:space="preserve"> </w:t>
                      </w:r>
                      <w:r w:rsidR="00834865">
                        <w:t>M</w:t>
                      </w:r>
                      <w:r>
                        <w:t xml:space="preserve">1- </w:t>
                      </w:r>
                      <w:r w:rsidR="00834865">
                        <w:t>M</w:t>
                      </w:r>
                      <w:r>
                        <w:t>6</w:t>
                      </w:r>
                    </w:p>
                    <w:p w14:paraId="6669E536" w14:textId="078B33D8" w:rsidR="00982085" w:rsidRDefault="00982085"/>
                    <w:p w14:paraId="3183F710" w14:textId="5180AA23" w:rsidR="004674C1" w:rsidRPr="00546028" w:rsidRDefault="00982085">
                      <w:pPr>
                        <w:rPr>
                          <w:b/>
                          <w:bCs/>
                        </w:rPr>
                      </w:pPr>
                      <w:r w:rsidRPr="00546028">
                        <w:rPr>
                          <w:b/>
                          <w:bCs/>
                        </w:rPr>
                        <w:t>Constraints</w:t>
                      </w:r>
                    </w:p>
                    <w:p w14:paraId="617D2CA2" w14:textId="77777777" w:rsidR="00E62993" w:rsidRPr="00FA718C" w:rsidRDefault="00D22184" w:rsidP="00DD020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 xml:space="preserve">Obey </w:t>
                      </w:r>
                      <w:r w:rsidR="00E62993" w:rsidRPr="00FA718C">
                        <w:t>reservoir continuity</w:t>
                      </w:r>
                      <w:r w:rsidR="00DD020D" w:rsidRPr="00FA718C">
                        <w:t>:</w:t>
                      </w:r>
                      <w:r w:rsidR="004271AA" w:rsidRPr="00FA718C">
                        <w:t xml:space="preserve"> </w:t>
                      </w:r>
                    </w:p>
                    <w:p w14:paraId="500BD469" w14:textId="609D0233" w:rsidR="00D22184" w:rsidRPr="00FA718C" w:rsidRDefault="003A0A9F" w:rsidP="00E6299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+inflow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sp,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hyd,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∀ t≥2</m:t>
                        </m:r>
                      </m:oMath>
                    </w:p>
                    <w:p w14:paraId="01B04986" w14:textId="026A397F" w:rsidR="00E62993" w:rsidRPr="00FA718C" w:rsidRDefault="00E62993" w:rsidP="00E6299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initial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+inflow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sp, 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hyd, 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t=1</m:t>
                        </m:r>
                      </m:oMath>
                    </w:p>
                    <w:p w14:paraId="74D7F3A1" w14:textId="6283C5A4" w:rsidR="006331AD" w:rsidRPr="00FA718C" w:rsidRDefault="00D22184" w:rsidP="00E6299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 xml:space="preserve">Obey </w:t>
                      </w:r>
                      <w:r w:rsidR="00E62993" w:rsidRPr="00FA718C">
                        <w:t>continuity</w:t>
                      </w:r>
                      <w:r w:rsidRPr="00FA718C">
                        <w:t xml:space="preserve"> at </w:t>
                      </w:r>
                      <w:r w:rsidR="00546028" w:rsidRPr="00FA718C">
                        <w:t>diversion node</w:t>
                      </w:r>
                      <w:r w:rsidR="00E62993" w:rsidRPr="00FA718C"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sp,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hyd,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irr,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riv,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∀ t</m:t>
                        </m:r>
                      </m:oMath>
                    </w:p>
                    <w:p w14:paraId="2D014CF4" w14:textId="20C2F2EA" w:rsidR="006331AD" w:rsidRPr="00FA718C" w:rsidRDefault="00546028" w:rsidP="00E6299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>Reservoir capacity (9 units) must not be exceeded</w:t>
                      </w:r>
                      <w:r w:rsidR="00E62993" w:rsidRPr="00FA718C"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≤9 ∀ t</m:t>
                        </m:r>
                      </m:oMath>
                    </w:p>
                    <w:p w14:paraId="2A38BC64" w14:textId="166C5D8F" w:rsidR="00546028" w:rsidRPr="00FA718C" w:rsidRDefault="00546028" w:rsidP="00D2218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>Turbine capacity (4 units) must not be exceeded</w:t>
                      </w:r>
                      <w:r w:rsidR="00720723" w:rsidRPr="00FA718C"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hyd,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≤4 ∀ t</m:t>
                        </m:r>
                      </m:oMath>
                    </w:p>
                    <w:p w14:paraId="5327C321" w14:textId="0545303C" w:rsidR="00546028" w:rsidRPr="00FA718C" w:rsidRDefault="00AA2B51" w:rsidP="00D2218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 xml:space="preserve">Ending reservoir storage must equal or </w:t>
                      </w:r>
                      <w:r w:rsidR="00FA718C" w:rsidRPr="00FA718C">
                        <w:t>exceed</w:t>
                      </w:r>
                      <w:r w:rsidRPr="00FA718C">
                        <w:t xml:space="preserve"> beginning storage</w:t>
                      </w:r>
                      <w:r w:rsidR="003F4890" w:rsidRPr="00FA718C"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res, 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≥X(res, initial)</m:t>
                        </m:r>
                      </m:oMath>
                    </w:p>
                    <w:p w14:paraId="7EFC916F" w14:textId="4BE1EA76" w:rsidR="00AA2B51" w:rsidRPr="00FA718C" w:rsidRDefault="00236C15" w:rsidP="00D2218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FA718C">
                        <w:t>Streamflow at A must be greater than or equal to 1 unit</w:t>
                      </w:r>
                      <w:r w:rsidR="00FA718C"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riv,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≥1 ∀ t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5247F395" w14:textId="5AB749EF" w:rsidR="00F31A91" w:rsidRDefault="00AC644F" w:rsidP="00AC644F">
      <w:pPr>
        <w:pStyle w:val="Caption"/>
      </w:pPr>
      <w:bookmarkStart w:id="1" w:name="_Ref51933666"/>
      <w:r>
        <w:t xml:space="preserve">Figure </w:t>
      </w:r>
      <w:r w:rsidR="000B26DE">
        <w:fldChar w:fldCharType="begin"/>
      </w:r>
      <w:r w:rsidR="000B26DE">
        <w:instrText xml:space="preserve"> SEQ Figure \* ARABIC </w:instrText>
      </w:r>
      <w:r w:rsidR="000B26DE">
        <w:fldChar w:fldCharType="separate"/>
      </w:r>
      <w:r>
        <w:rPr>
          <w:noProof/>
        </w:rPr>
        <w:t>1</w:t>
      </w:r>
      <w:r w:rsidR="000B26DE">
        <w:rPr>
          <w:noProof/>
        </w:rPr>
        <w:fldChar w:fldCharType="end"/>
      </w:r>
      <w:bookmarkEnd w:id="1"/>
      <w:r>
        <w:t xml:space="preserve">. Model schematic </w:t>
      </w:r>
      <w:sdt>
        <w:sdtPr>
          <w:id w:val="1414119999"/>
          <w:citation/>
        </w:sdtPr>
        <w:sdtEndPr/>
        <w:sdtContent>
          <w:r w:rsidR="00217C03">
            <w:fldChar w:fldCharType="begin"/>
          </w:r>
          <w:r w:rsidR="00217C03">
            <w:instrText xml:space="preserve"> CITATION Ros201 \l 1033 </w:instrText>
          </w:r>
          <w:r w:rsidR="00217C03">
            <w:fldChar w:fldCharType="separate"/>
          </w:r>
          <w:r w:rsidR="00217C03">
            <w:rPr>
              <w:noProof/>
            </w:rPr>
            <w:t>(Rosenberg 2020)</w:t>
          </w:r>
          <w:r w:rsidR="00217C03">
            <w:fldChar w:fldCharType="end"/>
          </w:r>
        </w:sdtContent>
      </w:sdt>
      <w:r w:rsidR="00590486">
        <w:t xml:space="preserve"> </w:t>
      </w:r>
      <w:r>
        <w:t xml:space="preserve">and </w:t>
      </w:r>
      <w:r w:rsidR="00217C03">
        <w:t xml:space="preserve">model </w:t>
      </w:r>
      <w:r>
        <w:t>form</w:t>
      </w:r>
      <w:r w:rsidR="00966A89">
        <w:t>ula</w:t>
      </w:r>
      <w:r>
        <w:t>tion</w:t>
      </w:r>
      <w:r w:rsidR="00217C03">
        <w:t xml:space="preserve"> </w:t>
      </w:r>
      <w:sdt>
        <w:sdtPr>
          <w:id w:val="-1815946472"/>
          <w:citation/>
        </w:sdtPr>
        <w:sdtEndPr/>
        <w:sdtContent>
          <w:r w:rsidR="00217C03">
            <w:fldChar w:fldCharType="begin"/>
          </w:r>
          <w:r w:rsidR="00217C03">
            <w:instrText xml:space="preserve"> CITATION War203 \l 1033 </w:instrText>
          </w:r>
          <w:r w:rsidR="00217C03">
            <w:fldChar w:fldCharType="separate"/>
          </w:r>
          <w:r w:rsidR="00217C03">
            <w:rPr>
              <w:noProof/>
            </w:rPr>
            <w:t>(Ward 2020)</w:t>
          </w:r>
          <w:r w:rsidR="00217C03">
            <w:fldChar w:fldCharType="end"/>
          </w:r>
        </w:sdtContent>
      </w:sdt>
    </w:p>
    <w:p w14:paraId="5D5875A1" w14:textId="77777777" w:rsidR="00217C03" w:rsidRPr="00217C03" w:rsidRDefault="00217C03" w:rsidP="00217C03"/>
    <w:p w14:paraId="1469B3B3" w14:textId="59E97122" w:rsidR="00FA4A7B" w:rsidRDefault="00FA4A7B" w:rsidP="00FA4A7B">
      <w:pPr>
        <w:pStyle w:val="Caption"/>
        <w:keepNext/>
      </w:pPr>
      <w:bookmarkStart w:id="2" w:name="_Ref51932943"/>
      <w:r>
        <w:t xml:space="preserve">Table </w:t>
      </w:r>
      <w:r w:rsidR="000B26DE">
        <w:fldChar w:fldCharType="begin"/>
      </w:r>
      <w:r w:rsidR="000B26DE">
        <w:instrText xml:space="preserve"> SEQ Table \* ARABIC </w:instrText>
      </w:r>
      <w:r w:rsidR="000B26DE">
        <w:fldChar w:fldCharType="separate"/>
      </w:r>
      <w:r w:rsidR="00217C03">
        <w:rPr>
          <w:noProof/>
        </w:rPr>
        <w:t>2</w:t>
      </w:r>
      <w:r w:rsidR="000B26DE">
        <w:rPr>
          <w:noProof/>
        </w:rPr>
        <w:fldChar w:fldCharType="end"/>
      </w:r>
      <w:bookmarkEnd w:id="2"/>
      <w:r>
        <w:t>. Recommended system allocations by month</w:t>
      </w:r>
    </w:p>
    <w:tbl>
      <w:tblPr>
        <w:tblStyle w:val="TableGrid0"/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910"/>
        <w:gridCol w:w="1216"/>
        <w:gridCol w:w="1097"/>
        <w:gridCol w:w="1523"/>
        <w:gridCol w:w="1230"/>
        <w:gridCol w:w="1008"/>
      </w:tblGrid>
      <w:tr w:rsidR="00C65DDD" w14:paraId="0B3EB127" w14:textId="77777777" w:rsidTr="00834865">
        <w:tc>
          <w:tcPr>
            <w:tcW w:w="86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322917A" w14:textId="6CE5E8F6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Month</w:t>
            </w:r>
          </w:p>
        </w:tc>
        <w:tc>
          <w:tcPr>
            <w:tcW w:w="115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033BFCE" w14:textId="44FA2F97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Reservoir (units)</w:t>
            </w:r>
          </w:p>
        </w:tc>
        <w:tc>
          <w:tcPr>
            <w:tcW w:w="1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C51E414" w14:textId="1D0EFC3F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Spillway (units)</w:t>
            </w:r>
          </w:p>
        </w:tc>
        <w:tc>
          <w:tcPr>
            <w:tcW w:w="14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CA7AD7B" w14:textId="465D00A8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Hydropower (units)</w:t>
            </w:r>
          </w:p>
        </w:tc>
        <w:tc>
          <w:tcPr>
            <w:tcW w:w="11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7B72438" w14:textId="62BD920C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Irrigation (units)</w:t>
            </w:r>
          </w:p>
        </w:tc>
        <w:tc>
          <w:tcPr>
            <w:tcW w:w="100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F55EB3" w14:textId="17213B5C" w:rsidR="00C65DDD" w:rsidRPr="009572C9" w:rsidRDefault="00C65DDD" w:rsidP="009572C9">
            <w:pPr>
              <w:jc w:val="center"/>
              <w:rPr>
                <w:b/>
                <w:bCs/>
              </w:rPr>
            </w:pPr>
            <w:r w:rsidRPr="009572C9">
              <w:rPr>
                <w:b/>
                <w:bCs/>
              </w:rPr>
              <w:t>River (units)</w:t>
            </w:r>
          </w:p>
        </w:tc>
      </w:tr>
      <w:tr w:rsidR="00C65DDD" w14:paraId="3B3CDB97" w14:textId="77777777" w:rsidTr="00834865"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1EDA83" w14:textId="2CF66215" w:rsidR="00C65DDD" w:rsidRDefault="00882188" w:rsidP="009572C9">
            <w:pPr>
              <w:jc w:val="center"/>
            </w:pPr>
            <w: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B1E061" w14:textId="280B259C" w:rsidR="00C65DDD" w:rsidRDefault="00084510" w:rsidP="009572C9">
            <w:pPr>
              <w:jc w:val="center"/>
            </w:pPr>
            <w:r>
              <w:t>6</w:t>
            </w:r>
          </w:p>
        </w:tc>
        <w:tc>
          <w:tcPr>
            <w:tcW w:w="10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F9CEC5" w14:textId="38B119FD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E13C4" w14:textId="37ABF717" w:rsidR="00C65DDD" w:rsidRDefault="00084510" w:rsidP="009572C9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C90285" w14:textId="6CDADEF4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728A9F" w14:textId="00E54E7F" w:rsidR="00C65DDD" w:rsidRDefault="00C65DDD" w:rsidP="009572C9">
            <w:pPr>
              <w:jc w:val="center"/>
            </w:pPr>
            <w:r>
              <w:t>1</w:t>
            </w:r>
          </w:p>
        </w:tc>
      </w:tr>
      <w:tr w:rsidR="00C65DDD" w14:paraId="55DE8EE3" w14:textId="77777777" w:rsidTr="00834865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10400" w14:textId="031D8DC8" w:rsidR="00C65DDD" w:rsidRDefault="00C65DDD" w:rsidP="009572C9">
            <w:pPr>
              <w:jc w:val="center"/>
            </w:pPr>
            <w: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4D2B" w14:textId="4EAEA870" w:rsidR="00C65DDD" w:rsidRDefault="00084510" w:rsidP="009572C9">
            <w:pPr>
              <w:jc w:val="center"/>
            </w:pPr>
            <w:r>
              <w:t>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423F1" w14:textId="7D3EDB98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3ACAA" w14:textId="5B330911" w:rsidR="00C65DDD" w:rsidRDefault="00084510" w:rsidP="009572C9">
            <w:pPr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3E6F9" w14:textId="23A82011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0C9E8" w14:textId="7800FC68" w:rsidR="00C65DDD" w:rsidRDefault="00C65DDD" w:rsidP="009572C9">
            <w:pPr>
              <w:jc w:val="center"/>
            </w:pPr>
            <w:r>
              <w:t>1</w:t>
            </w:r>
          </w:p>
        </w:tc>
      </w:tr>
      <w:tr w:rsidR="00C65DDD" w14:paraId="7581BEB5" w14:textId="77777777" w:rsidTr="00834865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C90DA" w14:textId="1FD4F671" w:rsidR="00C65DDD" w:rsidRDefault="00C65DDD" w:rsidP="009572C9">
            <w:pPr>
              <w:jc w:val="center"/>
            </w:pPr>
            <w:r>
              <w:t>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DD4BD" w14:textId="1D80B791" w:rsidR="00C65DDD" w:rsidRDefault="00084510" w:rsidP="009572C9">
            <w:pPr>
              <w:jc w:val="center"/>
            </w:pPr>
            <w: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70C75" w14:textId="6F7B4A81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5CE61" w14:textId="4FEFB79A" w:rsidR="00C65DDD" w:rsidRDefault="00084510" w:rsidP="009572C9">
            <w:pPr>
              <w:jc w:val="center"/>
            </w:pPr>
            <w: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2BF7" w14:textId="03E2F589" w:rsidR="00C65DDD" w:rsidRDefault="00084510" w:rsidP="009572C9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27C93" w14:textId="58E00A4E" w:rsidR="00C65DDD" w:rsidRDefault="00C65DDD" w:rsidP="009572C9">
            <w:pPr>
              <w:jc w:val="center"/>
            </w:pPr>
            <w:r>
              <w:t>1</w:t>
            </w:r>
          </w:p>
        </w:tc>
      </w:tr>
      <w:tr w:rsidR="00C65DDD" w14:paraId="562E8F3A" w14:textId="77777777" w:rsidTr="00834865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E2583" w14:textId="47FF1D27" w:rsidR="00C65DDD" w:rsidRDefault="00C65DDD" w:rsidP="009572C9">
            <w:pPr>
              <w:jc w:val="center"/>
            </w:pPr>
            <w:r>
              <w:t>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1BA87" w14:textId="6E0EF836" w:rsidR="00C65DDD" w:rsidRDefault="00084510" w:rsidP="009572C9">
            <w:pPr>
              <w:jc w:val="center"/>
            </w:pPr>
            <w: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9FC4" w14:textId="67E63378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EA0F" w14:textId="3A637466" w:rsidR="00C65DDD" w:rsidRDefault="00084510" w:rsidP="009572C9">
            <w:pPr>
              <w:jc w:val="center"/>
            </w:pPr>
            <w: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E22B4" w14:textId="34F23594" w:rsidR="00C65DDD" w:rsidRDefault="00084510" w:rsidP="009572C9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64AC0" w14:textId="25F846B4" w:rsidR="00C65DDD" w:rsidRDefault="00C65DDD" w:rsidP="009572C9">
            <w:pPr>
              <w:jc w:val="center"/>
            </w:pPr>
            <w:r>
              <w:t>1</w:t>
            </w:r>
          </w:p>
        </w:tc>
      </w:tr>
      <w:tr w:rsidR="00C65DDD" w14:paraId="1D6357CD" w14:textId="77777777" w:rsidTr="00834865"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77FD" w14:textId="210E3251" w:rsidR="00C65DDD" w:rsidRDefault="00C65DDD" w:rsidP="009572C9">
            <w:pPr>
              <w:jc w:val="center"/>
            </w:pPr>
            <w: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D0F88" w14:textId="4F5514D8" w:rsidR="00C65DDD" w:rsidRDefault="00084510" w:rsidP="009572C9">
            <w:pPr>
              <w:jc w:val="center"/>
            </w:pPr>
            <w:r>
              <w:t>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9C075" w14:textId="05515F22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F923" w14:textId="147544A6" w:rsidR="00C65DDD" w:rsidRDefault="00084510" w:rsidP="009572C9">
            <w:pPr>
              <w:jc w:val="center"/>
            </w:pPr>
            <w: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A62C5" w14:textId="4AFE3A11" w:rsidR="00C65DDD" w:rsidRDefault="00084510" w:rsidP="009572C9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BFC1B" w14:textId="40BD1E3D" w:rsidR="00C65DDD" w:rsidRDefault="00C65DDD" w:rsidP="009572C9">
            <w:pPr>
              <w:jc w:val="center"/>
            </w:pPr>
            <w:r>
              <w:t>1</w:t>
            </w:r>
          </w:p>
        </w:tc>
      </w:tr>
      <w:tr w:rsidR="00C65DDD" w14:paraId="1EFBA6CA" w14:textId="77777777" w:rsidTr="00834865"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C153478" w14:textId="38AD1C67" w:rsidR="00C65DDD" w:rsidRDefault="00C65DDD" w:rsidP="009572C9">
            <w:pPr>
              <w:jc w:val="center"/>
            </w:pPr>
            <w:r>
              <w:t>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8AAF2A" w14:textId="0E0D8B99" w:rsidR="00C65DDD" w:rsidRDefault="00084510" w:rsidP="009572C9">
            <w:pPr>
              <w:jc w:val="center"/>
            </w:pPr>
            <w: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6EDAB8" w14:textId="1DBB5B58" w:rsidR="00C65DDD" w:rsidRDefault="00084510" w:rsidP="009572C9">
            <w:pPr>
              <w:jc w:val="center"/>
            </w:pPr>
            <w: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C96D15" w14:textId="71D754BE" w:rsidR="00C65DDD" w:rsidRDefault="00084510" w:rsidP="009572C9">
            <w:pPr>
              <w:jc w:val="center"/>
            </w:pPr>
            <w: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6A86DC" w14:textId="16068D13" w:rsidR="00C65DDD" w:rsidRDefault="00084510" w:rsidP="009572C9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C483A8" w14:textId="373A564B" w:rsidR="00C65DDD" w:rsidRDefault="00C65DDD" w:rsidP="009572C9">
            <w:pPr>
              <w:jc w:val="center"/>
            </w:pPr>
            <w:r>
              <w:t>1</w:t>
            </w:r>
          </w:p>
        </w:tc>
      </w:tr>
    </w:tbl>
    <w:p w14:paraId="7DE68795" w14:textId="77777777" w:rsidR="00F1657D" w:rsidRDefault="00F1657D">
      <w:pPr>
        <w:spacing w:after="160" w:line="259" w:lineRule="auto"/>
        <w:rPr>
          <w:rFonts w:eastAsiaTheme="majorEastAsia" w:cstheme="majorBidi"/>
          <w:b/>
          <w:sz w:val="28"/>
          <w:szCs w:val="32"/>
        </w:rPr>
        <w:sectPr w:rsidR="00F1657D" w:rsidSect="003D638E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328"/>
        <w:gridCol w:w="1640"/>
        <w:gridCol w:w="2255"/>
        <w:gridCol w:w="1889"/>
        <w:gridCol w:w="2789"/>
        <w:gridCol w:w="901"/>
        <w:gridCol w:w="1350"/>
      </w:tblGrid>
      <w:tr w:rsidR="00333072" w:rsidRPr="00BC4A94" w14:paraId="18559DB9" w14:textId="77777777" w:rsidTr="003705EA">
        <w:tc>
          <w:tcPr>
            <w:tcW w:w="1799" w:type="dxa"/>
            <w:vAlign w:val="center"/>
          </w:tcPr>
          <w:p w14:paraId="0A13F152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lastRenderedPageBreak/>
              <w:t>Category</w:t>
            </w:r>
          </w:p>
          <w:p w14:paraId="3A1D84A5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(Max. Score)</w:t>
            </w:r>
          </w:p>
        </w:tc>
        <w:tc>
          <w:tcPr>
            <w:tcW w:w="1328" w:type="dxa"/>
            <w:vAlign w:val="center"/>
          </w:tcPr>
          <w:p w14:paraId="19768E14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No Evidence</w:t>
            </w:r>
          </w:p>
        </w:tc>
        <w:tc>
          <w:tcPr>
            <w:tcW w:w="1640" w:type="dxa"/>
            <w:vAlign w:val="center"/>
          </w:tcPr>
          <w:p w14:paraId="74354A76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Doesn’t Meet Standard</w:t>
            </w:r>
          </w:p>
        </w:tc>
        <w:tc>
          <w:tcPr>
            <w:tcW w:w="2255" w:type="dxa"/>
            <w:vAlign w:val="center"/>
          </w:tcPr>
          <w:p w14:paraId="3B768FB9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4E74739D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64842BD8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3D92E731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Self- Score</w:t>
            </w:r>
          </w:p>
        </w:tc>
        <w:tc>
          <w:tcPr>
            <w:tcW w:w="1350" w:type="dxa"/>
            <w:vAlign w:val="center"/>
          </w:tcPr>
          <w:p w14:paraId="47BC27F4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Instructor Score</w:t>
            </w:r>
          </w:p>
        </w:tc>
      </w:tr>
      <w:tr w:rsidR="00333072" w:rsidRPr="00BC4A94" w14:paraId="4A5D725B" w14:textId="77777777" w:rsidTr="003705EA">
        <w:tc>
          <w:tcPr>
            <w:tcW w:w="1799" w:type="dxa"/>
          </w:tcPr>
          <w:p w14:paraId="27909322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Title</w:t>
            </w:r>
          </w:p>
          <w:p w14:paraId="7069396B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(1)</w:t>
            </w:r>
          </w:p>
        </w:tc>
        <w:tc>
          <w:tcPr>
            <w:tcW w:w="1328" w:type="dxa"/>
          </w:tcPr>
          <w:p w14:paraId="0FCCB54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14:paraId="3B545FD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2EEE2B54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0200F608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640" w:type="dxa"/>
          </w:tcPr>
          <w:p w14:paraId="79EB5370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two or less</w:t>
            </w:r>
          </w:p>
          <w:p w14:paraId="53ECFB48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4570D2D8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14559292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three</w:t>
            </w:r>
          </w:p>
          <w:p w14:paraId="31E4A64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2BCCF22D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70737B24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19480945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Evidence of four</w:t>
            </w:r>
          </w:p>
          <w:p w14:paraId="7B9852D6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1DAED37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56F3D359" w14:textId="77777777" w:rsidR="00333072" w:rsidRPr="00A6430C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62FFE9FA" w14:textId="77777777" w:rsidR="00333072" w:rsidRPr="00A6430C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Title – can assess main point from title alone; Name, Instructors</w:t>
            </w:r>
            <w:r>
              <w:rPr>
                <w:rFonts w:ascii="TimesNewRomanPSMT" w:hAnsi="TimesNewRomanPSMT" w:cs="TimesNewRomanPSMT"/>
                <w:sz w:val="20"/>
              </w:rPr>
              <w:t>’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Name</w:t>
            </w:r>
            <w:r>
              <w:rPr>
                <w:rFonts w:ascii="TimesNewRomanPSMT" w:hAnsi="TimesNewRomanPSMT" w:cs="TimesNewRomanPSMT"/>
                <w:sz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</w:rPr>
              <w:t>, Course, Date, Neatly finished</w:t>
            </w:r>
            <w:r>
              <w:rPr>
                <w:rFonts w:ascii="TimesNewRomanPSMT" w:hAnsi="TimesNewRomanPSMT" w:cs="TimesNewRomanPSMT"/>
                <w:sz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0EC00433" w14:textId="73DF896E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</w:t>
            </w:r>
          </w:p>
        </w:tc>
        <w:tc>
          <w:tcPr>
            <w:tcW w:w="1350" w:type="dxa"/>
          </w:tcPr>
          <w:p w14:paraId="776DCCF9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7625A618" w14:textId="77777777" w:rsidTr="003705EA">
        <w:tc>
          <w:tcPr>
            <w:tcW w:w="1799" w:type="dxa"/>
          </w:tcPr>
          <w:p w14:paraId="7DF8D74F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Introduction</w:t>
            </w:r>
          </w:p>
          <w:p w14:paraId="4E68F220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(3)</w:t>
            </w:r>
          </w:p>
        </w:tc>
        <w:tc>
          <w:tcPr>
            <w:tcW w:w="1328" w:type="dxa"/>
          </w:tcPr>
          <w:p w14:paraId="2B1D9C5A" w14:textId="77777777" w:rsidR="00333072" w:rsidRDefault="00333072" w:rsidP="003705EA">
            <w:r w:rsidRPr="00BC4A94">
              <w:t>Absent, no evidence</w:t>
            </w:r>
          </w:p>
          <w:p w14:paraId="2A0403A9" w14:textId="77777777" w:rsidR="00333072" w:rsidRDefault="00333072" w:rsidP="003705EA"/>
          <w:p w14:paraId="770D3180" w14:textId="77777777" w:rsidR="00333072" w:rsidRDefault="00333072" w:rsidP="003705EA"/>
          <w:p w14:paraId="5030E3CD" w14:textId="77777777" w:rsidR="00333072" w:rsidRDefault="00333072" w:rsidP="003705EA"/>
          <w:p w14:paraId="7EA00350" w14:textId="77777777" w:rsidR="00333072" w:rsidRPr="00BC4A94" w:rsidRDefault="00333072" w:rsidP="003705EA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14:paraId="5BAC1E14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There is no clear introduction or main topic.</w:t>
            </w:r>
          </w:p>
          <w:p w14:paraId="750AD595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3BB099A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01049F6D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2964CBB3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</w:rPr>
              <w:t>ither:</w:t>
            </w:r>
          </w:p>
          <w:p w14:paraId="1AE76739" w14:textId="77777777" w:rsidR="00333072" w:rsidRPr="00BC4A94" w:rsidRDefault="00333072" w:rsidP="003705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overview, Or:</w:t>
            </w:r>
          </w:p>
          <w:p w14:paraId="3A6FC8D7" w14:textId="77777777" w:rsidR="00333072" w:rsidRPr="00BC4A94" w:rsidRDefault="00333072" w:rsidP="003705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D78BB1A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14:paraId="4BAED89E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0DB90F20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0F85FD6B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2257AD97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Good overview of the </w:t>
            </w:r>
            <w:r>
              <w:rPr>
                <w:rFonts w:ascii="TimesNewRomanPSMT" w:hAnsi="TimesNewRomanPSMT" w:cs="TimesNewRomanPSMT"/>
                <w:sz w:val="20"/>
              </w:rPr>
              <w:t>problem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and s</w:t>
            </w:r>
            <w:r>
              <w:rPr>
                <w:rFonts w:ascii="TimesNewRomanPSMT" w:hAnsi="TimesNewRomanPSMT" w:cs="TimesNewRomanPSMT"/>
                <w:sz w:val="20"/>
              </w:rPr>
              <w:t>olution approach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Gives enough detail to </w:t>
            </w:r>
            <w:r>
              <w:rPr>
                <w:rFonts w:ascii="TimesNewRomanPSMT" w:hAnsi="TimesNewRomanPSMT" w:cs="TimesNewRomanPSMT"/>
                <w:sz w:val="20"/>
              </w:rPr>
              <w:t>motivate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the reader</w:t>
            </w:r>
            <w:r>
              <w:rPr>
                <w:rFonts w:ascii="TimesNewRomanPSMT" w:hAnsi="TimesNewRomanPSMT" w:cs="TimesNewRomanPSMT"/>
                <w:sz w:val="20"/>
              </w:rPr>
              <w:t xml:space="preserve"> to continue reading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14:paraId="18AB4AC8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7E6094B9" w14:textId="61A82A29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3</w:t>
            </w:r>
          </w:p>
        </w:tc>
        <w:tc>
          <w:tcPr>
            <w:tcW w:w="1350" w:type="dxa"/>
          </w:tcPr>
          <w:p w14:paraId="5A3674A4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63F320F3" w14:textId="77777777" w:rsidTr="003705EA">
        <w:tc>
          <w:tcPr>
            <w:tcW w:w="1799" w:type="dxa"/>
          </w:tcPr>
          <w:p w14:paraId="1D61E3DA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conclusions</w:t>
            </w:r>
          </w:p>
          <w:p w14:paraId="4F6EE2DC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(10)</w:t>
            </w:r>
          </w:p>
        </w:tc>
        <w:tc>
          <w:tcPr>
            <w:tcW w:w="1328" w:type="dxa"/>
          </w:tcPr>
          <w:p w14:paraId="6C01E264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No </w:t>
            </w:r>
            <w:r>
              <w:rPr>
                <w:rFonts w:ascii="TimesNewRomanPSMT" w:hAnsi="TimesNewRomanPSMT" w:cs="TimesNewRomanPSMT"/>
                <w:sz w:val="20"/>
              </w:rPr>
              <w:t>content provided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</w:p>
          <w:p w14:paraId="1F5719AE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6B80EBB8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4BDFE4E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675E7EA9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2F2E116E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155F825A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0C1884ED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C60308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0</w:t>
            </w:r>
          </w:p>
        </w:tc>
        <w:tc>
          <w:tcPr>
            <w:tcW w:w="1640" w:type="dxa"/>
          </w:tcPr>
          <w:p w14:paraId="23B01D7D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Paragraphs fail to develop the main idea. </w:t>
            </w:r>
            <w:r>
              <w:rPr>
                <w:rFonts w:ascii="TimesNewRomanPSMT" w:hAnsi="TimesNewRomanPSMT" w:cs="TimesNewRomanPSMT"/>
                <w:sz w:val="20"/>
              </w:rPr>
              <w:t>No section headers or guide to help the reader understand how material is organized.</w:t>
            </w:r>
          </w:p>
          <w:p w14:paraId="36681063" w14:textId="77777777" w:rsidR="00333072" w:rsidRPr="00BC4A94" w:rsidRDefault="00333072" w:rsidP="003705EA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514986D9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>Paragraphs lack supporting detail sentences. No transitions</w:t>
            </w:r>
            <w:r>
              <w:rPr>
                <w:rFonts w:ascii="TimesNewRomanPSMT" w:hAnsi="TimesNewRomanPSMT" w:cs="TimesNewRomanPSMT"/>
                <w:sz w:val="20"/>
              </w:rPr>
              <w:t xml:space="preserve"> and/or ineffective section headers.</w:t>
            </w:r>
          </w:p>
          <w:p w14:paraId="0CC7075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4A71DD57" w14:textId="77777777" w:rsidR="00333072" w:rsidRPr="00BC4A94" w:rsidRDefault="00333072" w:rsidP="003705EA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0D451DB0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Each paragraph has sufficient supporting detail sentences. </w:t>
            </w:r>
            <w:r>
              <w:rPr>
                <w:rFonts w:ascii="TimesNewRomanPSMT" w:hAnsi="TimesNewRomanPSMT" w:cs="TimesNewRomanPSMT"/>
                <w:sz w:val="20"/>
              </w:rPr>
              <w:t>Few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transitions.</w:t>
            </w:r>
          </w:p>
          <w:p w14:paraId="2F909C90" w14:textId="77777777" w:rsidR="00333072" w:rsidRPr="00BC4A94" w:rsidRDefault="00333072" w:rsidP="003705EA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59D31FE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Writer demonstrates logic and sequencing of ideas through well-developed</w:t>
            </w:r>
            <w:r>
              <w:rPr>
                <w:rFonts w:ascii="TimesNewRomanPSMT" w:hAnsi="TimesNewRomanPSMT" w:cs="TimesNewRomanPSMT"/>
                <w:sz w:val="20"/>
              </w:rPr>
              <w:t xml:space="preserve"> section headers, </w:t>
            </w:r>
            <w:r w:rsidRPr="00BC4A94">
              <w:rPr>
                <w:rFonts w:ascii="TimesNewRomanPSMT" w:hAnsi="TimesNewRomanPSMT" w:cs="TimesNewRomanPSMT"/>
                <w:sz w:val="20"/>
              </w:rPr>
              <w:t>paragraphs</w:t>
            </w:r>
            <w:r>
              <w:rPr>
                <w:rFonts w:ascii="TimesNewRomanPSMT" w:hAnsi="TimesNewRomanPSMT" w:cs="TimesNewRomanPSMT"/>
                <w:sz w:val="20"/>
              </w:rPr>
              <w:t>, and transitions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The first sentence of each paragraph is the summary sentence. </w:t>
            </w:r>
          </w:p>
          <w:p w14:paraId="137C71E2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2829BA14" w14:textId="0B6641A3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9</w:t>
            </w:r>
          </w:p>
        </w:tc>
        <w:tc>
          <w:tcPr>
            <w:tcW w:w="1350" w:type="dxa"/>
          </w:tcPr>
          <w:p w14:paraId="63D455F9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991CB0" w14:paraId="3FA0A474" w14:textId="77777777" w:rsidTr="003705EA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43EEE9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Technical Correctness</w:t>
            </w:r>
          </w:p>
          <w:p w14:paraId="263111F3" w14:textId="77777777" w:rsidR="00333072" w:rsidRPr="008F5A56" w:rsidRDefault="00333072" w:rsidP="003705EA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Cs w:val="24"/>
              </w:rPr>
              <w:t>(70)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5EA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Questions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not addressed.</w:t>
            </w:r>
          </w:p>
          <w:p w14:paraId="2E5F48E3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187BFE70" w14:textId="77777777" w:rsidR="00333072" w:rsidRPr="008F5A56" w:rsidRDefault="00333072" w:rsidP="003705EA">
            <w:pPr>
              <w:pStyle w:val="PointValue"/>
            </w:pPr>
            <w:r w:rsidRPr="008F5A56">
              <w:t>3 – 42%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DD96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writer has no clue what they are talking about. </w:t>
            </w:r>
          </w:p>
          <w:p w14:paraId="1F2DA799" w14:textId="77777777" w:rsidR="00333072" w:rsidRPr="008F5A56" w:rsidRDefault="00333072" w:rsidP="003705EA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65D6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</w:rPr>
              <w:t xml:space="preserve"> Many important answers are incorrect.</w:t>
            </w:r>
          </w:p>
          <w:p w14:paraId="0CE680A3" w14:textId="77777777" w:rsidR="00333072" w:rsidRPr="008F5A56" w:rsidRDefault="00333072" w:rsidP="003705EA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A20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</w:rPr>
              <w:t xml:space="preserve"> and nearly all answers are correct.</w:t>
            </w:r>
          </w:p>
          <w:p w14:paraId="481235A5" w14:textId="77777777" w:rsidR="00333072" w:rsidRPr="008F5A56" w:rsidRDefault="00333072" w:rsidP="003705EA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D6E1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</w:rPr>
              <w:t xml:space="preserve"> Answers are correct and reasonable.</w:t>
            </w:r>
          </w:p>
          <w:p w14:paraId="1E6061B6" w14:textId="77777777" w:rsidR="00333072" w:rsidRPr="008F5A56" w:rsidRDefault="00333072" w:rsidP="003705EA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2915336" w14:textId="77777777" w:rsidR="00333072" w:rsidRPr="00991CB0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32457D" w14:textId="77777777" w:rsidR="00333072" w:rsidRPr="00991CB0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  <w:highlight w:val="black"/>
              </w:rPr>
            </w:pPr>
          </w:p>
        </w:tc>
      </w:tr>
      <w:tr w:rsidR="00333072" w:rsidRPr="00BC4A94" w14:paraId="35169880" w14:textId="77777777" w:rsidTr="003705EA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D1BA07" w14:textId="77777777" w:rsidR="00333072" w:rsidRPr="00A813D6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8DA67BF" w14:textId="77777777" w:rsidR="00333072" w:rsidRPr="008F5A56" w:rsidRDefault="00333072" w:rsidP="003705E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Problem formulation (15) and solution (10)</w:t>
            </w:r>
          </w:p>
        </w:tc>
        <w:tc>
          <w:tcPr>
            <w:tcW w:w="901" w:type="dxa"/>
          </w:tcPr>
          <w:p w14:paraId="4DCAF5FC" w14:textId="4D5FEBA2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25</w:t>
            </w:r>
          </w:p>
        </w:tc>
        <w:tc>
          <w:tcPr>
            <w:tcW w:w="1350" w:type="dxa"/>
          </w:tcPr>
          <w:p w14:paraId="7E4B9817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49CA718C" w14:textId="77777777" w:rsidTr="003705EA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E540F0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BF91A3D" w14:textId="77777777" w:rsidR="00333072" w:rsidRPr="008F5A56" w:rsidRDefault="00333072" w:rsidP="003705E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Sensitivity of net benefits (30)</w:t>
            </w:r>
          </w:p>
        </w:tc>
        <w:tc>
          <w:tcPr>
            <w:tcW w:w="901" w:type="dxa"/>
          </w:tcPr>
          <w:p w14:paraId="1E709B4F" w14:textId="10C31E54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30</w:t>
            </w:r>
          </w:p>
        </w:tc>
        <w:tc>
          <w:tcPr>
            <w:tcW w:w="1350" w:type="dxa"/>
          </w:tcPr>
          <w:p w14:paraId="6102F6FF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5CBF5EE5" w14:textId="77777777" w:rsidTr="003705EA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72EAB0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31A2522E" w14:textId="77777777" w:rsidR="00333072" w:rsidRPr="008F5A56" w:rsidRDefault="00333072" w:rsidP="003705E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Allowable increase of in-stream flow requirement (10)</w:t>
            </w:r>
          </w:p>
        </w:tc>
        <w:tc>
          <w:tcPr>
            <w:tcW w:w="901" w:type="dxa"/>
          </w:tcPr>
          <w:p w14:paraId="3B378C72" w14:textId="3B2845B2" w:rsidR="00333072" w:rsidRPr="00BC4A94" w:rsidRDefault="00834865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10</w:t>
            </w:r>
          </w:p>
        </w:tc>
        <w:tc>
          <w:tcPr>
            <w:tcW w:w="1350" w:type="dxa"/>
          </w:tcPr>
          <w:p w14:paraId="5D13D42B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735103F9" w14:textId="77777777" w:rsidTr="003705EA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A858E6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39674400" w14:textId="77777777" w:rsidR="00333072" w:rsidRPr="008F5A56" w:rsidRDefault="00333072" w:rsidP="003705E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Manager concerns as model time period increases (5)</w:t>
            </w:r>
          </w:p>
        </w:tc>
        <w:tc>
          <w:tcPr>
            <w:tcW w:w="901" w:type="dxa"/>
          </w:tcPr>
          <w:p w14:paraId="49A882AD" w14:textId="63061845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5</w:t>
            </w:r>
          </w:p>
        </w:tc>
        <w:tc>
          <w:tcPr>
            <w:tcW w:w="1350" w:type="dxa"/>
          </w:tcPr>
          <w:p w14:paraId="60A9F60C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</w:tbl>
    <w:p w14:paraId="7DE2696B" w14:textId="2034C3B3" w:rsidR="00333072" w:rsidRDefault="00333072"/>
    <w:p w14:paraId="23447927" w14:textId="77777777" w:rsidR="00333072" w:rsidRDefault="00333072">
      <w:pPr>
        <w:spacing w:after="160" w:line="259" w:lineRule="auto"/>
      </w:pPr>
      <w:r>
        <w:br w:type="page"/>
      </w: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328"/>
        <w:gridCol w:w="1640"/>
        <w:gridCol w:w="2255"/>
        <w:gridCol w:w="1889"/>
        <w:gridCol w:w="2789"/>
        <w:gridCol w:w="901"/>
        <w:gridCol w:w="1350"/>
      </w:tblGrid>
      <w:tr w:rsidR="00333072" w:rsidRPr="00BC4A94" w14:paraId="432E4E46" w14:textId="77777777" w:rsidTr="003705EA">
        <w:tc>
          <w:tcPr>
            <w:tcW w:w="1799" w:type="dxa"/>
            <w:vAlign w:val="center"/>
          </w:tcPr>
          <w:p w14:paraId="2A077822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sz w:val="22"/>
              </w:rPr>
              <w:lastRenderedPageBreak/>
              <w:br w:type="page"/>
            </w: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Category</w:t>
            </w:r>
          </w:p>
          <w:p w14:paraId="7B987EB9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(Max. Score)</w:t>
            </w:r>
          </w:p>
        </w:tc>
        <w:tc>
          <w:tcPr>
            <w:tcW w:w="1328" w:type="dxa"/>
            <w:vAlign w:val="center"/>
          </w:tcPr>
          <w:p w14:paraId="24427F43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No Evidence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14:paraId="2618F127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Doesn’t Meet Standard</w:t>
            </w:r>
          </w:p>
        </w:tc>
        <w:tc>
          <w:tcPr>
            <w:tcW w:w="2255" w:type="dxa"/>
            <w:vAlign w:val="center"/>
          </w:tcPr>
          <w:p w14:paraId="25E82768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563C8A23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6B8C33E2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7CAF56C4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Self- Score</w:t>
            </w:r>
          </w:p>
        </w:tc>
        <w:tc>
          <w:tcPr>
            <w:tcW w:w="1350" w:type="dxa"/>
            <w:vAlign w:val="center"/>
          </w:tcPr>
          <w:p w14:paraId="6DA08C2B" w14:textId="77777777" w:rsidR="00333072" w:rsidRPr="003F7D8D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3F7D8D">
              <w:rPr>
                <w:rFonts w:ascii="TimesNewRomanPS-BoldMT" w:hAnsi="TimesNewRomanPS-BoldMT" w:cs="TimesNewRomanPS-BoldMT"/>
                <w:b/>
                <w:bCs/>
                <w:sz w:val="22"/>
              </w:rPr>
              <w:t>Instructor Score</w:t>
            </w:r>
          </w:p>
        </w:tc>
      </w:tr>
      <w:tr w:rsidR="00333072" w:rsidRPr="00BC4A94" w14:paraId="53C1E3D7" w14:textId="77777777" w:rsidTr="003705EA">
        <w:tc>
          <w:tcPr>
            <w:tcW w:w="1799" w:type="dxa"/>
          </w:tcPr>
          <w:p w14:paraId="627DA89F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09BAC9C3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328" w:type="dxa"/>
            <w:tcBorders>
              <w:right w:val="single" w:sz="4" w:space="0" w:color="auto"/>
            </w:tcBorders>
          </w:tcPr>
          <w:p w14:paraId="5DDAE3D4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Not applicable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1961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41D15E27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</w:rPr>
              <w:t>Could be improved by being more meticulous.</w:t>
            </w:r>
          </w:p>
          <w:p w14:paraId="1815D5B0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18B37A69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</w:t>
            </w:r>
          </w:p>
          <w:p w14:paraId="386BCDD6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1AC44D5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77D861E4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43304CC2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2EFD7BBB" w14:textId="2E5D116A" w:rsidR="00333072" w:rsidRPr="00BC4A94" w:rsidRDefault="00E76C78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9</w:t>
            </w:r>
          </w:p>
        </w:tc>
        <w:tc>
          <w:tcPr>
            <w:tcW w:w="1350" w:type="dxa"/>
          </w:tcPr>
          <w:p w14:paraId="4D8072D3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3D1669C7" w14:textId="77777777" w:rsidTr="003705EA">
        <w:tc>
          <w:tcPr>
            <w:tcW w:w="1799" w:type="dxa"/>
          </w:tcPr>
          <w:p w14:paraId="504E8B1E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703BD9D5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328" w:type="dxa"/>
          </w:tcPr>
          <w:p w14:paraId="4320BBB6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14:paraId="59CE0E5B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51099FB6" w14:textId="77777777" w:rsidR="00333072" w:rsidRPr="00BC4A94" w:rsidRDefault="00333072" w:rsidP="003705EA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14:paraId="7940DD1C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486F6CC3" w14:textId="77777777" w:rsidR="00333072" w:rsidRPr="00BC4A94" w:rsidRDefault="00333072" w:rsidP="003705EA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75AC5CC3" w14:textId="77777777" w:rsidR="00333072" w:rsidRPr="00BC4A94" w:rsidRDefault="00333072" w:rsidP="003705EA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706FA291" w14:textId="77777777" w:rsidR="00333072" w:rsidRPr="00BC4A94" w:rsidRDefault="00333072" w:rsidP="003705EA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05BC8D17" w14:textId="43AE0C54" w:rsidR="00333072" w:rsidRPr="00BC4A94" w:rsidRDefault="000B26DE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4</w:t>
            </w:r>
          </w:p>
        </w:tc>
        <w:tc>
          <w:tcPr>
            <w:tcW w:w="1350" w:type="dxa"/>
          </w:tcPr>
          <w:p w14:paraId="2D7D5AF0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BC4A94" w14:paraId="26B4481E" w14:textId="77777777" w:rsidTr="003705EA">
        <w:tc>
          <w:tcPr>
            <w:tcW w:w="1799" w:type="dxa"/>
          </w:tcPr>
          <w:p w14:paraId="1FE4C0CD" w14:textId="77777777" w:rsidR="00333072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25C53338" w14:textId="43CE3AF3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</w:t>
            </w:r>
            <w:r w:rsidR="00E76C78">
              <w:rPr>
                <w:rFonts w:ascii="TimesNewRomanPS-BoldMT" w:hAnsi="TimesNewRomanPS-BoldMT" w:cs="TimesNewRomanPS-BoldMT"/>
                <w:b/>
                <w:bCs/>
              </w:rPr>
              <w:t>0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)</w:t>
            </w:r>
          </w:p>
        </w:tc>
        <w:tc>
          <w:tcPr>
            <w:tcW w:w="1328" w:type="dxa"/>
          </w:tcPr>
          <w:p w14:paraId="194AAE68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>Absent</w:t>
            </w:r>
          </w:p>
          <w:p w14:paraId="6111950F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7A905303" w14:textId="77777777" w:rsidR="00333072" w:rsidRPr="00BC4A94" w:rsidRDefault="00333072" w:rsidP="003705EA">
            <w:pPr>
              <w:pStyle w:val="PointValue"/>
            </w:pPr>
            <w:r>
              <w:t>0</w:t>
            </w:r>
          </w:p>
        </w:tc>
        <w:tc>
          <w:tcPr>
            <w:tcW w:w="1640" w:type="dxa"/>
          </w:tcPr>
          <w:p w14:paraId="0DCD8FE1" w14:textId="77777777" w:rsidR="00333072" w:rsidRPr="00BC4A94" w:rsidRDefault="00333072" w:rsidP="003705EA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</w:rPr>
              <w:t>Numerous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 errors, off-the-wall sources used.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221572E5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>S</w:t>
            </w:r>
            <w:r w:rsidRPr="00BC4A94">
              <w:rPr>
                <w:rFonts w:ascii="TimesNewRomanPSMT" w:hAnsi="TimesNewRomanPSMT" w:cs="TimesNewRomanPSMT"/>
                <w:sz w:val="20"/>
              </w:rPr>
              <w:t>ome errors</w:t>
            </w:r>
            <w:r>
              <w:rPr>
                <w:rFonts w:ascii="TimesNewRomanPSMT" w:hAnsi="TimesNewRomanPSMT" w:cs="TimesNewRomanPSMT"/>
                <w:sz w:val="20"/>
              </w:rPr>
              <w:t xml:space="preserve"> in citing format; more sources should be cited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. </w:t>
            </w:r>
          </w:p>
          <w:p w14:paraId="2BE591F6" w14:textId="77777777" w:rsidR="00333072" w:rsidRPr="00BC4A94" w:rsidRDefault="00333072" w:rsidP="003705EA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211D4AE2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>
              <w:rPr>
                <w:rFonts w:ascii="TimesNewRomanPSMT" w:hAnsi="TimesNewRomanPSMT" w:cs="TimesNewRomanPSMT"/>
                <w:sz w:val="20"/>
              </w:rPr>
              <w:t xml:space="preserve">Prior work cited with </w:t>
            </w:r>
            <w:r w:rsidRPr="00BC4A94">
              <w:rPr>
                <w:rFonts w:ascii="TimesNewRomanPSMT" w:hAnsi="TimesNewRomanPSMT" w:cs="TimesNewRomanPSMT"/>
                <w:sz w:val="20"/>
              </w:rPr>
              <w:t>few errors</w:t>
            </w:r>
            <w:r>
              <w:rPr>
                <w:rFonts w:ascii="TimesNewRomanPSMT" w:hAnsi="TimesNewRomanPSMT" w:cs="TimesNewRomanPSMT"/>
                <w:sz w:val="20"/>
              </w:rPr>
              <w:t>.</w:t>
            </w:r>
          </w:p>
          <w:p w14:paraId="7BCE82A2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</w:p>
          <w:p w14:paraId="3C768C72" w14:textId="77777777" w:rsidR="00333072" w:rsidRPr="00BC4A94" w:rsidRDefault="00333072" w:rsidP="003705EA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2AF6B42D" w14:textId="77777777" w:rsidR="00333072" w:rsidRDefault="00333072" w:rsidP="003705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</w:rPr>
            </w:pPr>
            <w:r w:rsidRPr="00BC4A94">
              <w:rPr>
                <w:rFonts w:ascii="TimesNewRomanPSMT" w:hAnsi="TimesNewRomanPSMT" w:cs="TimesNewRomanPSMT"/>
                <w:sz w:val="20"/>
              </w:rPr>
              <w:t xml:space="preserve">All </w:t>
            </w:r>
            <w:r>
              <w:rPr>
                <w:rFonts w:ascii="TimesNewRomanPSMT" w:hAnsi="TimesNewRomanPSMT" w:cs="TimesNewRomanPSMT"/>
                <w:sz w:val="20"/>
              </w:rPr>
              <w:t xml:space="preserve">prior </w:t>
            </w:r>
            <w:r w:rsidRPr="00BC4A94">
              <w:rPr>
                <w:rFonts w:ascii="TimesNewRomanPSMT" w:hAnsi="TimesNewRomanPSMT" w:cs="TimesNewRomanPSMT"/>
                <w:sz w:val="20"/>
              </w:rPr>
              <w:t>work</w:t>
            </w:r>
            <w:r>
              <w:rPr>
                <w:rFonts w:ascii="TimesNewRomanPSMT" w:hAnsi="TimesNewRomanPSMT" w:cs="TimesNewRomanPSMT"/>
                <w:sz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</w:rPr>
              <w:t xml:space="preserve">and data sources are </w:t>
            </w:r>
            <w:r>
              <w:rPr>
                <w:rFonts w:ascii="TimesNewRomanPSMT" w:hAnsi="TimesNewRomanPSMT" w:cs="TimesNewRomanPSMT"/>
                <w:sz w:val="20"/>
              </w:rPr>
              <w:t xml:space="preserve">cited in </w:t>
            </w:r>
            <w:r w:rsidRPr="00BC4A94">
              <w:rPr>
                <w:rFonts w:ascii="TimesNewRomanPSMT" w:hAnsi="TimesNewRomanPSMT" w:cs="TimesNewRomanPSMT"/>
                <w:sz w:val="20"/>
              </w:rPr>
              <w:t>the correct format with no errors.</w:t>
            </w:r>
          </w:p>
          <w:p w14:paraId="556AF61E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0370B997" w14:textId="59B857D7" w:rsidR="00333072" w:rsidRPr="00BC4A94" w:rsidRDefault="00E76C78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0</w:t>
            </w:r>
          </w:p>
        </w:tc>
        <w:tc>
          <w:tcPr>
            <w:tcW w:w="1350" w:type="dxa"/>
          </w:tcPr>
          <w:p w14:paraId="168C7D6C" w14:textId="77777777" w:rsidR="00333072" w:rsidRPr="00BC4A9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  <w:tr w:rsidR="00333072" w:rsidRPr="00A848C4" w14:paraId="20AD92E1" w14:textId="77777777" w:rsidTr="003705EA">
        <w:tc>
          <w:tcPr>
            <w:tcW w:w="1799" w:type="dxa"/>
            <w:tcBorders>
              <w:right w:val="single" w:sz="4" w:space="0" w:color="auto"/>
            </w:tcBorders>
          </w:tcPr>
          <w:p w14:paraId="6D3F5CFF" w14:textId="69F67115" w:rsidR="00333072" w:rsidRPr="00D2247D" w:rsidRDefault="00333072" w:rsidP="003705EA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D2247D">
              <w:rPr>
                <w:b/>
              </w:rPr>
              <w:t>TOTAL</w:t>
            </w:r>
            <w:r w:rsidRPr="00D2247D">
              <w:rPr>
                <w:bCs/>
              </w:rPr>
              <w:t xml:space="preserve"> (</w:t>
            </w:r>
            <w:r w:rsidR="00E76C78">
              <w:rPr>
                <w:bCs/>
              </w:rPr>
              <w:t>98</w:t>
            </w:r>
            <w:r w:rsidRPr="00D2247D">
              <w:rPr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32DF8206" w14:textId="77777777" w:rsidR="00333072" w:rsidRPr="00A848C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</w:rPr>
            </w:pPr>
          </w:p>
        </w:tc>
        <w:tc>
          <w:tcPr>
            <w:tcW w:w="901" w:type="dxa"/>
          </w:tcPr>
          <w:p w14:paraId="438BDC7F" w14:textId="52A09807" w:rsidR="00333072" w:rsidRPr="00A848C4" w:rsidRDefault="000B26DE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Cs w:val="24"/>
              </w:rPr>
              <w:t>96</w:t>
            </w:r>
          </w:p>
        </w:tc>
        <w:tc>
          <w:tcPr>
            <w:tcW w:w="1350" w:type="dxa"/>
          </w:tcPr>
          <w:p w14:paraId="6796D671" w14:textId="77777777" w:rsidR="00333072" w:rsidRPr="00A848C4" w:rsidRDefault="00333072" w:rsidP="003705EA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Cs w:val="24"/>
              </w:rPr>
            </w:pPr>
          </w:p>
        </w:tc>
      </w:tr>
    </w:tbl>
    <w:p w14:paraId="6FD517D9" w14:textId="77777777" w:rsidR="00C94ED0" w:rsidRDefault="00C94ED0" w:rsidP="00427A60"/>
    <w:sectPr w:rsidR="00C94ED0" w:rsidSect="00CA7C3D">
      <w:headerReference w:type="default" r:id="rId10"/>
      <w:pgSz w:w="15840" w:h="12240" w:orient="landscape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A8E4F" w14:textId="77777777" w:rsidR="004C6270" w:rsidRDefault="004C6270" w:rsidP="00CA7C3D">
      <w:r>
        <w:separator/>
      </w:r>
    </w:p>
  </w:endnote>
  <w:endnote w:type="continuationSeparator" w:id="0">
    <w:p w14:paraId="333AE3A6" w14:textId="77777777" w:rsidR="004C6270" w:rsidRDefault="004C6270" w:rsidP="00CA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F3B8" w14:textId="77777777" w:rsidR="004C6270" w:rsidRDefault="004C6270" w:rsidP="00CA7C3D">
      <w:r>
        <w:separator/>
      </w:r>
    </w:p>
  </w:footnote>
  <w:footnote w:type="continuationSeparator" w:id="0">
    <w:p w14:paraId="4E0CD729" w14:textId="77777777" w:rsidR="004C6270" w:rsidRDefault="004C6270" w:rsidP="00CA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4AA94" w14:textId="65D8EE1E" w:rsidR="00195F18" w:rsidRPr="00384CC7" w:rsidRDefault="00195F18" w:rsidP="00195F18">
    <w:pPr>
      <w:pStyle w:val="Header"/>
      <w:tabs>
        <w:tab w:val="clear" w:pos="9360"/>
        <w:tab w:val="left" w:pos="4230"/>
        <w:tab w:val="right" w:pos="13410"/>
      </w:tabs>
    </w:pPr>
    <w:r w:rsidRPr="00B43B45">
      <w:rPr>
        <w:b/>
        <w:sz w:val="28"/>
        <w:szCs w:val="28"/>
      </w:rPr>
      <w:t>CEE 64</w:t>
    </w:r>
    <w:r>
      <w:rPr>
        <w:b/>
        <w:sz w:val="28"/>
        <w:szCs w:val="28"/>
      </w:rPr>
      <w:t>1</w:t>
    </w:r>
    <w:r w:rsidRPr="00B43B45">
      <w:rPr>
        <w:b/>
        <w:sz w:val="28"/>
        <w:szCs w:val="28"/>
      </w:rPr>
      <w:t xml:space="preserve">0, </w:t>
    </w:r>
    <w:r>
      <w:rPr>
        <w:b/>
        <w:sz w:val="28"/>
        <w:szCs w:val="28"/>
      </w:rPr>
      <w:t>HW</w:t>
    </w:r>
    <w:r w:rsidRPr="00B43B45">
      <w:rPr>
        <w:b/>
        <w:sz w:val="28"/>
        <w:szCs w:val="28"/>
      </w:rPr>
      <w:t>-Grading Rubric</w:t>
    </w:r>
    <w:r w:rsidRPr="00CB0C68">
      <w:rPr>
        <w:sz w:val="28"/>
        <w:szCs w:val="28"/>
      </w:rPr>
      <w:tab/>
    </w:r>
    <w:r>
      <w:rPr>
        <w:b/>
        <w:sz w:val="28"/>
        <w:szCs w:val="28"/>
      </w:rPr>
      <w:t>HW</w:t>
    </w:r>
    <w:r w:rsidRPr="0054538D">
      <w:rPr>
        <w:b/>
        <w:sz w:val="28"/>
        <w:szCs w:val="28"/>
      </w:rPr>
      <w:t>-</w:t>
    </w:r>
    <w:r w:rsidR="00D20120">
      <w:rPr>
        <w:b/>
        <w:sz w:val="28"/>
        <w:szCs w:val="28"/>
      </w:rPr>
      <w:t>4</w:t>
    </w:r>
    <w:r w:rsidRPr="0054538D">
      <w:rPr>
        <w:b/>
        <w:sz w:val="28"/>
        <w:szCs w:val="28"/>
      </w:rPr>
      <w:t xml:space="preserve">  </w:t>
    </w:r>
    <w:r>
      <w:rPr>
        <w:b/>
        <w:sz w:val="28"/>
        <w:szCs w:val="28"/>
      </w:rPr>
      <w:t xml:space="preserve">    </w:t>
    </w:r>
    <w:r w:rsidRPr="0054538D">
      <w:rPr>
        <w:b/>
        <w:sz w:val="28"/>
        <w:szCs w:val="28"/>
      </w:rPr>
      <w:t xml:space="preserve">Date: </w:t>
    </w:r>
    <w:r w:rsidR="00D20120">
      <w:rPr>
        <w:b/>
        <w:sz w:val="28"/>
        <w:szCs w:val="28"/>
        <w:u w:val="single"/>
      </w:rPr>
      <w:t>09</w:t>
    </w:r>
    <w:r w:rsidRPr="005F4EC3">
      <w:rPr>
        <w:b/>
        <w:sz w:val="28"/>
        <w:szCs w:val="28"/>
        <w:u w:val="single"/>
      </w:rPr>
      <w:t>/</w:t>
    </w:r>
    <w:r w:rsidR="00D20120">
      <w:rPr>
        <w:b/>
        <w:sz w:val="28"/>
        <w:szCs w:val="28"/>
        <w:u w:val="single"/>
      </w:rPr>
      <w:t>25</w:t>
    </w:r>
    <w:r w:rsidRPr="005F4EC3">
      <w:rPr>
        <w:b/>
        <w:sz w:val="28"/>
        <w:szCs w:val="28"/>
        <w:u w:val="single"/>
      </w:rPr>
      <w:t>/2020</w:t>
    </w:r>
    <w:r w:rsidRPr="0054538D">
      <w:rPr>
        <w:b/>
        <w:sz w:val="28"/>
        <w:szCs w:val="28"/>
      </w:rPr>
      <w:tab/>
      <w:t xml:space="preserve">   Student: </w:t>
    </w:r>
    <w:r w:rsidRPr="005F4EC3">
      <w:rPr>
        <w:b/>
        <w:sz w:val="28"/>
        <w:szCs w:val="28"/>
        <w:u w:val="single"/>
      </w:rPr>
      <w:t>Joshua Ward</w:t>
    </w:r>
    <w:r>
      <w:rPr>
        <w:b/>
        <w:sz w:val="28"/>
        <w:szCs w:val="28"/>
        <w:u w:val="single"/>
      </w:rPr>
      <w:t xml:space="preserve"> (A02081581)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B7B"/>
    <w:multiLevelType w:val="hybridMultilevel"/>
    <w:tmpl w:val="0D1062A8"/>
    <w:lvl w:ilvl="0" w:tplc="2548C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C535E"/>
    <w:multiLevelType w:val="hybridMultilevel"/>
    <w:tmpl w:val="8FEE1664"/>
    <w:lvl w:ilvl="0" w:tplc="9AC28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B7387"/>
    <w:multiLevelType w:val="hybridMultilevel"/>
    <w:tmpl w:val="9BA81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427489"/>
    <w:multiLevelType w:val="hybridMultilevel"/>
    <w:tmpl w:val="02B2D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C4465"/>
    <w:multiLevelType w:val="hybridMultilevel"/>
    <w:tmpl w:val="52B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4212"/>
    <w:multiLevelType w:val="hybridMultilevel"/>
    <w:tmpl w:val="85E4EAD8"/>
    <w:lvl w:ilvl="0" w:tplc="19D4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168CF"/>
    <w:multiLevelType w:val="hybridMultilevel"/>
    <w:tmpl w:val="557E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70"/>
    <w:rsid w:val="00003E9C"/>
    <w:rsid w:val="0000522D"/>
    <w:rsid w:val="00005759"/>
    <w:rsid w:val="00005B72"/>
    <w:rsid w:val="000113D1"/>
    <w:rsid w:val="0001626A"/>
    <w:rsid w:val="00017AA3"/>
    <w:rsid w:val="00020A58"/>
    <w:rsid w:val="00020E96"/>
    <w:rsid w:val="00027D5A"/>
    <w:rsid w:val="0004352C"/>
    <w:rsid w:val="00050BDF"/>
    <w:rsid w:val="00056639"/>
    <w:rsid w:val="000571EC"/>
    <w:rsid w:val="00063C95"/>
    <w:rsid w:val="00065954"/>
    <w:rsid w:val="00081E96"/>
    <w:rsid w:val="00084510"/>
    <w:rsid w:val="000A71B5"/>
    <w:rsid w:val="000B26DE"/>
    <w:rsid w:val="000D7F7B"/>
    <w:rsid w:val="000E6F7D"/>
    <w:rsid w:val="000F3942"/>
    <w:rsid w:val="00107823"/>
    <w:rsid w:val="001107DD"/>
    <w:rsid w:val="00111031"/>
    <w:rsid w:val="0011678E"/>
    <w:rsid w:val="00132A69"/>
    <w:rsid w:val="00140A49"/>
    <w:rsid w:val="00143EDB"/>
    <w:rsid w:val="00147CF8"/>
    <w:rsid w:val="001551D1"/>
    <w:rsid w:val="001843CD"/>
    <w:rsid w:val="00194730"/>
    <w:rsid w:val="001950AA"/>
    <w:rsid w:val="00195F18"/>
    <w:rsid w:val="001A095D"/>
    <w:rsid w:val="001A44FE"/>
    <w:rsid w:val="001A6925"/>
    <w:rsid w:val="001A697F"/>
    <w:rsid w:val="001B3907"/>
    <w:rsid w:val="001C3240"/>
    <w:rsid w:val="001C58CF"/>
    <w:rsid w:val="001E0329"/>
    <w:rsid w:val="001F6292"/>
    <w:rsid w:val="00216437"/>
    <w:rsid w:val="00217C03"/>
    <w:rsid w:val="002220B0"/>
    <w:rsid w:val="00223C51"/>
    <w:rsid w:val="0022705B"/>
    <w:rsid w:val="00227DA6"/>
    <w:rsid w:val="00232136"/>
    <w:rsid w:val="00233321"/>
    <w:rsid w:val="002365BA"/>
    <w:rsid w:val="00236C15"/>
    <w:rsid w:val="002404C6"/>
    <w:rsid w:val="002420A5"/>
    <w:rsid w:val="002437E3"/>
    <w:rsid w:val="00245BAA"/>
    <w:rsid w:val="00251194"/>
    <w:rsid w:val="002542BC"/>
    <w:rsid w:val="00265E7B"/>
    <w:rsid w:val="0026703D"/>
    <w:rsid w:val="0027028D"/>
    <w:rsid w:val="00271E07"/>
    <w:rsid w:val="002922E5"/>
    <w:rsid w:val="0029356A"/>
    <w:rsid w:val="00295ACC"/>
    <w:rsid w:val="0029767F"/>
    <w:rsid w:val="002A0149"/>
    <w:rsid w:val="002A7DE0"/>
    <w:rsid w:val="002C0F00"/>
    <w:rsid w:val="002D407A"/>
    <w:rsid w:val="002D4643"/>
    <w:rsid w:val="002D6262"/>
    <w:rsid w:val="002E389A"/>
    <w:rsid w:val="002F385D"/>
    <w:rsid w:val="002F38F1"/>
    <w:rsid w:val="002F6081"/>
    <w:rsid w:val="00307EEA"/>
    <w:rsid w:val="0031243D"/>
    <w:rsid w:val="00312CAD"/>
    <w:rsid w:val="003155C4"/>
    <w:rsid w:val="00321DFF"/>
    <w:rsid w:val="00327326"/>
    <w:rsid w:val="00330E26"/>
    <w:rsid w:val="003327E4"/>
    <w:rsid w:val="00333072"/>
    <w:rsid w:val="00337D78"/>
    <w:rsid w:val="003621A2"/>
    <w:rsid w:val="00362DA8"/>
    <w:rsid w:val="00366556"/>
    <w:rsid w:val="003872FF"/>
    <w:rsid w:val="00394D14"/>
    <w:rsid w:val="00396F4D"/>
    <w:rsid w:val="003A0A9F"/>
    <w:rsid w:val="003A5F90"/>
    <w:rsid w:val="003B79AA"/>
    <w:rsid w:val="003C2427"/>
    <w:rsid w:val="003D3563"/>
    <w:rsid w:val="003D638E"/>
    <w:rsid w:val="003F4890"/>
    <w:rsid w:val="004058A2"/>
    <w:rsid w:val="00411100"/>
    <w:rsid w:val="0041332B"/>
    <w:rsid w:val="004271AA"/>
    <w:rsid w:val="00427A60"/>
    <w:rsid w:val="00430439"/>
    <w:rsid w:val="00443A40"/>
    <w:rsid w:val="00446396"/>
    <w:rsid w:val="004475CB"/>
    <w:rsid w:val="00450F0B"/>
    <w:rsid w:val="0046686C"/>
    <w:rsid w:val="004674C1"/>
    <w:rsid w:val="00470403"/>
    <w:rsid w:val="004712B5"/>
    <w:rsid w:val="004730FD"/>
    <w:rsid w:val="004758CB"/>
    <w:rsid w:val="00475984"/>
    <w:rsid w:val="00482FFA"/>
    <w:rsid w:val="004953E2"/>
    <w:rsid w:val="004A3C82"/>
    <w:rsid w:val="004B21A2"/>
    <w:rsid w:val="004C40F0"/>
    <w:rsid w:val="004C6270"/>
    <w:rsid w:val="004D57A0"/>
    <w:rsid w:val="004E0597"/>
    <w:rsid w:val="004E67A5"/>
    <w:rsid w:val="004F2174"/>
    <w:rsid w:val="004F25A8"/>
    <w:rsid w:val="004F5548"/>
    <w:rsid w:val="00502B98"/>
    <w:rsid w:val="00511C10"/>
    <w:rsid w:val="005131B6"/>
    <w:rsid w:val="005171C8"/>
    <w:rsid w:val="00520627"/>
    <w:rsid w:val="00526B7F"/>
    <w:rsid w:val="00530EEF"/>
    <w:rsid w:val="00531918"/>
    <w:rsid w:val="00533481"/>
    <w:rsid w:val="00546028"/>
    <w:rsid w:val="00546635"/>
    <w:rsid w:val="00555044"/>
    <w:rsid w:val="00572EEA"/>
    <w:rsid w:val="00574B17"/>
    <w:rsid w:val="00577C09"/>
    <w:rsid w:val="0058020C"/>
    <w:rsid w:val="005809BA"/>
    <w:rsid w:val="0058203B"/>
    <w:rsid w:val="005821B6"/>
    <w:rsid w:val="00586252"/>
    <w:rsid w:val="00586A23"/>
    <w:rsid w:val="00590486"/>
    <w:rsid w:val="00595BFB"/>
    <w:rsid w:val="00597586"/>
    <w:rsid w:val="005A2048"/>
    <w:rsid w:val="005A3017"/>
    <w:rsid w:val="005B6765"/>
    <w:rsid w:val="005C4AE7"/>
    <w:rsid w:val="005C7A98"/>
    <w:rsid w:val="005E2ADC"/>
    <w:rsid w:val="005E4CD4"/>
    <w:rsid w:val="005F619F"/>
    <w:rsid w:val="00600273"/>
    <w:rsid w:val="006026B3"/>
    <w:rsid w:val="006049B3"/>
    <w:rsid w:val="0061449D"/>
    <w:rsid w:val="00614519"/>
    <w:rsid w:val="006147D2"/>
    <w:rsid w:val="00625089"/>
    <w:rsid w:val="006331AD"/>
    <w:rsid w:val="0064074A"/>
    <w:rsid w:val="00651D07"/>
    <w:rsid w:val="006552F4"/>
    <w:rsid w:val="006553FE"/>
    <w:rsid w:val="00655A8F"/>
    <w:rsid w:val="00674424"/>
    <w:rsid w:val="0067587C"/>
    <w:rsid w:val="006814F7"/>
    <w:rsid w:val="006820FC"/>
    <w:rsid w:val="00685A0E"/>
    <w:rsid w:val="00694878"/>
    <w:rsid w:val="006974F2"/>
    <w:rsid w:val="006A2403"/>
    <w:rsid w:val="006A7BDA"/>
    <w:rsid w:val="006B5556"/>
    <w:rsid w:val="006B59A9"/>
    <w:rsid w:val="006E3756"/>
    <w:rsid w:val="00705AA8"/>
    <w:rsid w:val="007129E8"/>
    <w:rsid w:val="00720723"/>
    <w:rsid w:val="00720986"/>
    <w:rsid w:val="00721FF3"/>
    <w:rsid w:val="00731515"/>
    <w:rsid w:val="007339CF"/>
    <w:rsid w:val="00773BBD"/>
    <w:rsid w:val="00775CFB"/>
    <w:rsid w:val="00791FA4"/>
    <w:rsid w:val="00792734"/>
    <w:rsid w:val="00794B5E"/>
    <w:rsid w:val="007A27DD"/>
    <w:rsid w:val="007A53B0"/>
    <w:rsid w:val="007B61A3"/>
    <w:rsid w:val="007E0062"/>
    <w:rsid w:val="007F08B0"/>
    <w:rsid w:val="007F3E47"/>
    <w:rsid w:val="00804802"/>
    <w:rsid w:val="008065B3"/>
    <w:rsid w:val="0080735E"/>
    <w:rsid w:val="00810BC6"/>
    <w:rsid w:val="00811392"/>
    <w:rsid w:val="00817144"/>
    <w:rsid w:val="00822231"/>
    <w:rsid w:val="008225ED"/>
    <w:rsid w:val="00834865"/>
    <w:rsid w:val="00834C5F"/>
    <w:rsid w:val="008363DA"/>
    <w:rsid w:val="0084631B"/>
    <w:rsid w:val="0085667D"/>
    <w:rsid w:val="00861704"/>
    <w:rsid w:val="00873974"/>
    <w:rsid w:val="00882188"/>
    <w:rsid w:val="008A18FD"/>
    <w:rsid w:val="008B2F1D"/>
    <w:rsid w:val="008C4D6D"/>
    <w:rsid w:val="008D1903"/>
    <w:rsid w:val="008D1FAF"/>
    <w:rsid w:val="008D2B7D"/>
    <w:rsid w:val="008D537E"/>
    <w:rsid w:val="008D6138"/>
    <w:rsid w:val="008E3673"/>
    <w:rsid w:val="008F0D97"/>
    <w:rsid w:val="00906FB6"/>
    <w:rsid w:val="00911A03"/>
    <w:rsid w:val="00913F80"/>
    <w:rsid w:val="009209A1"/>
    <w:rsid w:val="00921D39"/>
    <w:rsid w:val="00926AED"/>
    <w:rsid w:val="00934001"/>
    <w:rsid w:val="00934AB7"/>
    <w:rsid w:val="00941A2C"/>
    <w:rsid w:val="00956CAA"/>
    <w:rsid w:val="009572C9"/>
    <w:rsid w:val="00963BCF"/>
    <w:rsid w:val="00966A89"/>
    <w:rsid w:val="00967019"/>
    <w:rsid w:val="009808C4"/>
    <w:rsid w:val="00982085"/>
    <w:rsid w:val="00982D09"/>
    <w:rsid w:val="009875A6"/>
    <w:rsid w:val="00987B16"/>
    <w:rsid w:val="00990DF6"/>
    <w:rsid w:val="009A36F7"/>
    <w:rsid w:val="009A4E52"/>
    <w:rsid w:val="009C013B"/>
    <w:rsid w:val="009C79CD"/>
    <w:rsid w:val="009D411B"/>
    <w:rsid w:val="009F0E77"/>
    <w:rsid w:val="009F342C"/>
    <w:rsid w:val="00A0583D"/>
    <w:rsid w:val="00A14E26"/>
    <w:rsid w:val="00A258FB"/>
    <w:rsid w:val="00A3599E"/>
    <w:rsid w:val="00A411D5"/>
    <w:rsid w:val="00A41AE5"/>
    <w:rsid w:val="00A450EB"/>
    <w:rsid w:val="00A463CE"/>
    <w:rsid w:val="00A54014"/>
    <w:rsid w:val="00A649CD"/>
    <w:rsid w:val="00A674E1"/>
    <w:rsid w:val="00A706A5"/>
    <w:rsid w:val="00A83F04"/>
    <w:rsid w:val="00A96ACB"/>
    <w:rsid w:val="00AA1634"/>
    <w:rsid w:val="00AA2B51"/>
    <w:rsid w:val="00AB4AA8"/>
    <w:rsid w:val="00AC644F"/>
    <w:rsid w:val="00AC67EE"/>
    <w:rsid w:val="00AD6404"/>
    <w:rsid w:val="00AE7C3A"/>
    <w:rsid w:val="00AF51E4"/>
    <w:rsid w:val="00B04B82"/>
    <w:rsid w:val="00B17A91"/>
    <w:rsid w:val="00B30265"/>
    <w:rsid w:val="00B35202"/>
    <w:rsid w:val="00B3764C"/>
    <w:rsid w:val="00B44FE9"/>
    <w:rsid w:val="00B45FB7"/>
    <w:rsid w:val="00B46EF6"/>
    <w:rsid w:val="00B552E4"/>
    <w:rsid w:val="00B60C6C"/>
    <w:rsid w:val="00B63F0A"/>
    <w:rsid w:val="00B77F72"/>
    <w:rsid w:val="00B80C66"/>
    <w:rsid w:val="00B81830"/>
    <w:rsid w:val="00BA5943"/>
    <w:rsid w:val="00BC3747"/>
    <w:rsid w:val="00BC40E0"/>
    <w:rsid w:val="00BC4911"/>
    <w:rsid w:val="00BD0630"/>
    <w:rsid w:val="00BE7437"/>
    <w:rsid w:val="00BF3765"/>
    <w:rsid w:val="00BF477C"/>
    <w:rsid w:val="00C07EB0"/>
    <w:rsid w:val="00C178FA"/>
    <w:rsid w:val="00C26E94"/>
    <w:rsid w:val="00C31ECE"/>
    <w:rsid w:val="00C40F24"/>
    <w:rsid w:val="00C416E2"/>
    <w:rsid w:val="00C44303"/>
    <w:rsid w:val="00C451D5"/>
    <w:rsid w:val="00C62B4F"/>
    <w:rsid w:val="00C65B26"/>
    <w:rsid w:val="00C65DDD"/>
    <w:rsid w:val="00C66B3A"/>
    <w:rsid w:val="00C75CD3"/>
    <w:rsid w:val="00C94ED0"/>
    <w:rsid w:val="00CA7C3D"/>
    <w:rsid w:val="00CB0A06"/>
    <w:rsid w:val="00CC3D05"/>
    <w:rsid w:val="00CC3EDA"/>
    <w:rsid w:val="00CC7EB3"/>
    <w:rsid w:val="00CD0AD4"/>
    <w:rsid w:val="00CE40D4"/>
    <w:rsid w:val="00CE522D"/>
    <w:rsid w:val="00CE7344"/>
    <w:rsid w:val="00D02A54"/>
    <w:rsid w:val="00D058AB"/>
    <w:rsid w:val="00D17CD8"/>
    <w:rsid w:val="00D20120"/>
    <w:rsid w:val="00D22184"/>
    <w:rsid w:val="00D317C4"/>
    <w:rsid w:val="00D37838"/>
    <w:rsid w:val="00D405D8"/>
    <w:rsid w:val="00D530FB"/>
    <w:rsid w:val="00D60274"/>
    <w:rsid w:val="00D64A39"/>
    <w:rsid w:val="00D67D8E"/>
    <w:rsid w:val="00D7110C"/>
    <w:rsid w:val="00D76081"/>
    <w:rsid w:val="00DA7254"/>
    <w:rsid w:val="00DB227A"/>
    <w:rsid w:val="00DD020D"/>
    <w:rsid w:val="00DE2929"/>
    <w:rsid w:val="00DE3B14"/>
    <w:rsid w:val="00DE5B6D"/>
    <w:rsid w:val="00DE7B3B"/>
    <w:rsid w:val="00DE7E3F"/>
    <w:rsid w:val="00E13766"/>
    <w:rsid w:val="00E1536C"/>
    <w:rsid w:val="00E2187E"/>
    <w:rsid w:val="00E2537F"/>
    <w:rsid w:val="00E42CF9"/>
    <w:rsid w:val="00E5025B"/>
    <w:rsid w:val="00E5045C"/>
    <w:rsid w:val="00E52806"/>
    <w:rsid w:val="00E54CF6"/>
    <w:rsid w:val="00E57CF1"/>
    <w:rsid w:val="00E57E82"/>
    <w:rsid w:val="00E62993"/>
    <w:rsid w:val="00E73B52"/>
    <w:rsid w:val="00E76C78"/>
    <w:rsid w:val="00E83C41"/>
    <w:rsid w:val="00E84F21"/>
    <w:rsid w:val="00EB0CC1"/>
    <w:rsid w:val="00EB549C"/>
    <w:rsid w:val="00EC0A55"/>
    <w:rsid w:val="00ED0174"/>
    <w:rsid w:val="00ED5CAB"/>
    <w:rsid w:val="00ED62D3"/>
    <w:rsid w:val="00ED7F8F"/>
    <w:rsid w:val="00EE5AE7"/>
    <w:rsid w:val="00EF1600"/>
    <w:rsid w:val="00EF226F"/>
    <w:rsid w:val="00EF5BC4"/>
    <w:rsid w:val="00F028E1"/>
    <w:rsid w:val="00F0371D"/>
    <w:rsid w:val="00F05BF4"/>
    <w:rsid w:val="00F13F9F"/>
    <w:rsid w:val="00F1657D"/>
    <w:rsid w:val="00F17CB5"/>
    <w:rsid w:val="00F2413D"/>
    <w:rsid w:val="00F31A91"/>
    <w:rsid w:val="00F41015"/>
    <w:rsid w:val="00F461EE"/>
    <w:rsid w:val="00F46828"/>
    <w:rsid w:val="00F569DA"/>
    <w:rsid w:val="00F57C81"/>
    <w:rsid w:val="00F62F45"/>
    <w:rsid w:val="00F71154"/>
    <w:rsid w:val="00F74818"/>
    <w:rsid w:val="00F748B3"/>
    <w:rsid w:val="00F9020D"/>
    <w:rsid w:val="00F911C4"/>
    <w:rsid w:val="00F93E93"/>
    <w:rsid w:val="00F97007"/>
    <w:rsid w:val="00FA2AB3"/>
    <w:rsid w:val="00FA4A7B"/>
    <w:rsid w:val="00FA6AED"/>
    <w:rsid w:val="00FA718C"/>
    <w:rsid w:val="00FB1877"/>
    <w:rsid w:val="00FB45BB"/>
    <w:rsid w:val="00FB79B4"/>
    <w:rsid w:val="00FC204D"/>
    <w:rsid w:val="00FC2323"/>
    <w:rsid w:val="00FC23B9"/>
    <w:rsid w:val="00FD0C63"/>
    <w:rsid w:val="00FD247B"/>
    <w:rsid w:val="00FE2700"/>
    <w:rsid w:val="00FE63EB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587C8"/>
  <w15:chartTrackingRefBased/>
  <w15:docId w15:val="{B21A368A-BF4F-4C50-9E04-AB5CFDDB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3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D9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03B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03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203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3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203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4643"/>
    <w:pPr>
      <w:numPr>
        <w:ilvl w:val="1"/>
      </w:numPr>
      <w:spacing w:after="160"/>
      <w:jc w:val="center"/>
    </w:pPr>
    <w:rPr>
      <w:rFonts w:eastAsiaTheme="minorEastAsia"/>
      <w:spacing w:val="15"/>
      <w:sz w:val="4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203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8203B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3B"/>
    <w:pPr>
      <w:spacing w:after="120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8203B"/>
    <w:pPr>
      <w:spacing w:after="120"/>
    </w:pPr>
    <w:rPr>
      <w:b/>
      <w:iCs/>
      <w:sz w:val="2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D4643"/>
    <w:rPr>
      <w:rFonts w:ascii="Times New Roman" w:eastAsiaTheme="minorEastAsia" w:hAnsi="Times New Roman"/>
      <w:spacing w:val="15"/>
      <w:sz w:val="44"/>
    </w:rPr>
  </w:style>
  <w:style w:type="paragraph" w:styleId="NoSpacing">
    <w:name w:val="No Spacing"/>
    <w:link w:val="NoSpacingChar"/>
    <w:uiPriority w:val="1"/>
    <w:qFormat/>
    <w:rsid w:val="00A14E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E26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BD0630"/>
  </w:style>
  <w:style w:type="table" w:customStyle="1" w:styleId="TableGrid">
    <w:name w:val="TableGrid"/>
    <w:rsid w:val="00CE52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intValue">
    <w:name w:val="PointValue"/>
    <w:basedOn w:val="Normal"/>
    <w:qFormat/>
    <w:rsid w:val="00CA7C3D"/>
    <w:pPr>
      <w:autoSpaceDE w:val="0"/>
      <w:autoSpaceDN w:val="0"/>
      <w:adjustRightInd w:val="0"/>
      <w:jc w:val="center"/>
    </w:pPr>
    <w:rPr>
      <w:rFonts w:ascii="TimesNewRomanPSMT" w:eastAsia="Calibri" w:hAnsi="TimesNewRomanPSMT" w:cs="TimesNewRomanPSMT"/>
      <w:sz w:val="20"/>
      <w:szCs w:val="20"/>
      <w:bdr w:val="single" w:sz="4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CA7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C3D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C3D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C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7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C3D"/>
    <w:rPr>
      <w:rFonts w:ascii="Times New Roman" w:hAnsi="Times New Roman"/>
      <w:sz w:val="24"/>
    </w:rPr>
  </w:style>
  <w:style w:type="table" w:styleId="TableGrid0">
    <w:name w:val="Table Grid"/>
    <w:basedOn w:val="TableNormal"/>
    <w:uiPriority w:val="39"/>
    <w:rsid w:val="0083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E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30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tward/JTW_CEE5410_Repo/tree/master/HW4%20Reservo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Documents\Custom%20Office%20Templates\CEE5410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War203</b:Tag>
    <b:SourceType>DocumentFromInternetSite</b:SourceType>
    <b:Guid>{93245B5A-E596-45B8-A2E7-C2154C541C03}</b:Guid>
    <b:Title>HW 4 Reservoir</b:Title>
    <b:InternetSiteTitle>JTW_CEE5410_Repo | GitHub</b:InternetSiteTitle>
    <b:Year>2020</b:Year>
    <b:Month>September</b:Month>
    <b:Day>25</b:Day>
    <b:URL>https://github.com/joshuatward/JTW_CEE5410_Repo/tree/master/HW4%20Reservoir</b:URL>
    <b:Author>
      <b:Author>
        <b:NameList>
          <b:Person>
            <b:Last>Ward</b:Last>
            <b:Middle>Timothy</b:Middle>
            <b:First>Joshua</b:First>
          </b:Person>
        </b:NameList>
      </b:Author>
    </b:Author>
    <b:RefOrder>2</b:RefOrder>
  </b:Source>
  <b:Source>
    <b:Tag>Ros201</b:Tag>
    <b:SourceType>DocumentFromInternetSite</b:SourceType>
    <b:Guid>{5B88FB36-3D6B-417F-AAFC-D5559CCFCAAC}</b:Guid>
    <b:Title>HW4 - Reservoir operation problem</b:Title>
    <b:InternetSiteTitle>CEE 5410 Canvas Course</b:InternetSiteTitle>
    <b:Year>2020</b:Year>
    <b:Month>September</b:Month>
    <b:YearAccessed>2020</b:YearAccessed>
    <b:MonthAccessed>September</b:MonthAccessed>
    <b:DayAccessed>25</b:DayAccessed>
    <b:URL>https://usu.instructure.com/courses/612457/assignments/3066093</b:URL>
    <b:Author>
      <b:Author>
        <b:NameList>
          <b:Person>
            <b:Last>Rosenberg</b:Last>
            <b:Middle>E.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7BAA5E0-F5A0-4DB9-8ECA-B2C227A8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CEE5410_Report.dotx</Template>
  <TotalTime>814</TotalTime>
  <Pages>6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reservoir management plan to maximize hydropower and irrigation benefits while maintaining storage</dc:title>
  <dc:subject>Six Months of Optimal System Allocations</dc:subject>
  <dc:creator>Joshua Ward</dc:creator>
  <cp:keywords/>
  <dc:description/>
  <cp:lastModifiedBy>Joshua Ward</cp:lastModifiedBy>
  <cp:revision>155</cp:revision>
  <dcterms:created xsi:type="dcterms:W3CDTF">2020-09-25T06:17:00Z</dcterms:created>
  <dcterms:modified xsi:type="dcterms:W3CDTF">2020-09-25T20:06:00Z</dcterms:modified>
  <cp:category>CEE 5410/6410 | Dr. David Rosenberg, PhD</cp:category>
</cp:coreProperties>
</file>