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18A9F" w14:textId="345C79F9" w:rsidR="00672DE9" w:rsidRPr="00EE0FBF" w:rsidRDefault="00672DE9" w:rsidP="003D5B87">
      <w:pPr>
        <w:pStyle w:val="Title"/>
        <w:spacing w:line="360" w:lineRule="auto"/>
        <w:jc w:val="center"/>
        <w:rPr>
          <w:rFonts w:ascii="Times New Roman" w:hAnsi="Times New Roman" w:cs="Times New Roman"/>
          <w:b/>
          <w:bCs/>
          <w:sz w:val="32"/>
          <w:szCs w:val="32"/>
        </w:rPr>
      </w:pPr>
      <w:r w:rsidRPr="00EE0FBF">
        <w:rPr>
          <w:rFonts w:ascii="Times New Roman" w:hAnsi="Times New Roman" w:cs="Times New Roman"/>
          <w:b/>
          <w:bCs/>
          <w:sz w:val="32"/>
          <w:szCs w:val="32"/>
        </w:rPr>
        <w:t>Sampling Weights</w:t>
      </w:r>
    </w:p>
    <w:p w14:paraId="2C65660F" w14:textId="63C7799E" w:rsidR="0029102C" w:rsidRPr="00EE0FBF" w:rsidRDefault="00247C0C" w:rsidP="003D5B87">
      <w:pPr>
        <w:pStyle w:val="Heading1"/>
        <w:spacing w:line="360" w:lineRule="auto"/>
        <w:rPr>
          <w:rFonts w:ascii="Times New Roman" w:hAnsi="Times New Roman" w:cs="Times New Roman"/>
          <w:b/>
          <w:bCs/>
          <w:color w:val="000000" w:themeColor="text1"/>
          <w:sz w:val="28"/>
          <w:szCs w:val="28"/>
        </w:rPr>
      </w:pPr>
      <w:r w:rsidRPr="00EE0FBF">
        <w:rPr>
          <w:rFonts w:ascii="Times New Roman" w:hAnsi="Times New Roman" w:cs="Times New Roman"/>
          <w:b/>
          <w:bCs/>
          <w:color w:val="000000" w:themeColor="text1"/>
          <w:sz w:val="28"/>
          <w:szCs w:val="28"/>
        </w:rPr>
        <w:t>Literature Review</w:t>
      </w:r>
    </w:p>
    <w:p w14:paraId="4C70E8D2" w14:textId="77777777" w:rsidR="00247C0C" w:rsidRPr="00EE0FBF" w:rsidRDefault="0029102C" w:rsidP="003D5B87">
      <w:pPr>
        <w:pStyle w:val="Heading2"/>
        <w:spacing w:line="360" w:lineRule="auto"/>
        <w:rPr>
          <w:rFonts w:ascii="Times New Roman" w:hAnsi="Times New Roman" w:cs="Times New Roman"/>
          <w:b/>
          <w:bCs/>
          <w:color w:val="000000" w:themeColor="text1"/>
          <w:sz w:val="24"/>
          <w:szCs w:val="24"/>
        </w:rPr>
      </w:pPr>
      <w:r w:rsidRPr="00EE0FBF">
        <w:rPr>
          <w:rFonts w:ascii="Times New Roman" w:hAnsi="Times New Roman" w:cs="Times New Roman"/>
          <w:b/>
          <w:bCs/>
          <w:color w:val="000000" w:themeColor="text1"/>
          <w:sz w:val="24"/>
          <w:szCs w:val="24"/>
        </w:rPr>
        <w:t>Introduction</w:t>
      </w:r>
      <w:r w:rsidR="005C1621" w:rsidRPr="00EE0FBF">
        <w:rPr>
          <w:rFonts w:ascii="Times New Roman" w:hAnsi="Times New Roman" w:cs="Times New Roman"/>
          <w:b/>
          <w:bCs/>
          <w:color w:val="000000" w:themeColor="text1"/>
          <w:sz w:val="24"/>
          <w:szCs w:val="24"/>
        </w:rPr>
        <w:t xml:space="preserve"> to Sampling Weights</w:t>
      </w:r>
    </w:p>
    <w:p w14:paraId="71352791" w14:textId="2D0255A2" w:rsidR="00B37AD6" w:rsidRPr="00331A24" w:rsidRDefault="00EC7D19" w:rsidP="003D5B87">
      <w:pPr>
        <w:spacing w:line="360" w:lineRule="auto"/>
      </w:pPr>
      <w:r>
        <w:t>Consider</w:t>
      </w:r>
      <w:r w:rsidR="00B37AD6" w:rsidRPr="00331A24">
        <w:t xml:space="preserve"> a situation where we take random samples from specific subgroups within a population. For instance, suppose we collect a sample of 100 individuals from each city in New Zealand</w:t>
      </w:r>
      <w:r w:rsidR="00A04D02" w:rsidRPr="00331A24">
        <w:t xml:space="preserve"> (NZ)</w:t>
      </w:r>
      <w:r w:rsidR="00B37AD6" w:rsidRPr="00331A24">
        <w:t>. This approach would not result in a representative national sample because individuals from cities with smaller populations would be more likely to be included. If we were analysing household income, this could bias our results. Smaller cities in NZ typically have lower average incomes, so overrepresenting them would likely underestimate the national average. However, if we know the population size of each city, we can correct for this imbalance in the analysis using sampling weights. This approach is known as stratified random sampling</w:t>
      </w:r>
      <w:r w:rsidR="00A04D02" w:rsidRPr="00331A24">
        <w:t xml:space="preserve"> (</w:t>
      </w:r>
      <w:r w:rsidR="00BC5BFC">
        <w:t>Lumley, 2010</w:t>
      </w:r>
      <w:r w:rsidR="00A04D02" w:rsidRPr="00331A24">
        <w:t>)</w:t>
      </w:r>
      <w:r w:rsidR="00B37AD6" w:rsidRPr="00331A24">
        <w:t>.</w:t>
      </w:r>
      <w:r w:rsidR="002316F7">
        <w:t xml:space="preserve"> </w:t>
      </w:r>
    </w:p>
    <w:p w14:paraId="62170579" w14:textId="77777777" w:rsidR="00247C0C" w:rsidRPr="00331A24" w:rsidRDefault="00247C0C" w:rsidP="003D5B87">
      <w:pPr>
        <w:spacing w:line="360" w:lineRule="auto"/>
      </w:pPr>
    </w:p>
    <w:p w14:paraId="6F781AD5" w14:textId="35E722DF" w:rsidR="000A25A4" w:rsidRDefault="00AB46CE" w:rsidP="00AB46CE">
      <w:pPr>
        <w:spacing w:line="360" w:lineRule="auto"/>
      </w:pPr>
      <w:r>
        <w:t>Stratified</w:t>
      </w:r>
      <w:r w:rsidR="00B37AD6" w:rsidRPr="00331A24">
        <w:t xml:space="preserve"> random sampling has the drawback of requiring the sample to be spread out across the entire population</w:t>
      </w:r>
      <w:r>
        <w:t xml:space="preserve"> (Lumley, 2010)</w:t>
      </w:r>
      <w:r w:rsidR="007F1676">
        <w:t xml:space="preserve">. </w:t>
      </w:r>
      <w:r w:rsidR="00B37AD6" w:rsidRPr="00331A24">
        <w:t>While this may be practical for phone or email surveys, it becomes costly and inefficient when in-person interviews are needed</w:t>
      </w:r>
      <w:r w:rsidR="007F1676">
        <w:t xml:space="preserve">. </w:t>
      </w:r>
      <w:r w:rsidR="00B37AD6" w:rsidRPr="00331A24">
        <w:t xml:space="preserve">A widely used alternative is cluster sampling, where the population is divided into groups called clusters, and a random subset of these clusters is selected. All individuals within the selected clusters are then surveyed. Although people within the same cluster tend to be more similar, which can reduce precision, cluster sampling is often more efficient and cost-effective. </w:t>
      </w:r>
      <w:r w:rsidR="00352CF1" w:rsidRPr="00331A24">
        <w:t>For a set cost, we can survey more people using cluster sampling and thus increase our precision</w:t>
      </w:r>
      <w:r w:rsidR="00F27AB3" w:rsidRPr="00331A24">
        <w:t xml:space="preserve"> at that price</w:t>
      </w:r>
      <w:r w:rsidR="00233552" w:rsidRPr="00331A24">
        <w:t xml:space="preserve">. </w:t>
      </w:r>
      <w:r w:rsidR="00B37AD6" w:rsidRPr="00331A24">
        <w:t xml:space="preserve">The selected clusters are known as primary sampling </w:t>
      </w:r>
      <w:r w:rsidR="00B37AD6" w:rsidRPr="0094701E">
        <w:t>units (PSUs), and accounting for them in analysis helps correct for potential biases introduced by the sampling design.</w:t>
      </w:r>
    </w:p>
    <w:p w14:paraId="2A2CCAF6" w14:textId="77777777" w:rsidR="00AB46CE" w:rsidRDefault="00AB46CE" w:rsidP="00AB46CE">
      <w:pPr>
        <w:spacing w:line="360" w:lineRule="auto"/>
      </w:pPr>
    </w:p>
    <w:p w14:paraId="6EDF0339" w14:textId="0C62E89C" w:rsidR="00AB46CE" w:rsidRDefault="00AB46CE" w:rsidP="00AB46CE">
      <w:pPr>
        <w:spacing w:line="360" w:lineRule="auto"/>
      </w:pPr>
      <w:r>
        <w:t xml:space="preserve">Lumley (2010) notes that the term </w:t>
      </w:r>
      <w:r w:rsidR="00C11634">
        <w:rPr>
          <w:rStyle w:val="Emphasis"/>
          <w:rFonts w:eastAsiaTheme="majorEastAsia"/>
          <w:i w:val="0"/>
          <w:iCs w:val="0"/>
        </w:rPr>
        <w:t xml:space="preserve">‘weight’ </w:t>
      </w:r>
      <w:r>
        <w:t xml:space="preserve">can have different meanings in statistics, but in complex survey analysis it refers specifically to </w:t>
      </w:r>
      <w:r w:rsidRPr="00AB46CE">
        <w:rPr>
          <w:rStyle w:val="Strong"/>
          <w:rFonts w:eastAsiaTheme="majorEastAsia"/>
          <w:b w:val="0"/>
          <w:bCs w:val="0"/>
        </w:rPr>
        <w:t>sampling weights</w:t>
      </w:r>
      <w:r>
        <w:t xml:space="preserve">, which indicate how many individuals in the population each observation represents. This differs from </w:t>
      </w:r>
      <w:r w:rsidRPr="00AB46CE">
        <w:rPr>
          <w:rStyle w:val="Strong"/>
          <w:rFonts w:eastAsiaTheme="majorEastAsia"/>
          <w:b w:val="0"/>
          <w:bCs w:val="0"/>
        </w:rPr>
        <w:t>precision weights</w:t>
      </w:r>
      <w:r>
        <w:t xml:space="preserve">, used in settings like weighted least squares to give greater influence to more precise observations, and </w:t>
      </w:r>
      <w:r w:rsidRPr="00AB46CE">
        <w:rPr>
          <w:rStyle w:val="Strong"/>
          <w:rFonts w:eastAsiaTheme="majorEastAsia"/>
          <w:b w:val="0"/>
          <w:bCs w:val="0"/>
        </w:rPr>
        <w:t>frequency weights</w:t>
      </w:r>
      <w:r>
        <w:t>, which simply record how many identical cases a single row represents. In surveys, sampling weights are combined with information on strata and PSUs to ensure unbiased estimates and accurate variance calculations.</w:t>
      </w:r>
    </w:p>
    <w:p w14:paraId="60AA5762" w14:textId="3DF804DA" w:rsidR="0094701E" w:rsidRPr="0094701E" w:rsidRDefault="00880CF0" w:rsidP="00AB46CE">
      <w:pPr>
        <w:spacing w:line="360" w:lineRule="auto"/>
      </w:pPr>
      <w:r w:rsidRPr="0094701E">
        <w:lastRenderedPageBreak/>
        <w:t>In complex surveys, sampling weights are calculated to adjust for biases such as the oversampling of specific groups</w:t>
      </w:r>
      <w:r w:rsidR="0094701E" w:rsidRPr="0094701E">
        <w:t xml:space="preserve"> and </w:t>
      </w:r>
      <w:r w:rsidRPr="0094701E">
        <w:t>non</w:t>
      </w:r>
      <w:r w:rsidR="00AA25EB" w:rsidRPr="0094701E">
        <w:t>-</w:t>
      </w:r>
      <w:r w:rsidRPr="0094701E">
        <w:t>response</w:t>
      </w:r>
      <w:r w:rsidR="0094701E" w:rsidRPr="0094701E">
        <w:t xml:space="preserve">. The </w:t>
      </w:r>
      <w:r w:rsidR="0094701E" w:rsidRPr="0094701E">
        <w:rPr>
          <w:rStyle w:val="Strong"/>
          <w:rFonts w:eastAsiaTheme="majorEastAsia"/>
          <w:b w:val="0"/>
          <w:bCs w:val="0"/>
        </w:rPr>
        <w:t>inclusion probability</w:t>
      </w:r>
      <w:r w:rsidR="0094701E" w:rsidRPr="0094701E">
        <w:rPr>
          <w:b/>
          <w:bCs/>
        </w:rPr>
        <w:t xml:space="preserve"> </w:t>
      </w:r>
      <w:r w:rsidR="0094701E" w:rsidRPr="0094701E">
        <w:t>for participant</w:t>
      </w:r>
      <w:r w:rsidR="00E92F59">
        <w:rPr>
          <w:rStyle w:val="katex-mathml"/>
          <w:rFonts w:eastAsiaTheme="majorEastAsia"/>
          <w:i/>
          <w:iCs/>
        </w:rPr>
        <w:t xml:space="preserve"> </w:t>
      </w:r>
      <m:oMath>
        <m:r>
          <w:rPr>
            <w:rStyle w:val="katex-mathml"/>
            <w:rFonts w:ascii="Cambria Math" w:eastAsiaTheme="majorEastAsia" w:hAnsi="Cambria Math"/>
          </w:rPr>
          <m:t>ijk</m:t>
        </m:r>
      </m:oMath>
      <w:r w:rsidR="0094701E" w:rsidRPr="0094701E">
        <w:t xml:space="preserve"> (in stratum</w:t>
      </w:r>
      <w:r w:rsidR="0094701E" w:rsidRPr="0094701E">
        <w:rPr>
          <w:i/>
          <w:iCs/>
        </w:rPr>
        <w:t xml:space="preserve"> </w:t>
      </w:r>
      <m:oMath>
        <m:r>
          <w:rPr>
            <w:rFonts w:ascii="Cambria Math" w:hAnsi="Cambria Math"/>
          </w:rPr>
          <m:t>j</m:t>
        </m:r>
      </m:oMath>
      <w:r w:rsidR="0094701E" w:rsidRPr="0094701E">
        <w:t xml:space="preserve">, PSU </w:t>
      </w:r>
      <m:oMath>
        <m:r>
          <w:rPr>
            <w:rFonts w:ascii="Cambria Math" w:hAnsi="Cambria Math"/>
          </w:rPr>
          <m:t>k</m:t>
        </m:r>
      </m:oMath>
      <w:r w:rsidR="0094701E" w:rsidRPr="0094701E">
        <w:t>) is:</w:t>
      </w:r>
    </w:p>
    <w:p w14:paraId="19241DF4" w14:textId="150C7C4B" w:rsidR="0094701E" w:rsidRPr="00595A9D" w:rsidRDefault="00000000" w:rsidP="0094701E">
      <w:pPr>
        <w:spacing w:line="360" w:lineRule="auto"/>
      </w:pPr>
      <m:oMathPara>
        <m:oMath>
          <m:sSub>
            <m:sSubPr>
              <m:ctrlPr>
                <w:rPr>
                  <w:rFonts w:ascii="Cambria Math" w:hAnsi="Cambria Math"/>
                  <w:i/>
                </w:rPr>
              </m:ctrlPr>
            </m:sSubPr>
            <m:e>
              <m:r>
                <w:rPr>
                  <w:rFonts w:ascii="Cambria Math" w:hAnsi="Cambria Math"/>
                </w:rPr>
                <m:t>P</m:t>
              </m:r>
            </m:e>
            <m:sub>
              <m:r>
                <w:rPr>
                  <w:rFonts w:ascii="Cambria Math" w:hAnsi="Cambria Math"/>
                </w:rPr>
                <m:t>ijk</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jk</m:t>
              </m:r>
            </m:sub>
          </m:sSub>
          <m:r>
            <w:rPr>
              <w:rFonts w:ascii="Cambria Math" w:hAnsi="Cambria Math"/>
            </w:rPr>
            <m:t xml:space="preserve"> × </m:t>
          </m:r>
          <m:sSub>
            <m:sSubPr>
              <m:ctrlPr>
                <w:rPr>
                  <w:rFonts w:ascii="Cambria Math" w:hAnsi="Cambria Math"/>
                  <w:i/>
                </w:rPr>
              </m:ctrlPr>
            </m:sSubPr>
            <m:e>
              <m:r>
                <w:rPr>
                  <w:rFonts w:ascii="Cambria Math" w:hAnsi="Cambria Math"/>
                </w:rPr>
                <m:t>P</m:t>
              </m:r>
            </m:e>
            <m:sub>
              <m:r>
                <w:rPr>
                  <w:rFonts w:ascii="Cambria Math" w:hAnsi="Cambria Math"/>
                </w:rPr>
                <m:t>i|jk</m:t>
              </m:r>
            </m:sub>
          </m:sSub>
        </m:oMath>
      </m:oMathPara>
    </w:p>
    <w:p w14:paraId="5D83B88A" w14:textId="77777777" w:rsidR="00595A9D" w:rsidRPr="0094701E" w:rsidRDefault="00595A9D" w:rsidP="0094701E">
      <w:pPr>
        <w:spacing w:line="360" w:lineRule="auto"/>
      </w:pPr>
    </w:p>
    <w:p w14:paraId="6F13FB76" w14:textId="60B831A1" w:rsidR="00880CF0" w:rsidRDefault="0094701E" w:rsidP="0094701E">
      <w:pPr>
        <w:spacing w:line="360" w:lineRule="auto"/>
        <w:rPr>
          <w:color w:val="222222"/>
          <w:shd w:val="clear" w:color="auto" w:fill="FFFFFF"/>
        </w:rPr>
      </w:pPr>
      <w:r w:rsidRPr="0094701E">
        <w:t xml:space="preserve">where </w:t>
      </w:r>
      <m:oMath>
        <m:sSub>
          <m:sSubPr>
            <m:ctrlPr>
              <w:rPr>
                <w:rFonts w:ascii="Cambria Math" w:hAnsi="Cambria Math"/>
                <w:i/>
              </w:rPr>
            </m:ctrlPr>
          </m:sSubPr>
          <m:e>
            <m:r>
              <w:rPr>
                <w:rFonts w:ascii="Cambria Math" w:hAnsi="Cambria Math"/>
              </w:rPr>
              <m:t>P</m:t>
            </m:r>
          </m:e>
          <m:sub>
            <m:r>
              <w:rPr>
                <w:rFonts w:ascii="Cambria Math" w:hAnsi="Cambria Math"/>
              </w:rPr>
              <m:t>jk</m:t>
            </m:r>
          </m:sub>
        </m:sSub>
      </m:oMath>
      <w:r w:rsidRPr="0094701E">
        <w:t xml:space="preserve"> is the probability of selecting PSU </w:t>
      </w:r>
      <m:oMath>
        <m:r>
          <w:rPr>
            <w:rFonts w:ascii="Cambria Math" w:hAnsi="Cambria Math"/>
          </w:rPr>
          <m:t>k</m:t>
        </m:r>
      </m:oMath>
      <w:r w:rsidRPr="0094701E">
        <w:t xml:space="preserve"> in stratum </w:t>
      </w:r>
      <m:oMath>
        <m:r>
          <w:rPr>
            <w:rFonts w:ascii="Cambria Math" w:hAnsi="Cambria Math"/>
          </w:rPr>
          <m:t>j</m:t>
        </m:r>
      </m:oMath>
      <w:r w:rsidRPr="0094701E">
        <w:t xml:space="preserve"> and </w:t>
      </w:r>
      <m:oMath>
        <m:sSub>
          <m:sSubPr>
            <m:ctrlPr>
              <w:rPr>
                <w:rFonts w:ascii="Cambria Math" w:hAnsi="Cambria Math"/>
                <w:i/>
              </w:rPr>
            </m:ctrlPr>
          </m:sSubPr>
          <m:e>
            <m:r>
              <w:rPr>
                <w:rFonts w:ascii="Cambria Math" w:hAnsi="Cambria Math"/>
              </w:rPr>
              <m:t>P</m:t>
            </m:r>
          </m:e>
          <m:sub>
            <m:r>
              <w:rPr>
                <w:rFonts w:ascii="Cambria Math" w:hAnsi="Cambria Math"/>
              </w:rPr>
              <m:t>i|jk</m:t>
            </m:r>
          </m:sub>
        </m:sSub>
      </m:oMath>
      <w:r w:rsidRPr="0094701E">
        <w:rPr>
          <w:rStyle w:val="vlist-s"/>
        </w:rPr>
        <w:t>​</w:t>
      </w:r>
      <w:r w:rsidRPr="0094701E">
        <w:t xml:space="preserve"> is the probability of selecting person </w:t>
      </w:r>
      <m:oMath>
        <m:r>
          <w:rPr>
            <w:rFonts w:ascii="Cambria Math" w:hAnsi="Cambria Math"/>
          </w:rPr>
          <m:t>i</m:t>
        </m:r>
      </m:oMath>
      <w:r w:rsidRPr="0094701E">
        <w:t xml:space="preserve"> within that PSU. The base sampl</w:t>
      </w:r>
      <w:r w:rsidR="0040333E">
        <w:t>ing</w:t>
      </w:r>
      <w:r w:rsidRPr="0094701E">
        <w:t xml:space="preserve"> weight</w:t>
      </w:r>
      <w:r w:rsidR="00F313B5">
        <w:t xml:space="preserve"> for each participant</w:t>
      </w:r>
      <w:r w:rsidRPr="0094701E">
        <w:t xml:space="preserve"> is simply the inverse</w:t>
      </w:r>
      <w:r>
        <w:t xml:space="preserve"> of this. </w:t>
      </w:r>
      <w:r w:rsidR="00DB2322">
        <w:t>The sampling weights</w:t>
      </w:r>
      <w:r w:rsidR="00880CF0" w:rsidRPr="0094701E">
        <w:t xml:space="preserve"> often </w:t>
      </w:r>
      <w:r>
        <w:t xml:space="preserve">account for non-response and </w:t>
      </w:r>
      <w:r w:rsidR="00880CF0" w:rsidRPr="0094701E">
        <w:t>incorporate post-stratification</w:t>
      </w:r>
      <w:r>
        <w:t xml:space="preserve"> by multiplying the base weight by adjustment factors,</w:t>
      </w:r>
      <w:r w:rsidR="00880CF0" w:rsidRPr="0094701E">
        <w:t xml:space="preserve"> aligning survey estimates with known demographic distributions of the target population. By scaling each participant's contribution, sampling weights help produce unbiased point estimates that accurately reflect the broader population.</w:t>
      </w:r>
      <w:r w:rsidR="00453906" w:rsidRPr="0094701E">
        <w:t xml:space="preserve"> </w:t>
      </w:r>
      <w:r w:rsidR="00EA30E2" w:rsidRPr="0094701E">
        <w:rPr>
          <w:color w:val="222222"/>
          <w:shd w:val="clear" w:color="auto" w:fill="FFFFFF"/>
        </w:rPr>
        <w:t>Korn, E. L., &amp; Graubard, B. I. (1995) show many examples where unweighted and weighted estimates result in vastly different results.</w:t>
      </w:r>
      <w:r w:rsidR="002316F7" w:rsidRPr="0094701E">
        <w:rPr>
          <w:color w:val="222222"/>
          <w:shd w:val="clear" w:color="auto" w:fill="FFFFFF"/>
        </w:rPr>
        <w:t xml:space="preserve"> </w:t>
      </w:r>
      <w:r w:rsidR="00E92F59">
        <w:rPr>
          <w:color w:val="222222"/>
          <w:shd w:val="clear" w:color="auto" w:fill="FFFFFF"/>
        </w:rPr>
        <w:t xml:space="preserve">Once the sample weights </w:t>
      </w:r>
      <m:oMath>
        <m:sSub>
          <m:sSubPr>
            <m:ctrlPr>
              <w:rPr>
                <w:rFonts w:ascii="Cambria Math" w:hAnsi="Cambria Math"/>
                <w:i/>
                <w:color w:val="222222"/>
                <w:shd w:val="clear" w:color="auto" w:fill="FFFFFF"/>
              </w:rPr>
            </m:ctrlPr>
          </m:sSubPr>
          <m:e>
            <m:r>
              <w:rPr>
                <w:rFonts w:ascii="Cambria Math" w:hAnsi="Cambria Math"/>
                <w:color w:val="222222"/>
                <w:shd w:val="clear" w:color="auto" w:fill="FFFFFF"/>
              </w:rPr>
              <m:t>w</m:t>
            </m:r>
          </m:e>
          <m:sub>
            <m:r>
              <w:rPr>
                <w:rFonts w:ascii="Cambria Math" w:hAnsi="Cambria Math"/>
                <w:color w:val="222222"/>
                <w:shd w:val="clear" w:color="auto" w:fill="FFFFFF"/>
              </w:rPr>
              <m:t>i</m:t>
            </m:r>
          </m:sub>
        </m:sSub>
      </m:oMath>
      <w:r w:rsidR="00E92F59">
        <w:rPr>
          <w:color w:val="222222"/>
          <w:shd w:val="clear" w:color="auto" w:fill="FFFFFF"/>
        </w:rPr>
        <w:t xml:space="preserve"> have been calculated, these can be used to make population estimated. For example, a population total for variable </w:t>
      </w:r>
      <m:oMath>
        <m:r>
          <w:rPr>
            <w:rFonts w:ascii="Cambria Math" w:hAnsi="Cambria Math"/>
            <w:color w:val="222222"/>
            <w:shd w:val="clear" w:color="auto" w:fill="FFFFFF"/>
          </w:rPr>
          <m:t>y</m:t>
        </m:r>
      </m:oMath>
      <w:r w:rsidR="00E92F59">
        <w:rPr>
          <w:color w:val="222222"/>
          <w:shd w:val="clear" w:color="auto" w:fill="FFFFFF"/>
        </w:rPr>
        <w:t xml:space="preserve"> can be calculated</w:t>
      </w:r>
      <w:r w:rsidR="00184BCE">
        <w:rPr>
          <w:color w:val="222222"/>
          <w:shd w:val="clear" w:color="auto" w:fill="FFFFFF"/>
        </w:rPr>
        <w:t xml:space="preserve"> as simply as:</w:t>
      </w:r>
    </w:p>
    <w:p w14:paraId="6082D254" w14:textId="77777777" w:rsidR="00595A9D" w:rsidRDefault="00595A9D" w:rsidP="0094701E">
      <w:pPr>
        <w:spacing w:line="360" w:lineRule="auto"/>
        <w:rPr>
          <w:color w:val="222222"/>
          <w:shd w:val="clear" w:color="auto" w:fill="FFFFFF"/>
        </w:rPr>
      </w:pPr>
    </w:p>
    <w:p w14:paraId="2C1CD9C0" w14:textId="1ADDD3CA" w:rsidR="00184BCE" w:rsidRDefault="00000000" w:rsidP="0094701E">
      <w:pPr>
        <w:spacing w:line="360" w:lineRule="auto"/>
        <w:rPr>
          <w:color w:val="222222"/>
          <w:shd w:val="clear" w:color="auto" w:fill="FFFFFF"/>
        </w:rPr>
      </w:pPr>
      <m:oMathPara>
        <m:oMath>
          <m:acc>
            <m:accPr>
              <m:ctrlPr>
                <w:rPr>
                  <w:rFonts w:ascii="Cambria Math" w:hAnsi="Cambria Math"/>
                  <w:i/>
                  <w:color w:val="222222"/>
                  <w:shd w:val="clear" w:color="auto" w:fill="FFFFFF"/>
                </w:rPr>
              </m:ctrlPr>
            </m:accPr>
            <m:e>
              <m:r>
                <w:rPr>
                  <w:rFonts w:ascii="Cambria Math" w:hAnsi="Cambria Math"/>
                  <w:color w:val="222222"/>
                  <w:shd w:val="clear" w:color="auto" w:fill="FFFFFF"/>
                </w:rPr>
                <m:t>Y</m:t>
              </m:r>
            </m:e>
          </m:acc>
          <m:r>
            <w:rPr>
              <w:rFonts w:ascii="Cambria Math" w:hAnsi="Cambria Math"/>
              <w:color w:val="222222"/>
              <w:shd w:val="clear" w:color="auto" w:fill="FFFFFF"/>
            </w:rPr>
            <m:t>=</m:t>
          </m:r>
          <m:nary>
            <m:naryPr>
              <m:chr m:val="∑"/>
              <m:limLoc m:val="undOvr"/>
              <m:subHide m:val="1"/>
              <m:supHide m:val="1"/>
              <m:ctrlPr>
                <w:rPr>
                  <w:rFonts w:ascii="Cambria Math" w:hAnsi="Cambria Math"/>
                  <w:i/>
                  <w:color w:val="222222"/>
                  <w:shd w:val="clear" w:color="auto" w:fill="FFFFFF"/>
                </w:rPr>
              </m:ctrlPr>
            </m:naryPr>
            <m:sub/>
            <m:sup/>
            <m:e>
              <m:sSub>
                <m:sSubPr>
                  <m:ctrlPr>
                    <w:rPr>
                      <w:rFonts w:ascii="Cambria Math" w:hAnsi="Cambria Math"/>
                      <w:i/>
                      <w:color w:val="222222"/>
                      <w:shd w:val="clear" w:color="auto" w:fill="FFFFFF"/>
                    </w:rPr>
                  </m:ctrlPr>
                </m:sSubPr>
                <m:e>
                  <m:r>
                    <w:rPr>
                      <w:rFonts w:ascii="Cambria Math" w:hAnsi="Cambria Math"/>
                      <w:color w:val="222222"/>
                      <w:shd w:val="clear" w:color="auto" w:fill="FFFFFF"/>
                    </w:rPr>
                    <m:t>w</m:t>
                  </m:r>
                </m:e>
                <m:sub>
                  <m:r>
                    <w:rPr>
                      <w:rFonts w:ascii="Cambria Math" w:hAnsi="Cambria Math"/>
                      <w:color w:val="222222"/>
                      <w:shd w:val="clear" w:color="auto" w:fill="FFFFFF"/>
                    </w:rPr>
                    <m:t>i</m:t>
                  </m:r>
                </m:sub>
              </m:sSub>
              <m:sSub>
                <m:sSubPr>
                  <m:ctrlPr>
                    <w:rPr>
                      <w:rFonts w:ascii="Cambria Math" w:hAnsi="Cambria Math"/>
                      <w:i/>
                      <w:color w:val="222222"/>
                      <w:shd w:val="clear" w:color="auto" w:fill="FFFFFF"/>
                    </w:rPr>
                  </m:ctrlPr>
                </m:sSubPr>
                <m:e>
                  <m:r>
                    <w:rPr>
                      <w:rFonts w:ascii="Cambria Math" w:hAnsi="Cambria Math"/>
                      <w:color w:val="222222"/>
                      <w:shd w:val="clear" w:color="auto" w:fill="FFFFFF"/>
                    </w:rPr>
                    <m:t>y</m:t>
                  </m:r>
                </m:e>
                <m:sub>
                  <m:r>
                    <w:rPr>
                      <w:rFonts w:ascii="Cambria Math" w:hAnsi="Cambria Math"/>
                      <w:color w:val="222222"/>
                      <w:shd w:val="clear" w:color="auto" w:fill="FFFFFF"/>
                    </w:rPr>
                    <m:t>i</m:t>
                  </m:r>
                </m:sub>
              </m:sSub>
            </m:e>
          </m:nary>
        </m:oMath>
      </m:oMathPara>
    </w:p>
    <w:p w14:paraId="25903545" w14:textId="77777777" w:rsidR="00247C0C" w:rsidRPr="00331A24" w:rsidRDefault="00247C0C" w:rsidP="003D5B87">
      <w:pPr>
        <w:spacing w:line="360" w:lineRule="auto"/>
      </w:pPr>
    </w:p>
    <w:p w14:paraId="13EFA7A2" w14:textId="62A52BDC" w:rsidR="008456B5" w:rsidRPr="00331A24" w:rsidRDefault="00213C7B" w:rsidP="003D5B87">
      <w:pPr>
        <w:spacing w:line="360" w:lineRule="auto"/>
        <w:rPr>
          <w:rStyle w:val="apple-converted-space"/>
        </w:rPr>
      </w:pPr>
      <w:r>
        <w:t>Information</w:t>
      </w:r>
      <w:r w:rsidR="00880CF0" w:rsidRPr="00331A24">
        <w:t xml:space="preserve"> on the aforementioned strata and PSUs is essential for properly accounting for the survey’s stratified and clustered design. These components are necessary for correctly estimating standard errors and p-values. Including all three elements (weights, strata, and PSUs) is critical to ensure that results from complex survey data are both generalizable and statistically valid. </w:t>
      </w:r>
      <w:r w:rsidR="00645C45">
        <w:t>Pfefferman (1996) states that i</w:t>
      </w:r>
      <w:r w:rsidR="00880CF0" w:rsidRPr="00331A24">
        <w:t xml:space="preserve">gnoring </w:t>
      </w:r>
      <w:r w:rsidR="00645C45">
        <w:t>the sample selection scheme</w:t>
      </w:r>
      <w:r w:rsidR="00880CF0" w:rsidRPr="00331A24">
        <w:t xml:space="preserve"> can lead to biased estimates, underestimated standard errors (which may falsely suggest significant associations), and ultimately flawed inference, such as overly narrow confidence intervals, incorrect p-values, or misleading regression diagnostics.</w:t>
      </w:r>
    </w:p>
    <w:p w14:paraId="1B3FFE1E" w14:textId="77777777" w:rsidR="00247C0C" w:rsidRPr="00331A24" w:rsidRDefault="00247C0C" w:rsidP="003D5B87">
      <w:pPr>
        <w:spacing w:line="360" w:lineRule="auto"/>
      </w:pPr>
    </w:p>
    <w:p w14:paraId="308ECA77" w14:textId="1ECEA7A9" w:rsidR="00BE12B0" w:rsidRPr="00331A24" w:rsidRDefault="00BE12B0" w:rsidP="003D5B87">
      <w:pPr>
        <w:spacing w:line="360" w:lineRule="auto"/>
      </w:pPr>
      <w:r w:rsidRPr="00331A24">
        <w:t xml:space="preserve">The </w:t>
      </w:r>
      <w:r w:rsidRPr="00331A24">
        <w:rPr>
          <w:rStyle w:val="Strong"/>
          <w:b w:val="0"/>
          <w:bCs w:val="0"/>
        </w:rPr>
        <w:t>National Health and Nutrition Examination Survey (NHANES)</w:t>
      </w:r>
      <w:r w:rsidRPr="00331A24">
        <w:t xml:space="preserve"> is a prime example of a complex survey and will serve as the focus of our later analysis. Conducted by the </w:t>
      </w:r>
      <w:r w:rsidRPr="00331A24">
        <w:rPr>
          <w:rStyle w:val="Strong"/>
          <w:b w:val="0"/>
          <w:bCs w:val="0"/>
        </w:rPr>
        <w:t xml:space="preserve">National </w:t>
      </w:r>
      <w:proofErr w:type="spellStart"/>
      <w:r w:rsidRPr="00331A24">
        <w:rPr>
          <w:rStyle w:val="Strong"/>
          <w:b w:val="0"/>
          <w:bCs w:val="0"/>
        </w:rPr>
        <w:t>Center</w:t>
      </w:r>
      <w:proofErr w:type="spellEnd"/>
      <w:r w:rsidRPr="00331A24">
        <w:rPr>
          <w:rStyle w:val="Strong"/>
          <w:b w:val="0"/>
          <w:bCs w:val="0"/>
        </w:rPr>
        <w:t xml:space="preserve"> for Health Statistics (NCHS)</w:t>
      </w:r>
      <w:r w:rsidRPr="00331A24">
        <w:rPr>
          <w:b/>
          <w:bCs/>
        </w:rPr>
        <w:t>,</w:t>
      </w:r>
      <w:r w:rsidRPr="00331A24">
        <w:t xml:space="preserve"> NHANES combines interviews, physical examinations, and laboratory tests to assess the health and nutrition of the U.S. population. It offers hundreds of publicly available variables for analysis. NHANES uses a </w:t>
      </w:r>
      <w:r w:rsidRPr="00331A24">
        <w:rPr>
          <w:rStyle w:val="Strong"/>
          <w:b w:val="0"/>
          <w:bCs w:val="0"/>
        </w:rPr>
        <w:t>complex, multistage sampling design</w:t>
      </w:r>
      <w:r w:rsidRPr="00331A24">
        <w:t xml:space="preserve">, which requires careful consideration of potential biases when analysing the </w:t>
      </w:r>
      <w:r w:rsidRPr="00331A24">
        <w:lastRenderedPageBreak/>
        <w:t xml:space="preserve">data. To improve the reliability of subgroup analyses, the survey </w:t>
      </w:r>
      <w:r w:rsidRPr="00331A24">
        <w:rPr>
          <w:rStyle w:val="Strong"/>
          <w:b w:val="0"/>
          <w:bCs w:val="0"/>
        </w:rPr>
        <w:t>intentionally oversamples</w:t>
      </w:r>
      <w:r w:rsidRPr="00331A24">
        <w:t xml:space="preserve"> specific populations such as </w:t>
      </w:r>
      <w:r w:rsidRPr="00331A24">
        <w:rPr>
          <w:rStyle w:val="Strong"/>
          <w:b w:val="0"/>
          <w:bCs w:val="0"/>
        </w:rPr>
        <w:t xml:space="preserve">Hispanics, Asians, and </w:t>
      </w:r>
      <w:r w:rsidR="008A610B" w:rsidRPr="00331A24">
        <w:rPr>
          <w:rStyle w:val="Strong"/>
          <w:b w:val="0"/>
          <w:bCs w:val="0"/>
        </w:rPr>
        <w:t>the elderly</w:t>
      </w:r>
      <w:r w:rsidRPr="00331A24">
        <w:t xml:space="preserve">. Additionally, </w:t>
      </w:r>
      <w:r w:rsidRPr="00331A24">
        <w:rPr>
          <w:rStyle w:val="Strong"/>
          <w:b w:val="0"/>
          <w:bCs w:val="0"/>
        </w:rPr>
        <w:t>non-response bias</w:t>
      </w:r>
      <w:r w:rsidRPr="00331A24">
        <w:t xml:space="preserve"> can occur, as certain groups</w:t>
      </w:r>
      <w:r w:rsidR="00880CF0" w:rsidRPr="00331A24">
        <w:t xml:space="preserve">, </w:t>
      </w:r>
      <w:r w:rsidRPr="00331A24">
        <w:t xml:space="preserve">like younger </w:t>
      </w:r>
      <w:r w:rsidR="00521912" w:rsidRPr="00331A24">
        <w:t xml:space="preserve">people </w:t>
      </w:r>
      <w:r w:rsidRPr="00331A24">
        <w:t xml:space="preserve">or those from low-income </w:t>
      </w:r>
      <w:r w:rsidR="00521912" w:rsidRPr="00331A24">
        <w:t>families</w:t>
      </w:r>
      <w:r w:rsidR="00880CF0" w:rsidRPr="00331A24">
        <w:t xml:space="preserve">, </w:t>
      </w:r>
      <w:r w:rsidRPr="00331A24">
        <w:t xml:space="preserve">are less likely to participate. These issues are addressed through </w:t>
      </w:r>
      <w:r w:rsidRPr="00331A24">
        <w:rPr>
          <w:rStyle w:val="Strong"/>
          <w:b w:val="0"/>
          <w:bCs w:val="0"/>
        </w:rPr>
        <w:t>sampling weights</w:t>
      </w:r>
      <w:r w:rsidRPr="00331A24">
        <w:t>, which first adjust for unequal probabilities of selection and non</w:t>
      </w:r>
      <w:r w:rsidR="007D728B" w:rsidRPr="00331A24">
        <w:t>-</w:t>
      </w:r>
      <w:r w:rsidRPr="00331A24">
        <w:t xml:space="preserve">response. The weights are then </w:t>
      </w:r>
      <w:r w:rsidRPr="00331A24">
        <w:rPr>
          <w:rStyle w:val="Strong"/>
          <w:b w:val="0"/>
          <w:bCs w:val="0"/>
        </w:rPr>
        <w:t>calibrated to align with U.S. Census benchmarks</w:t>
      </w:r>
      <w:r w:rsidRPr="00331A24">
        <w:rPr>
          <w:b/>
          <w:bCs/>
        </w:rPr>
        <w:t xml:space="preserve"> </w:t>
      </w:r>
      <w:r w:rsidRPr="00331A24">
        <w:t xml:space="preserve">for age, sex, and ethnicity, ensuring that the </w:t>
      </w:r>
      <w:r w:rsidRPr="00331A24">
        <w:rPr>
          <w:rStyle w:val="Strong"/>
          <w:b w:val="0"/>
          <w:bCs w:val="0"/>
        </w:rPr>
        <w:t>weighted data accurately represent the U.S. population</w:t>
      </w:r>
      <w:r w:rsidRPr="00331A24">
        <w:t>.</w:t>
      </w:r>
    </w:p>
    <w:p w14:paraId="4624291E" w14:textId="77777777" w:rsidR="005835F6" w:rsidRPr="00331A24" w:rsidRDefault="005835F6" w:rsidP="003D5B87">
      <w:pPr>
        <w:spacing w:line="360" w:lineRule="auto"/>
      </w:pPr>
    </w:p>
    <w:p w14:paraId="4FD18B50" w14:textId="473EFD8E" w:rsidR="004B6ABA" w:rsidRPr="00331A24" w:rsidRDefault="005835F6" w:rsidP="003D5B87">
      <w:pPr>
        <w:spacing w:line="360" w:lineRule="auto"/>
      </w:pPr>
      <w:r w:rsidRPr="00331A24">
        <w:t>In this study, data from the 2017–2018 cycle of the National Health and Nutrition Examination Survey (NHANES)</w:t>
      </w:r>
      <w:r w:rsidR="00FD6882">
        <w:t xml:space="preserve"> will be used</w:t>
      </w:r>
      <w:r w:rsidRPr="00331A24">
        <w:t xml:space="preserve"> to investigate whether vitamin D deficiency is associated with spinal bone mineral density in the U.S. population. Given NHANES’s complex sampling design, all analyses will incorporate the relevant sampling weights, strata, </w:t>
      </w:r>
      <w:r w:rsidR="00AF0C6C" w:rsidRPr="00331A24">
        <w:t xml:space="preserve">and </w:t>
      </w:r>
      <w:r w:rsidRPr="00331A24">
        <w:t xml:space="preserve">PSUs to correct for unequal probabilities of selection, non-response bias, and post-stratification. </w:t>
      </w:r>
      <w:r w:rsidR="004F7EF7">
        <w:t xml:space="preserve">To implement this correctly, we will follow guidance from Lumley (2010) on using the </w:t>
      </w:r>
      <w:r w:rsidR="004F7EF7" w:rsidRPr="001779D1">
        <w:rPr>
          <w:i/>
          <w:iCs/>
        </w:rPr>
        <w:t>survey</w:t>
      </w:r>
      <w:r w:rsidR="004F7EF7">
        <w:t xml:space="preserve"> package in R, alongside detailed documentation provided by N</w:t>
      </w:r>
      <w:r w:rsidR="001779D1">
        <w:t>HA</w:t>
      </w:r>
      <w:r w:rsidR="00A336F0">
        <w:t>NE</w:t>
      </w:r>
      <w:r w:rsidR="004F7EF7">
        <w:t xml:space="preserve">S on dataset structure and survey methodology. This approach ensures that the results will be representative and generalisable to the wider U.S population. </w:t>
      </w:r>
      <w:r w:rsidR="00027493">
        <w:t xml:space="preserve"> </w:t>
      </w:r>
    </w:p>
    <w:p w14:paraId="3AA4E7FB" w14:textId="77777777" w:rsidR="004B6ABA" w:rsidRPr="00331A24" w:rsidRDefault="004B6ABA" w:rsidP="003D5B87">
      <w:pPr>
        <w:pStyle w:val="Heading2"/>
        <w:spacing w:line="360" w:lineRule="auto"/>
        <w:rPr>
          <w:rFonts w:ascii="Times New Roman" w:hAnsi="Times New Roman" w:cs="Times New Roman"/>
        </w:rPr>
      </w:pPr>
    </w:p>
    <w:p w14:paraId="32D8DA9A" w14:textId="34DA6D6E" w:rsidR="006C4C44" w:rsidRPr="00EE0FBF" w:rsidRDefault="006C4C44" w:rsidP="003D5B87">
      <w:pPr>
        <w:pStyle w:val="Heading2"/>
        <w:spacing w:line="360" w:lineRule="auto"/>
        <w:rPr>
          <w:rFonts w:ascii="Times New Roman" w:hAnsi="Times New Roman" w:cs="Times New Roman"/>
          <w:b/>
          <w:bCs/>
          <w:color w:val="000000" w:themeColor="text1"/>
          <w:sz w:val="24"/>
          <w:szCs w:val="24"/>
        </w:rPr>
      </w:pPr>
      <w:r w:rsidRPr="00EE0FBF">
        <w:rPr>
          <w:rFonts w:ascii="Times New Roman" w:hAnsi="Times New Roman" w:cs="Times New Roman"/>
          <w:b/>
          <w:bCs/>
          <w:color w:val="000000" w:themeColor="text1"/>
          <w:sz w:val="24"/>
          <w:szCs w:val="24"/>
        </w:rPr>
        <w:t>Introduction to Vitamin D and Bone Health</w:t>
      </w:r>
    </w:p>
    <w:p w14:paraId="7DCC08CA" w14:textId="06A03D54" w:rsidR="00B91710" w:rsidRPr="00331A24" w:rsidRDefault="00B91710" w:rsidP="003D5B87">
      <w:pPr>
        <w:spacing w:line="360" w:lineRule="auto"/>
        <w:rPr>
          <w:lang w:val="en-US"/>
        </w:rPr>
      </w:pPr>
      <w:r w:rsidRPr="00331A24">
        <w:t xml:space="preserve">Maintaining bone health is essential to overall well-being, as the skeleton plays a crucial role in providing structural support, enabling movement, protecting vital organs, storing calcium, and producing blood and bone cells within the marrow. </w:t>
      </w:r>
      <w:r w:rsidRPr="00331A24">
        <w:rPr>
          <w:lang w:val="en-US"/>
        </w:rPr>
        <w:t>One indicator of bone health is bone mineral density (BMD) which is a measure of calcium and other minerals in the bone. Bones that have more minerals are denser and, therefore, stronger and less likely to fracture.</w:t>
      </w:r>
      <w:r w:rsidR="00157E2B" w:rsidRPr="00331A24">
        <w:rPr>
          <w:lang w:val="en-US"/>
        </w:rPr>
        <w:t xml:space="preserve"> </w:t>
      </w:r>
      <w:r w:rsidRPr="00331A24">
        <w:rPr>
          <w:lang w:val="en-US"/>
        </w:rPr>
        <w:t xml:space="preserve">Currently, lumbar spine or hip joint BMD measured using dual-energy X-ray absorptiometry (DXA) are considered the gold standard for the diagnosis of osteoporosis in men and postmenopausal women over the age of </w:t>
      </w:r>
      <w:r w:rsidR="009F30DE" w:rsidRPr="00331A24">
        <w:rPr>
          <w:lang w:val="en-US"/>
        </w:rPr>
        <w:t xml:space="preserve">50 </w:t>
      </w:r>
      <w:r w:rsidRPr="00331A24">
        <w:rPr>
          <w:lang w:val="en-US"/>
        </w:rPr>
        <w:t>and are a key indicator of bone health</w:t>
      </w:r>
      <w:r w:rsidR="009F30DE" w:rsidRPr="00331A24">
        <w:rPr>
          <w:lang w:val="en-US"/>
        </w:rPr>
        <w:t xml:space="preserve"> (</w:t>
      </w:r>
      <w:r w:rsidR="009F30DE" w:rsidRPr="00331A24">
        <w:t>Chang, Fei-</w:t>
      </w:r>
      <w:proofErr w:type="spellStart"/>
      <w:r w:rsidR="009F30DE" w:rsidRPr="00331A24">
        <w:t>xia</w:t>
      </w:r>
      <w:proofErr w:type="spellEnd"/>
      <w:r w:rsidR="009F30DE" w:rsidRPr="00331A24">
        <w:t>, et al., 2022</w:t>
      </w:r>
      <w:r w:rsidR="009F30DE" w:rsidRPr="00331A24">
        <w:rPr>
          <w:lang w:val="en-US"/>
        </w:rPr>
        <w:t>)</w:t>
      </w:r>
      <w:r w:rsidRPr="00331A24">
        <w:rPr>
          <w:lang w:val="en-US"/>
        </w:rPr>
        <w:t xml:space="preserve">. </w:t>
      </w:r>
    </w:p>
    <w:p w14:paraId="177A1922" w14:textId="77777777" w:rsidR="00B91710" w:rsidRPr="00331A24" w:rsidRDefault="00B91710" w:rsidP="003D5B87">
      <w:pPr>
        <w:spacing w:line="360" w:lineRule="auto"/>
      </w:pPr>
    </w:p>
    <w:p w14:paraId="66163A6B" w14:textId="12B2796E" w:rsidR="00B91710" w:rsidRPr="00331A24" w:rsidRDefault="00B91710" w:rsidP="003D5B87">
      <w:pPr>
        <w:spacing w:line="360" w:lineRule="auto"/>
        <w:rPr>
          <w:lang w:val="en-US"/>
        </w:rPr>
      </w:pPr>
      <w:r w:rsidRPr="00331A24">
        <w:t>Vitamin D plays a critical role in maintaining bone health through its regulation of calcium absorption and bone mineralization. Without enough Vitamin D, our bodies do not absorb calcium effectively from our diets which can cause calcium to be removed from the skeleton.</w:t>
      </w:r>
      <w:r w:rsidR="00625A46" w:rsidRPr="00331A24">
        <w:t xml:space="preserve"> </w:t>
      </w:r>
      <w:r w:rsidRPr="00331A24">
        <w:rPr>
          <w:lang w:val="en-US"/>
        </w:rPr>
        <w:lastRenderedPageBreak/>
        <w:t xml:space="preserve">Deficiency in vitamin D, which is common in the US and globally, has been linked to a range of adverse skeletal outcomes including metabolic bone disease, </w:t>
      </w:r>
      <w:proofErr w:type="spellStart"/>
      <w:r w:rsidRPr="00331A24">
        <w:rPr>
          <w:lang w:val="en-US"/>
        </w:rPr>
        <w:t>osteomalacia</w:t>
      </w:r>
      <w:proofErr w:type="spellEnd"/>
      <w:r w:rsidRPr="00331A24">
        <w:rPr>
          <w:lang w:val="en-US"/>
        </w:rPr>
        <w:t>, osteoporosis, and increased fracture risk, particularly in the elderly. (</w:t>
      </w:r>
      <w:r w:rsidR="00625A46" w:rsidRPr="00331A24">
        <w:t>Holick, Michael F., 1996</w:t>
      </w:r>
      <w:r w:rsidRPr="00331A24">
        <w:rPr>
          <w:lang w:val="en-US"/>
        </w:rPr>
        <w:t xml:space="preserve">) </w:t>
      </w:r>
      <w:r w:rsidR="00625A46" w:rsidRPr="00331A24">
        <w:t xml:space="preserve">In </w:t>
      </w:r>
      <w:r w:rsidR="00D3320B" w:rsidRPr="00331A24">
        <w:t>the</w:t>
      </w:r>
      <w:r w:rsidR="00625A46" w:rsidRPr="00331A24">
        <w:t xml:space="preserve"> literature,</w:t>
      </w:r>
      <w:r w:rsidR="00533242" w:rsidRPr="00331A24">
        <w:t xml:space="preserve"> </w:t>
      </w:r>
      <w:r w:rsidR="00A92D91" w:rsidRPr="00331A24">
        <w:t xml:space="preserve">Vitamin D </w:t>
      </w:r>
      <w:r w:rsidR="00533242" w:rsidRPr="00331A24">
        <w:t xml:space="preserve">sufficiency has been </w:t>
      </w:r>
      <w:r w:rsidR="00625A46" w:rsidRPr="00331A24">
        <w:t xml:space="preserve">commonly </w:t>
      </w:r>
      <w:r w:rsidR="00533242" w:rsidRPr="00331A24">
        <w:t xml:space="preserve">defined as having serum total 25-hydroxyvitamin D level greater than 50 nmol/L and vitamin D </w:t>
      </w:r>
      <w:r w:rsidR="00A92D91" w:rsidRPr="00331A24">
        <w:t xml:space="preserve">deficiency has been </w:t>
      </w:r>
      <w:r w:rsidR="00943B84" w:rsidRPr="00331A24">
        <w:t>defined</w:t>
      </w:r>
      <w:r w:rsidR="00A92D91" w:rsidRPr="00331A24">
        <w:t xml:space="preserve"> as </w:t>
      </w:r>
      <w:r w:rsidR="00533242" w:rsidRPr="00331A24">
        <w:t>having a level below 30 nmol/L. (</w:t>
      </w:r>
      <w:r w:rsidR="00625A46" w:rsidRPr="00331A24">
        <w:t>Kaur, Jasleen, et al., 2025</w:t>
      </w:r>
      <w:r w:rsidR="00533242" w:rsidRPr="00331A24">
        <w:t>)</w:t>
      </w:r>
      <w:r w:rsidR="00363611" w:rsidRPr="00331A24">
        <w:t xml:space="preserve"> This is also the definition used by the U.S Department of Health &amp; Human Services</w:t>
      </w:r>
      <w:r w:rsidR="001A02AE" w:rsidRPr="00331A24">
        <w:t>.</w:t>
      </w:r>
      <w:r w:rsidR="00363611" w:rsidRPr="00331A24">
        <w:t xml:space="preserve"> </w:t>
      </w:r>
    </w:p>
    <w:p w14:paraId="1057843D" w14:textId="77777777" w:rsidR="007F39B8" w:rsidRPr="00331A24" w:rsidRDefault="007F39B8" w:rsidP="003D5B87">
      <w:pPr>
        <w:spacing w:line="360" w:lineRule="auto"/>
      </w:pPr>
    </w:p>
    <w:p w14:paraId="3040C58E" w14:textId="6051F0B8" w:rsidR="00B91710" w:rsidRPr="00331A24" w:rsidRDefault="00932FEC" w:rsidP="003D5B87">
      <w:pPr>
        <w:spacing w:line="360" w:lineRule="auto"/>
      </w:pPr>
      <w:r w:rsidRPr="00331A24">
        <w:t>There has been substantial research done on the association between vitamin D and BMD, finding mixed results o</w:t>
      </w:r>
      <w:r w:rsidR="00BD514A" w:rsidRPr="00331A24">
        <w:t>n</w:t>
      </w:r>
      <w:r w:rsidRPr="00331A24">
        <w:t xml:space="preserve"> different groups. </w:t>
      </w:r>
      <w:r w:rsidR="00A30E60" w:rsidRPr="00331A24">
        <w:t>Bischoff-Ferrari, Heiki A., et al. (2005)</w:t>
      </w:r>
      <w:r w:rsidR="007F39B8" w:rsidRPr="00331A24">
        <w:t xml:space="preserve"> found a significant positive association between serum 25(OH)D and BMD in people with knee osteoarthritis while finding confounding factors such as age, sex, and ethnicity play an important role</w:t>
      </w:r>
      <w:r w:rsidR="00A30E60" w:rsidRPr="00331A24">
        <w:t xml:space="preserve">. </w:t>
      </w:r>
      <w:r w:rsidR="00D3320B" w:rsidRPr="00331A24">
        <w:t>Ensrud, Kristine E., et al. (2009)</w:t>
      </w:r>
      <w:r w:rsidRPr="00331A24">
        <w:t xml:space="preserve"> found that vitamin D levels are related to hip BMD in older men (&gt;65) and </w:t>
      </w:r>
      <w:r w:rsidR="00D3320B" w:rsidRPr="00331A24">
        <w:t>Collins, D., et al. (1998)</w:t>
      </w:r>
      <w:r w:rsidRPr="00331A24">
        <w:t xml:space="preserve"> found an association in postmenopausal women when accounting for age and BMI</w:t>
      </w:r>
      <w:r w:rsidR="00D3320B" w:rsidRPr="00331A24">
        <w:t xml:space="preserve">. </w:t>
      </w:r>
    </w:p>
    <w:p w14:paraId="6686B083" w14:textId="6DD9BA86" w:rsidR="0026101F" w:rsidRPr="00EE0FBF" w:rsidRDefault="00905FC7" w:rsidP="003D5B87">
      <w:pPr>
        <w:pStyle w:val="Heading1"/>
        <w:spacing w:line="360" w:lineRule="auto"/>
        <w:rPr>
          <w:rStyle w:val="apple-converted-space"/>
          <w:rFonts w:ascii="Times New Roman" w:hAnsi="Times New Roman" w:cs="Times New Roman"/>
          <w:b/>
          <w:bCs/>
          <w:color w:val="000000" w:themeColor="text1"/>
          <w:sz w:val="28"/>
          <w:szCs w:val="28"/>
        </w:rPr>
      </w:pPr>
      <w:r w:rsidRPr="00EE0FBF">
        <w:rPr>
          <w:rStyle w:val="apple-converted-space"/>
          <w:rFonts w:ascii="Times New Roman" w:hAnsi="Times New Roman" w:cs="Times New Roman"/>
          <w:b/>
          <w:bCs/>
          <w:color w:val="000000" w:themeColor="text1"/>
          <w:sz w:val="28"/>
          <w:szCs w:val="28"/>
        </w:rPr>
        <w:t>Methodology</w:t>
      </w:r>
    </w:p>
    <w:p w14:paraId="2303D788" w14:textId="21E51B80" w:rsidR="0000742C" w:rsidRPr="00EE0FBF" w:rsidRDefault="0000742C" w:rsidP="003D5B87">
      <w:pPr>
        <w:pStyle w:val="Heading2"/>
        <w:spacing w:line="360" w:lineRule="auto"/>
        <w:rPr>
          <w:rStyle w:val="apple-converted-space"/>
          <w:rFonts w:ascii="Times New Roman" w:hAnsi="Times New Roman" w:cs="Times New Roman"/>
          <w:b/>
          <w:bCs/>
          <w:color w:val="000000" w:themeColor="text1"/>
          <w:sz w:val="24"/>
          <w:szCs w:val="24"/>
        </w:rPr>
      </w:pPr>
      <w:r w:rsidRPr="00EE0FBF">
        <w:rPr>
          <w:rStyle w:val="apple-converted-space"/>
          <w:rFonts w:ascii="Times New Roman" w:hAnsi="Times New Roman" w:cs="Times New Roman"/>
          <w:b/>
          <w:bCs/>
          <w:color w:val="000000" w:themeColor="text1"/>
          <w:sz w:val="24"/>
          <w:szCs w:val="24"/>
        </w:rPr>
        <w:t>Study Objective</w:t>
      </w:r>
    </w:p>
    <w:p w14:paraId="073C7476" w14:textId="754AE18D" w:rsidR="00CC6D6C" w:rsidRPr="00331A24" w:rsidRDefault="0000742C" w:rsidP="003D5B87">
      <w:pPr>
        <w:spacing w:line="360" w:lineRule="auto"/>
        <w:rPr>
          <w:rStyle w:val="apple-converted-space"/>
          <w:lang w:val="en-US"/>
        </w:rPr>
      </w:pPr>
      <w:r w:rsidRPr="00331A24">
        <w:rPr>
          <w:lang w:val="en-US"/>
        </w:rPr>
        <w:t xml:space="preserve">To assess whether vitamin D deficiency is associated with spinal bone mineral density among U.S adults using NHANES 2017-2018 data, incorporating survey weights in both estimation and regression modelling. </w:t>
      </w:r>
    </w:p>
    <w:p w14:paraId="34770E8D" w14:textId="78CF9016" w:rsidR="00764784" w:rsidRPr="00EE0FBF" w:rsidRDefault="0000742C" w:rsidP="003D5B87">
      <w:pPr>
        <w:pStyle w:val="Heading2"/>
        <w:spacing w:line="360" w:lineRule="auto"/>
        <w:rPr>
          <w:rStyle w:val="apple-converted-space"/>
          <w:rFonts w:ascii="Times New Roman" w:hAnsi="Times New Roman" w:cs="Times New Roman"/>
          <w:b/>
          <w:bCs/>
          <w:color w:val="000000" w:themeColor="text1"/>
          <w:sz w:val="24"/>
          <w:szCs w:val="24"/>
        </w:rPr>
      </w:pPr>
      <w:r w:rsidRPr="00EE0FBF">
        <w:rPr>
          <w:rStyle w:val="apple-converted-space"/>
          <w:rFonts w:ascii="Times New Roman" w:hAnsi="Times New Roman" w:cs="Times New Roman"/>
          <w:b/>
          <w:bCs/>
          <w:color w:val="000000" w:themeColor="text1"/>
          <w:sz w:val="24"/>
          <w:szCs w:val="24"/>
        </w:rPr>
        <w:t>Data Source</w:t>
      </w:r>
    </w:p>
    <w:p w14:paraId="462CB62F" w14:textId="643DBB01" w:rsidR="004B6ABA" w:rsidRPr="00331A24" w:rsidRDefault="00733329" w:rsidP="003D5B87">
      <w:pPr>
        <w:pStyle w:val="p2"/>
        <w:spacing w:before="0" w:beforeAutospacing="0" w:after="0" w:afterAutospacing="0" w:line="360" w:lineRule="auto"/>
        <w:rPr>
          <w:color w:val="212121"/>
        </w:rPr>
      </w:pPr>
      <w:r w:rsidRPr="00331A24">
        <w:rPr>
          <w:color w:val="212121"/>
        </w:rPr>
        <w:t>NHANES includes both serum vitamin D and lumbar spine bone mineral density data</w:t>
      </w:r>
      <w:r w:rsidR="00A0011B" w:rsidRPr="00331A24">
        <w:rPr>
          <w:color w:val="212121"/>
        </w:rPr>
        <w:t>sets</w:t>
      </w:r>
      <w:r w:rsidRPr="00331A24">
        <w:rPr>
          <w:color w:val="212121"/>
        </w:rPr>
        <w:t xml:space="preserve"> that are publicly available and can be linked to each other for analysis</w:t>
      </w:r>
      <w:r w:rsidR="00C52579" w:rsidRPr="00331A24">
        <w:rPr>
          <w:color w:val="212121"/>
        </w:rPr>
        <w:t xml:space="preserve"> using the respondent sequence number (SEQN) available in all datasets</w:t>
      </w:r>
      <w:r w:rsidRPr="00331A24">
        <w:rPr>
          <w:color w:val="212121"/>
        </w:rPr>
        <w:t>. It also includes the relevant sampling weights that are essential for accurate</w:t>
      </w:r>
      <w:r w:rsidR="00050263" w:rsidRPr="00331A24">
        <w:rPr>
          <w:color w:val="212121"/>
        </w:rPr>
        <w:t xml:space="preserve"> and representative</w:t>
      </w:r>
      <w:r w:rsidRPr="00331A24">
        <w:rPr>
          <w:color w:val="212121"/>
        </w:rPr>
        <w:t xml:space="preserve"> analysis as outlined earlier. </w:t>
      </w:r>
    </w:p>
    <w:p w14:paraId="6A59CA46" w14:textId="5D1D3FFD" w:rsidR="002056E5" w:rsidRPr="00EE0FBF" w:rsidRDefault="002056E5" w:rsidP="003D5B87">
      <w:pPr>
        <w:pStyle w:val="Heading3"/>
        <w:spacing w:line="360" w:lineRule="auto"/>
        <w:rPr>
          <w:rFonts w:ascii="Times New Roman" w:hAnsi="Times New Roman" w:cs="Times New Roman"/>
          <w:i/>
          <w:iCs/>
          <w:color w:val="000000" w:themeColor="text1"/>
          <w:sz w:val="24"/>
          <w:szCs w:val="24"/>
          <w:u w:val="single"/>
        </w:rPr>
      </w:pPr>
      <w:r w:rsidRPr="00EE0FBF">
        <w:rPr>
          <w:rFonts w:ascii="Times New Roman" w:hAnsi="Times New Roman" w:cs="Times New Roman"/>
          <w:i/>
          <w:iCs/>
          <w:color w:val="000000" w:themeColor="text1"/>
          <w:sz w:val="24"/>
          <w:szCs w:val="24"/>
          <w:u w:val="single"/>
        </w:rPr>
        <w:t>Vitamin D</w:t>
      </w:r>
      <w:r w:rsidR="006245F6" w:rsidRPr="00EE0FBF">
        <w:rPr>
          <w:rFonts w:ascii="Times New Roman" w:hAnsi="Times New Roman" w:cs="Times New Roman"/>
          <w:i/>
          <w:iCs/>
          <w:color w:val="000000" w:themeColor="text1"/>
          <w:sz w:val="24"/>
          <w:szCs w:val="24"/>
          <w:u w:val="single"/>
        </w:rPr>
        <w:t xml:space="preserve"> (</w:t>
      </w:r>
      <w:proofErr w:type="spellStart"/>
      <w:r w:rsidR="006245F6" w:rsidRPr="00EE0FBF">
        <w:rPr>
          <w:rFonts w:ascii="Times New Roman" w:hAnsi="Times New Roman" w:cs="Times New Roman"/>
          <w:i/>
          <w:iCs/>
          <w:color w:val="000000" w:themeColor="text1"/>
          <w:sz w:val="24"/>
          <w:szCs w:val="24"/>
          <w:u w:val="single"/>
        </w:rPr>
        <w:t>VID_J.xpt</w:t>
      </w:r>
      <w:proofErr w:type="spellEnd"/>
      <w:r w:rsidR="006245F6" w:rsidRPr="00EE0FBF">
        <w:rPr>
          <w:rFonts w:ascii="Times New Roman" w:hAnsi="Times New Roman" w:cs="Times New Roman"/>
          <w:i/>
          <w:iCs/>
          <w:color w:val="000000" w:themeColor="text1"/>
          <w:sz w:val="24"/>
          <w:szCs w:val="24"/>
          <w:u w:val="single"/>
        </w:rPr>
        <w:t>)</w:t>
      </w:r>
    </w:p>
    <w:p w14:paraId="3D7EE8BD" w14:textId="77D08D09" w:rsidR="00DD5754" w:rsidRPr="00331A24" w:rsidRDefault="00957AE8" w:rsidP="003D5B87">
      <w:pPr>
        <w:pStyle w:val="p2"/>
        <w:spacing w:before="0" w:beforeAutospacing="0" w:after="0" w:afterAutospacing="0" w:line="360" w:lineRule="auto"/>
        <w:rPr>
          <w:color w:val="212121"/>
        </w:rPr>
      </w:pPr>
      <w:r>
        <w:rPr>
          <w:color w:val="212121"/>
        </w:rPr>
        <w:t>T</w:t>
      </w:r>
      <w:r w:rsidR="005D303A" w:rsidRPr="00331A24">
        <w:rPr>
          <w:color w:val="212121"/>
        </w:rPr>
        <w:t xml:space="preserve">otal 25-Hydroxyvitamin D </w:t>
      </w:r>
      <w:r>
        <w:rPr>
          <w:color w:val="212121"/>
        </w:rPr>
        <w:t xml:space="preserve">will be used in this analysis as the </w:t>
      </w:r>
      <w:r w:rsidR="005D303A" w:rsidRPr="00331A24">
        <w:rPr>
          <w:color w:val="212121"/>
        </w:rPr>
        <w:t xml:space="preserve">measure of serum vitamin D for defining deficiency. This is available </w:t>
      </w:r>
      <w:r w:rsidR="00A24063" w:rsidRPr="00331A24">
        <w:rPr>
          <w:color w:val="212121"/>
        </w:rPr>
        <w:t xml:space="preserve">in a column LBXVIDMS </w:t>
      </w:r>
      <w:r w:rsidR="005D303A" w:rsidRPr="00331A24">
        <w:rPr>
          <w:color w:val="212121"/>
        </w:rPr>
        <w:t>within the dataset</w:t>
      </w:r>
      <w:r w:rsidR="00A24063" w:rsidRPr="00331A24">
        <w:rPr>
          <w:color w:val="212121"/>
        </w:rPr>
        <w:t xml:space="preserve"> </w:t>
      </w:r>
      <w:proofErr w:type="spellStart"/>
      <w:r w:rsidR="00A24063" w:rsidRPr="00331A24">
        <w:rPr>
          <w:color w:val="212121"/>
        </w:rPr>
        <w:t>VID_J.xpt</w:t>
      </w:r>
      <w:proofErr w:type="spellEnd"/>
      <w:r w:rsidR="00D32539" w:rsidRPr="00331A24">
        <w:rPr>
          <w:color w:val="212121"/>
        </w:rPr>
        <w:t xml:space="preserve">, published April 2022, </w:t>
      </w:r>
      <w:r w:rsidR="00A24063" w:rsidRPr="00331A24">
        <w:rPr>
          <w:color w:val="212121"/>
        </w:rPr>
        <w:t xml:space="preserve">which can be found under the Laboratory Data section on the </w:t>
      </w:r>
      <w:r w:rsidR="00345491" w:rsidRPr="00331A24">
        <w:rPr>
          <w:color w:val="212121"/>
        </w:rPr>
        <w:t xml:space="preserve">CDC </w:t>
      </w:r>
      <w:r w:rsidR="00A24063" w:rsidRPr="00331A24">
        <w:rPr>
          <w:color w:val="212121"/>
        </w:rPr>
        <w:t>NHANES 2017-2018 web page. It</w:t>
      </w:r>
      <w:r w:rsidR="005D303A" w:rsidRPr="00331A24">
        <w:rPr>
          <w:color w:val="212121"/>
        </w:rPr>
        <w:t xml:space="preserve"> is the sum of 25-Hydroxyvitamin D2 and 25-Hydroxyvitamin D3 measured in nanomoles per litre (nmol/L)</w:t>
      </w:r>
      <w:r w:rsidR="00416590" w:rsidRPr="00331A24">
        <w:rPr>
          <w:color w:val="212121"/>
        </w:rPr>
        <w:t xml:space="preserve"> of human serum</w:t>
      </w:r>
      <w:r w:rsidR="005D303A" w:rsidRPr="00331A24">
        <w:rPr>
          <w:color w:val="212121"/>
        </w:rPr>
        <w:t xml:space="preserve">. </w:t>
      </w:r>
      <w:r w:rsidR="00416590" w:rsidRPr="00331A24">
        <w:rPr>
          <w:color w:val="212121"/>
        </w:rPr>
        <w:t xml:space="preserve">For context, </w:t>
      </w:r>
      <w:r w:rsidR="00416590" w:rsidRPr="00331A24">
        <w:rPr>
          <w:color w:val="212121"/>
        </w:rPr>
        <w:lastRenderedPageBreak/>
        <w:t xml:space="preserve">human serum is blood with all of the cells and clotting factors removed. </w:t>
      </w:r>
      <w:r w:rsidR="00786F91" w:rsidRPr="00331A24">
        <w:rPr>
          <w:color w:val="212121"/>
        </w:rPr>
        <w:t xml:space="preserve">Vitamin D2 is the </w:t>
      </w:r>
      <w:r w:rsidR="008D2920" w:rsidRPr="00331A24">
        <w:rPr>
          <w:color w:val="212121"/>
        </w:rPr>
        <w:t>form</w:t>
      </w:r>
      <w:r w:rsidR="00786F91" w:rsidRPr="00331A24">
        <w:rPr>
          <w:color w:val="212121"/>
        </w:rPr>
        <w:t xml:space="preserve"> produced by plants when they get sunlight and D3 is the form produced in humans and animals when the skin gets sunlight – thus, we can get D2 from eating some plant products and D3 from eating some animal products</w:t>
      </w:r>
      <w:r w:rsidR="00295FAB" w:rsidRPr="00331A24">
        <w:rPr>
          <w:color w:val="212121"/>
        </w:rPr>
        <w:t>.</w:t>
      </w:r>
      <w:r w:rsidR="002719B2">
        <w:rPr>
          <w:color w:val="212121"/>
        </w:rPr>
        <w:t xml:space="preserve"> </w:t>
      </w:r>
      <w:r w:rsidR="007613DF" w:rsidRPr="00331A24">
        <w:rPr>
          <w:color w:val="212121"/>
        </w:rPr>
        <w:t xml:space="preserve">This information is available on 7,409 males and females </w:t>
      </w:r>
      <w:r w:rsidR="00967C28" w:rsidRPr="00331A24">
        <w:rPr>
          <w:color w:val="212121"/>
        </w:rPr>
        <w:t>of all ages.</w:t>
      </w:r>
      <w:r w:rsidR="007613DF" w:rsidRPr="00331A24">
        <w:rPr>
          <w:color w:val="212121"/>
        </w:rPr>
        <w:t xml:space="preserve"> </w:t>
      </w:r>
    </w:p>
    <w:p w14:paraId="27FC1F00" w14:textId="59A31AB9" w:rsidR="00DD5754" w:rsidRPr="00EE0FBF" w:rsidRDefault="00DD5754" w:rsidP="003D5B87">
      <w:pPr>
        <w:pStyle w:val="Heading3"/>
        <w:spacing w:line="360" w:lineRule="auto"/>
        <w:rPr>
          <w:rFonts w:ascii="Times New Roman" w:hAnsi="Times New Roman" w:cs="Times New Roman"/>
          <w:i/>
          <w:iCs/>
          <w:color w:val="000000" w:themeColor="text1"/>
          <w:sz w:val="24"/>
          <w:szCs w:val="24"/>
          <w:u w:val="single"/>
        </w:rPr>
      </w:pPr>
      <w:r w:rsidRPr="00EE0FBF">
        <w:rPr>
          <w:rFonts w:ascii="Times New Roman" w:hAnsi="Times New Roman" w:cs="Times New Roman"/>
          <w:i/>
          <w:iCs/>
          <w:color w:val="000000" w:themeColor="text1"/>
          <w:sz w:val="24"/>
          <w:szCs w:val="24"/>
          <w:u w:val="single"/>
        </w:rPr>
        <w:t>Spinal Bone Mineral Density (</w:t>
      </w:r>
      <w:proofErr w:type="spellStart"/>
      <w:r w:rsidRPr="00EE0FBF">
        <w:rPr>
          <w:rFonts w:ascii="Times New Roman" w:hAnsi="Times New Roman" w:cs="Times New Roman"/>
          <w:i/>
          <w:iCs/>
          <w:color w:val="000000" w:themeColor="text1"/>
          <w:sz w:val="24"/>
          <w:szCs w:val="24"/>
          <w:u w:val="single"/>
        </w:rPr>
        <w:t>DXXSPN_J.xpt</w:t>
      </w:r>
      <w:proofErr w:type="spellEnd"/>
      <w:r w:rsidRPr="00EE0FBF">
        <w:rPr>
          <w:rFonts w:ascii="Times New Roman" w:hAnsi="Times New Roman" w:cs="Times New Roman"/>
          <w:i/>
          <w:iCs/>
          <w:color w:val="000000" w:themeColor="text1"/>
          <w:sz w:val="24"/>
          <w:szCs w:val="24"/>
          <w:u w:val="single"/>
        </w:rPr>
        <w:t>)</w:t>
      </w:r>
    </w:p>
    <w:p w14:paraId="3C135525" w14:textId="43F266E0" w:rsidR="008F778A" w:rsidRPr="00331A24" w:rsidRDefault="003802D7" w:rsidP="003D5B87">
      <w:pPr>
        <w:pStyle w:val="p2"/>
        <w:spacing w:before="0" w:beforeAutospacing="0" w:after="0" w:afterAutospacing="0" w:line="360" w:lineRule="auto"/>
        <w:rPr>
          <w:color w:val="212121"/>
        </w:rPr>
      </w:pPr>
      <w:r w:rsidRPr="00331A24">
        <w:rPr>
          <w:color w:val="212121"/>
        </w:rPr>
        <w:t xml:space="preserve">We are </w:t>
      </w:r>
      <w:r w:rsidR="00DA6981" w:rsidRPr="00331A24">
        <w:rPr>
          <w:color w:val="212121"/>
        </w:rPr>
        <w:t xml:space="preserve">also </w:t>
      </w:r>
      <w:r w:rsidRPr="00331A24">
        <w:rPr>
          <w:color w:val="212121"/>
        </w:rPr>
        <w:t>interested in the bone mineral density (BMD) of the total</w:t>
      </w:r>
      <w:r w:rsidR="00AB22A7" w:rsidRPr="00331A24">
        <w:rPr>
          <w:color w:val="212121"/>
        </w:rPr>
        <w:t xml:space="preserve"> lumbar</w:t>
      </w:r>
      <w:r w:rsidRPr="00331A24">
        <w:rPr>
          <w:color w:val="212121"/>
        </w:rPr>
        <w:t xml:space="preserve"> spine which is stored in the column DXXOSBMD </w:t>
      </w:r>
      <w:r w:rsidR="00E66129" w:rsidRPr="00331A24">
        <w:rPr>
          <w:color w:val="212121"/>
        </w:rPr>
        <w:t xml:space="preserve">within the dataset </w:t>
      </w:r>
      <w:proofErr w:type="spellStart"/>
      <w:r w:rsidR="00E66129" w:rsidRPr="00331A24">
        <w:rPr>
          <w:color w:val="212121"/>
        </w:rPr>
        <w:t>DXXSPN.xpt</w:t>
      </w:r>
      <w:proofErr w:type="spellEnd"/>
      <w:r w:rsidR="00D32539" w:rsidRPr="00331A24">
        <w:rPr>
          <w:color w:val="212121"/>
        </w:rPr>
        <w:t>, published May 2020,</w:t>
      </w:r>
      <w:r w:rsidR="00E66129" w:rsidRPr="00331A24">
        <w:rPr>
          <w:color w:val="212121"/>
        </w:rPr>
        <w:t xml:space="preserve"> which can be found under the Examination Data section on the </w:t>
      </w:r>
      <w:r w:rsidR="00345491" w:rsidRPr="00331A24">
        <w:rPr>
          <w:color w:val="212121"/>
        </w:rPr>
        <w:t xml:space="preserve">CDC </w:t>
      </w:r>
      <w:r w:rsidR="00E66129" w:rsidRPr="00331A24">
        <w:rPr>
          <w:color w:val="212121"/>
        </w:rPr>
        <w:t>NHANES 2017-2018 web page. It</w:t>
      </w:r>
      <w:r w:rsidRPr="00331A24">
        <w:rPr>
          <w:color w:val="212121"/>
        </w:rPr>
        <w:t xml:space="preserve"> is the sum of the BMD in vertebrae L1 – L4 as measured by DXA scan</w:t>
      </w:r>
      <w:r w:rsidR="001F5C86" w:rsidRPr="00331A24">
        <w:rPr>
          <w:color w:val="212121"/>
        </w:rPr>
        <w:t xml:space="preserve"> and measure</w:t>
      </w:r>
      <w:r w:rsidR="00500A0A" w:rsidRPr="00331A24">
        <w:rPr>
          <w:color w:val="212121"/>
        </w:rPr>
        <w:t>d</w:t>
      </w:r>
      <w:r w:rsidR="001F5C86" w:rsidRPr="00331A24">
        <w:rPr>
          <w:color w:val="212121"/>
        </w:rPr>
        <w:t xml:space="preserve"> in grams per square-</w:t>
      </w:r>
      <w:r w:rsidR="00E33138" w:rsidRPr="00331A24">
        <w:rPr>
          <w:color w:val="212121"/>
        </w:rPr>
        <w:t>centimetre</w:t>
      </w:r>
      <w:r w:rsidR="001F5C86" w:rsidRPr="00331A24">
        <w:rPr>
          <w:color w:val="212121"/>
        </w:rPr>
        <w:t xml:space="preserve"> (</w:t>
      </w:r>
      <w:r w:rsidR="00500A0A" w:rsidRPr="00331A24">
        <w:rPr>
          <w:color w:val="212121"/>
        </w:rPr>
        <w:t>g/cm</w:t>
      </w:r>
      <w:r w:rsidR="00500A0A" w:rsidRPr="00331A24">
        <w:rPr>
          <w:color w:val="212121"/>
          <w:vertAlign w:val="superscript"/>
        </w:rPr>
        <w:t>2</w:t>
      </w:r>
      <w:r w:rsidR="001F5C86" w:rsidRPr="00331A24">
        <w:rPr>
          <w:color w:val="212121"/>
        </w:rPr>
        <w:t>)</w:t>
      </w:r>
      <w:r w:rsidRPr="00331A24">
        <w:rPr>
          <w:color w:val="212121"/>
        </w:rPr>
        <w:t>. Some exclusions apply to this dataset: pregnancy, use of radiographic contrast material, and weight over 450 pounds which is the limit for the DXA table. Also, some scans were invalid at one or more vertebrae</w:t>
      </w:r>
      <w:r w:rsidR="008E1F07" w:rsidRPr="00331A24">
        <w:rPr>
          <w:color w:val="212121"/>
        </w:rPr>
        <w:t>:</w:t>
      </w:r>
      <w:r w:rsidRPr="00331A24">
        <w:rPr>
          <w:color w:val="212121"/>
        </w:rPr>
        <w:t xml:space="preserve"> in this case the total BMD is counted as missing. </w:t>
      </w:r>
      <w:r w:rsidR="00F27770" w:rsidRPr="00331A24">
        <w:rPr>
          <w:color w:val="212121"/>
        </w:rPr>
        <w:t>Th</w:t>
      </w:r>
      <w:r w:rsidR="009C4FFA" w:rsidRPr="00331A24">
        <w:rPr>
          <w:color w:val="212121"/>
        </w:rPr>
        <w:t xml:space="preserve">is </w:t>
      </w:r>
      <w:r w:rsidR="00F27770" w:rsidRPr="00331A24">
        <w:rPr>
          <w:color w:val="212121"/>
        </w:rPr>
        <w:t>information is available on 1,274</w:t>
      </w:r>
      <w:r w:rsidR="003E3961" w:rsidRPr="00331A24">
        <w:rPr>
          <w:color w:val="212121"/>
        </w:rPr>
        <w:t xml:space="preserve"> </w:t>
      </w:r>
      <w:r w:rsidR="00744AF8" w:rsidRPr="00331A24">
        <w:rPr>
          <w:color w:val="212121"/>
        </w:rPr>
        <w:t xml:space="preserve">50-year-old or above </w:t>
      </w:r>
      <w:r w:rsidR="003E3961" w:rsidRPr="00331A24">
        <w:rPr>
          <w:color w:val="212121"/>
        </w:rPr>
        <w:t>males and females</w:t>
      </w:r>
      <w:r w:rsidR="00744AF8" w:rsidRPr="00331A24">
        <w:rPr>
          <w:color w:val="212121"/>
        </w:rPr>
        <w:t>.</w:t>
      </w:r>
      <w:r w:rsidR="003E3961" w:rsidRPr="00331A24">
        <w:rPr>
          <w:color w:val="212121"/>
        </w:rPr>
        <w:t xml:space="preserve"> </w:t>
      </w:r>
    </w:p>
    <w:p w14:paraId="4D98DB02" w14:textId="3EB02FCF" w:rsidR="009606ED" w:rsidRPr="00EE0FBF" w:rsidRDefault="009606ED" w:rsidP="003D5B87">
      <w:pPr>
        <w:pStyle w:val="Heading3"/>
        <w:spacing w:line="360" w:lineRule="auto"/>
        <w:rPr>
          <w:rStyle w:val="apple-converted-space"/>
          <w:rFonts w:ascii="Times New Roman" w:hAnsi="Times New Roman" w:cs="Times New Roman"/>
          <w:i/>
          <w:iCs/>
          <w:color w:val="000000" w:themeColor="text1"/>
          <w:sz w:val="24"/>
          <w:szCs w:val="24"/>
          <w:u w:val="single"/>
        </w:rPr>
      </w:pPr>
      <w:r w:rsidRPr="00EE0FBF">
        <w:rPr>
          <w:rStyle w:val="apple-converted-space"/>
          <w:rFonts w:ascii="Times New Roman" w:hAnsi="Times New Roman" w:cs="Times New Roman"/>
          <w:i/>
          <w:iCs/>
          <w:color w:val="000000" w:themeColor="text1"/>
          <w:sz w:val="24"/>
          <w:szCs w:val="24"/>
          <w:u w:val="single"/>
        </w:rPr>
        <w:t>Demographic Variables and Sampling Weights</w:t>
      </w:r>
      <w:r w:rsidR="00AD7236" w:rsidRPr="00EE0FBF">
        <w:rPr>
          <w:rStyle w:val="apple-converted-space"/>
          <w:rFonts w:ascii="Times New Roman" w:hAnsi="Times New Roman" w:cs="Times New Roman"/>
          <w:i/>
          <w:iCs/>
          <w:color w:val="000000" w:themeColor="text1"/>
          <w:sz w:val="24"/>
          <w:szCs w:val="24"/>
          <w:u w:val="single"/>
        </w:rPr>
        <w:t xml:space="preserve"> (</w:t>
      </w:r>
      <w:proofErr w:type="spellStart"/>
      <w:r w:rsidR="00AD7236" w:rsidRPr="00EE0FBF">
        <w:rPr>
          <w:rStyle w:val="apple-converted-space"/>
          <w:rFonts w:ascii="Times New Roman" w:hAnsi="Times New Roman" w:cs="Times New Roman"/>
          <w:i/>
          <w:iCs/>
          <w:color w:val="000000" w:themeColor="text1"/>
          <w:sz w:val="24"/>
          <w:szCs w:val="24"/>
          <w:u w:val="single"/>
        </w:rPr>
        <w:t>DEMO_J.xpt</w:t>
      </w:r>
      <w:proofErr w:type="spellEnd"/>
      <w:r w:rsidR="00AD7236" w:rsidRPr="00EE0FBF">
        <w:rPr>
          <w:rStyle w:val="apple-converted-space"/>
          <w:rFonts w:ascii="Times New Roman" w:hAnsi="Times New Roman" w:cs="Times New Roman"/>
          <w:i/>
          <w:iCs/>
          <w:color w:val="000000" w:themeColor="text1"/>
          <w:sz w:val="24"/>
          <w:szCs w:val="24"/>
          <w:u w:val="single"/>
        </w:rPr>
        <w:t>)</w:t>
      </w:r>
    </w:p>
    <w:p w14:paraId="55F76F71" w14:textId="2BA34563" w:rsidR="007563E8" w:rsidRPr="00331A24" w:rsidRDefault="007563E8" w:rsidP="003D5B87">
      <w:pPr>
        <w:pStyle w:val="p1"/>
        <w:spacing w:before="0" w:beforeAutospacing="0" w:after="0" w:afterAutospacing="0" w:line="360" w:lineRule="auto"/>
        <w:rPr>
          <w:rFonts w:eastAsiaTheme="majorEastAsia"/>
          <w:color w:val="212121"/>
        </w:rPr>
      </w:pPr>
      <w:r w:rsidRPr="00331A24">
        <w:rPr>
          <w:rFonts w:eastAsiaTheme="majorEastAsia"/>
          <w:color w:val="212121"/>
        </w:rPr>
        <w:t>The demographic file on the NHANES 2017-2018 web page contains individual and household information on survey participants. For our analysis, the key pieces of information we will need are the sample weights, the pseudo-PSUs, and the pseudo-stratum. The reason these are pseudo, is to protect confidentially by not including true strata and PSU identifiers. These mimic the variance structure of the original design and are sufficient to approximate standard errors. In the case of NHANES, there are two pseudo-PSUs per pseudo-stratum and 15 pseudo-strat</w:t>
      </w:r>
      <w:r w:rsidR="00CB19E7" w:rsidRPr="00331A24">
        <w:rPr>
          <w:rFonts w:eastAsiaTheme="majorEastAsia"/>
          <w:color w:val="212121"/>
        </w:rPr>
        <w:t>a</w:t>
      </w:r>
      <w:r w:rsidRPr="00331A24">
        <w:rPr>
          <w:rFonts w:eastAsiaTheme="majorEastAsia"/>
          <w:color w:val="212121"/>
        </w:rPr>
        <w:t xml:space="preserve">. </w:t>
      </w:r>
      <w:r w:rsidR="00992B2F" w:rsidRPr="00331A24">
        <w:rPr>
          <w:rFonts w:eastAsiaTheme="majorEastAsia"/>
          <w:color w:val="212121"/>
        </w:rPr>
        <w:t>The correct sample weight to use depends on the datasets used for the analysis but the NHANES website suggests to use the suggested sample weight from the dataset that was collected on the smallest number of respondent</w:t>
      </w:r>
      <w:r w:rsidR="00217B61" w:rsidRPr="00331A24">
        <w:rPr>
          <w:rFonts w:eastAsiaTheme="majorEastAsia"/>
          <w:color w:val="212121"/>
        </w:rPr>
        <w:t xml:space="preserve">s </w:t>
      </w:r>
      <w:r w:rsidR="00992B2F" w:rsidRPr="00331A24">
        <w:rPr>
          <w:rFonts w:eastAsiaTheme="majorEastAsia"/>
          <w:color w:val="212121"/>
        </w:rPr>
        <w:t xml:space="preserve">– in our case, this is the BMD data and the corresponding sample weight is the full sample 2 year Mobile Examination </w:t>
      </w:r>
      <w:proofErr w:type="spellStart"/>
      <w:r w:rsidR="00992B2F" w:rsidRPr="00331A24">
        <w:rPr>
          <w:rFonts w:eastAsiaTheme="majorEastAsia"/>
          <w:color w:val="212121"/>
        </w:rPr>
        <w:t>Center</w:t>
      </w:r>
      <w:proofErr w:type="spellEnd"/>
      <w:r w:rsidR="00992B2F" w:rsidRPr="00331A24">
        <w:rPr>
          <w:rFonts w:eastAsiaTheme="majorEastAsia"/>
          <w:color w:val="212121"/>
        </w:rPr>
        <w:t xml:space="preserve"> exam weight (WTMEC2YR). </w:t>
      </w:r>
    </w:p>
    <w:p w14:paraId="575B5F5C" w14:textId="77777777" w:rsidR="000E4819" w:rsidRPr="00331A24" w:rsidRDefault="000E4819" w:rsidP="003D5B87">
      <w:pPr>
        <w:pStyle w:val="p1"/>
        <w:spacing w:before="0" w:beforeAutospacing="0" w:after="0" w:afterAutospacing="0" w:line="360" w:lineRule="auto"/>
        <w:rPr>
          <w:rFonts w:eastAsiaTheme="majorEastAsia"/>
          <w:color w:val="212121"/>
        </w:rPr>
      </w:pPr>
    </w:p>
    <w:p w14:paraId="68C2C29D" w14:textId="6C9817D9" w:rsidR="00CF49A7" w:rsidRPr="00CF43DE" w:rsidRDefault="000E4819" w:rsidP="003D5B87">
      <w:pPr>
        <w:pStyle w:val="Heading2"/>
        <w:spacing w:line="360" w:lineRule="auto"/>
        <w:rPr>
          <w:rFonts w:ascii="Times New Roman" w:hAnsi="Times New Roman" w:cs="Times New Roman"/>
          <w:b/>
          <w:bCs/>
          <w:color w:val="000000" w:themeColor="text1"/>
          <w:sz w:val="24"/>
          <w:szCs w:val="24"/>
        </w:rPr>
      </w:pPr>
      <w:r w:rsidRPr="00CF43DE">
        <w:rPr>
          <w:rFonts w:ascii="Times New Roman" w:hAnsi="Times New Roman" w:cs="Times New Roman"/>
          <w:b/>
          <w:bCs/>
          <w:color w:val="000000" w:themeColor="text1"/>
          <w:sz w:val="24"/>
          <w:szCs w:val="24"/>
        </w:rPr>
        <w:t>Statistical Analysis Plan</w:t>
      </w:r>
    </w:p>
    <w:p w14:paraId="68973056" w14:textId="30E29993" w:rsidR="00612005" w:rsidRPr="00331A24" w:rsidRDefault="00612005" w:rsidP="003D5B87">
      <w:pPr>
        <w:spacing w:line="360" w:lineRule="auto"/>
      </w:pPr>
      <w:r w:rsidRPr="00331A24">
        <w:t xml:space="preserve">We will begin by conducting </w:t>
      </w:r>
      <w:r w:rsidRPr="00331A24">
        <w:rPr>
          <w:rStyle w:val="Strong"/>
          <w:rFonts w:eastAsiaTheme="majorEastAsia"/>
          <w:b w:val="0"/>
          <w:bCs w:val="0"/>
        </w:rPr>
        <w:t>design-consistent estimation</w:t>
      </w:r>
      <w:r w:rsidRPr="00331A24">
        <w:t xml:space="preserve"> of means and totals, as recommended by Lumley (2010). Survey-weighted means and proportions will be calculated </w:t>
      </w:r>
      <w:r w:rsidRPr="00331A24">
        <w:lastRenderedPageBreak/>
        <w:t xml:space="preserve">using the </w:t>
      </w:r>
      <w:proofErr w:type="spellStart"/>
      <w:r w:rsidRPr="002E363A">
        <w:rPr>
          <w:rStyle w:val="HTMLCode"/>
          <w:rFonts w:ascii="Times New Roman" w:eastAsiaTheme="majorEastAsia" w:hAnsi="Times New Roman" w:cs="Times New Roman"/>
          <w:i/>
          <w:iCs/>
          <w:sz w:val="24"/>
          <w:szCs w:val="24"/>
        </w:rPr>
        <w:t>svymean</w:t>
      </w:r>
      <w:proofErr w:type="spellEnd"/>
      <w:r w:rsidRPr="002E363A">
        <w:rPr>
          <w:rStyle w:val="HTMLCode"/>
          <w:rFonts w:ascii="Times New Roman" w:eastAsiaTheme="majorEastAsia" w:hAnsi="Times New Roman" w:cs="Times New Roman"/>
          <w:i/>
          <w:iCs/>
          <w:sz w:val="24"/>
          <w:szCs w:val="24"/>
        </w:rPr>
        <w:t>()</w:t>
      </w:r>
      <w:r w:rsidRPr="00331A24">
        <w:t xml:space="preserve"> and </w:t>
      </w:r>
      <w:proofErr w:type="spellStart"/>
      <w:r w:rsidRPr="002E363A">
        <w:rPr>
          <w:rStyle w:val="HTMLCode"/>
          <w:rFonts w:ascii="Times New Roman" w:eastAsiaTheme="majorEastAsia" w:hAnsi="Times New Roman" w:cs="Times New Roman"/>
          <w:i/>
          <w:iCs/>
          <w:sz w:val="24"/>
          <w:szCs w:val="24"/>
        </w:rPr>
        <w:t>svytotal</w:t>
      </w:r>
      <w:proofErr w:type="spellEnd"/>
      <w:r w:rsidRPr="002E363A">
        <w:rPr>
          <w:rStyle w:val="HTMLCode"/>
          <w:rFonts w:ascii="Times New Roman" w:eastAsiaTheme="majorEastAsia" w:hAnsi="Times New Roman" w:cs="Times New Roman"/>
          <w:i/>
          <w:iCs/>
          <w:sz w:val="24"/>
          <w:szCs w:val="24"/>
        </w:rPr>
        <w:t>()</w:t>
      </w:r>
      <w:r w:rsidRPr="00331A24">
        <w:t xml:space="preserve"> functions</w:t>
      </w:r>
      <w:r w:rsidR="002E363A">
        <w:t xml:space="preserve"> from the </w:t>
      </w:r>
      <w:r w:rsidR="002E363A" w:rsidRPr="002E363A">
        <w:rPr>
          <w:i/>
          <w:iCs/>
        </w:rPr>
        <w:t>survey</w:t>
      </w:r>
      <w:r w:rsidR="002E363A">
        <w:t xml:space="preserve"> package in R</w:t>
      </w:r>
      <w:r w:rsidRPr="00331A24">
        <w:t>, respectively. Specifically, we will estimate:</w:t>
      </w:r>
    </w:p>
    <w:p w14:paraId="0B26346D" w14:textId="1C968148" w:rsidR="00612005" w:rsidRPr="00331A24" w:rsidRDefault="00612005" w:rsidP="003D5B87">
      <w:pPr>
        <w:pStyle w:val="ListParagraph"/>
        <w:numPr>
          <w:ilvl w:val="0"/>
          <w:numId w:val="6"/>
        </w:numPr>
        <w:spacing w:line="360" w:lineRule="auto"/>
        <w:rPr>
          <w:rFonts w:ascii="Times New Roman" w:hAnsi="Times New Roman" w:cs="Times New Roman"/>
        </w:rPr>
      </w:pPr>
      <w:r w:rsidRPr="00331A24">
        <w:rPr>
          <w:rFonts w:ascii="Times New Roman" w:hAnsi="Times New Roman" w:cs="Times New Roman"/>
        </w:rPr>
        <w:t xml:space="preserve">The </w:t>
      </w:r>
      <w:r w:rsidRPr="00331A24">
        <w:rPr>
          <w:rStyle w:val="Strong"/>
          <w:rFonts w:ascii="Times New Roman" w:hAnsi="Times New Roman" w:cs="Times New Roman"/>
          <w:b w:val="0"/>
          <w:bCs w:val="0"/>
        </w:rPr>
        <w:t>total number of individuals</w:t>
      </w:r>
      <w:r w:rsidRPr="00331A24">
        <w:rPr>
          <w:rFonts w:ascii="Times New Roman" w:hAnsi="Times New Roman" w:cs="Times New Roman"/>
        </w:rPr>
        <w:t xml:space="preserve"> with vitamin D deficiency (serum 25(OH)D &lt; 30 nmol/L),</w:t>
      </w:r>
    </w:p>
    <w:p w14:paraId="08B5FCA7" w14:textId="45906E47" w:rsidR="00612005" w:rsidRPr="00331A24" w:rsidRDefault="00612005" w:rsidP="003D5B87">
      <w:pPr>
        <w:pStyle w:val="ListParagraph"/>
        <w:numPr>
          <w:ilvl w:val="0"/>
          <w:numId w:val="6"/>
        </w:numPr>
        <w:spacing w:line="360" w:lineRule="auto"/>
        <w:rPr>
          <w:rFonts w:ascii="Times New Roman" w:hAnsi="Times New Roman" w:cs="Times New Roman"/>
        </w:rPr>
      </w:pPr>
      <w:r w:rsidRPr="00331A24">
        <w:rPr>
          <w:rFonts w:ascii="Times New Roman" w:hAnsi="Times New Roman" w:cs="Times New Roman"/>
        </w:rPr>
        <w:t xml:space="preserve">The </w:t>
      </w:r>
      <w:r w:rsidRPr="00331A24">
        <w:rPr>
          <w:rStyle w:val="Strong"/>
          <w:rFonts w:ascii="Times New Roman" w:hAnsi="Times New Roman" w:cs="Times New Roman"/>
          <w:b w:val="0"/>
          <w:bCs w:val="0"/>
        </w:rPr>
        <w:t>mean lumbar spine BMD</w:t>
      </w:r>
      <w:r w:rsidRPr="00331A24">
        <w:rPr>
          <w:rFonts w:ascii="Times New Roman" w:hAnsi="Times New Roman" w:cs="Times New Roman"/>
        </w:rPr>
        <w:t xml:space="preserve"> (variable </w:t>
      </w:r>
      <w:r w:rsidRPr="00331A24">
        <w:rPr>
          <w:rStyle w:val="HTMLCode"/>
          <w:rFonts w:ascii="Times New Roman" w:eastAsiaTheme="majorEastAsia" w:hAnsi="Times New Roman" w:cs="Times New Roman"/>
          <w:sz w:val="24"/>
          <w:szCs w:val="24"/>
        </w:rPr>
        <w:t>DXXOSBMD</w:t>
      </w:r>
      <w:r w:rsidRPr="00331A24">
        <w:rPr>
          <w:rFonts w:ascii="Times New Roman" w:hAnsi="Times New Roman" w:cs="Times New Roman"/>
        </w:rPr>
        <w:t xml:space="preserve">), both </w:t>
      </w:r>
      <w:r w:rsidRPr="00331A24">
        <w:rPr>
          <w:rStyle w:val="Strong"/>
          <w:rFonts w:ascii="Times New Roman" w:hAnsi="Times New Roman" w:cs="Times New Roman"/>
          <w:b w:val="0"/>
          <w:bCs w:val="0"/>
        </w:rPr>
        <w:t xml:space="preserve">overall and </w:t>
      </w:r>
      <w:r w:rsidR="006D624C">
        <w:rPr>
          <w:rStyle w:val="Strong"/>
          <w:rFonts w:ascii="Times New Roman" w:hAnsi="Times New Roman" w:cs="Times New Roman"/>
          <w:b w:val="0"/>
          <w:bCs w:val="0"/>
        </w:rPr>
        <w:t>split</w:t>
      </w:r>
      <w:r w:rsidRPr="00331A24">
        <w:rPr>
          <w:rStyle w:val="Strong"/>
          <w:rFonts w:ascii="Times New Roman" w:hAnsi="Times New Roman" w:cs="Times New Roman"/>
          <w:b w:val="0"/>
          <w:bCs w:val="0"/>
        </w:rPr>
        <w:t xml:space="preserve"> by vitamin D status</w:t>
      </w:r>
      <w:r w:rsidRPr="00331A24">
        <w:rPr>
          <w:rFonts w:ascii="Times New Roman" w:hAnsi="Times New Roman" w:cs="Times New Roman"/>
        </w:rPr>
        <w:t xml:space="preserve"> (deficient vs. sufficient).</w:t>
      </w:r>
    </w:p>
    <w:p w14:paraId="427E6BC6" w14:textId="77777777" w:rsidR="00DC5605" w:rsidRPr="00331A24" w:rsidRDefault="00DC5605" w:rsidP="003D5B87">
      <w:pPr>
        <w:spacing w:line="360" w:lineRule="auto"/>
      </w:pPr>
    </w:p>
    <w:p w14:paraId="1C3165FA" w14:textId="6B18F9EB" w:rsidR="00DC5605" w:rsidRDefault="00612005" w:rsidP="003D5B87">
      <w:pPr>
        <w:spacing w:line="360" w:lineRule="auto"/>
      </w:pPr>
      <w:r w:rsidRPr="00331A24">
        <w:t xml:space="preserve">All estimates will include </w:t>
      </w:r>
      <w:r w:rsidRPr="00331A24">
        <w:rPr>
          <w:rStyle w:val="Strong"/>
          <w:rFonts w:eastAsiaTheme="majorEastAsia"/>
          <w:b w:val="0"/>
          <w:bCs w:val="0"/>
        </w:rPr>
        <w:t>standard errors</w:t>
      </w:r>
      <w:r w:rsidRPr="00331A24">
        <w:t xml:space="preserve"> derived via </w:t>
      </w:r>
      <w:r w:rsidRPr="00331A24">
        <w:rPr>
          <w:rStyle w:val="Strong"/>
          <w:rFonts w:eastAsiaTheme="majorEastAsia"/>
          <w:b w:val="0"/>
          <w:bCs w:val="0"/>
        </w:rPr>
        <w:t>Taylor series linearization</w:t>
      </w:r>
      <w:r w:rsidRPr="00331A24">
        <w:t xml:space="preserve">, the default variance estimation method in the </w:t>
      </w:r>
      <w:r w:rsidRPr="002E363A">
        <w:rPr>
          <w:rStyle w:val="HTMLCode"/>
          <w:rFonts w:ascii="Times New Roman" w:eastAsiaTheme="majorEastAsia" w:hAnsi="Times New Roman" w:cs="Times New Roman"/>
          <w:i/>
          <w:iCs/>
          <w:sz w:val="24"/>
          <w:szCs w:val="24"/>
        </w:rPr>
        <w:t>survey</w:t>
      </w:r>
      <w:r w:rsidRPr="00331A24">
        <w:t xml:space="preserve"> package. We will explicitly compare the estimated proportion of vitamin D deficiency and mean BMD with and without sampling weights to demonstrate the </w:t>
      </w:r>
      <w:r w:rsidRPr="00331A24">
        <w:rPr>
          <w:rStyle w:val="Strong"/>
          <w:rFonts w:eastAsiaTheme="majorEastAsia"/>
          <w:b w:val="0"/>
          <w:bCs w:val="0"/>
        </w:rPr>
        <w:t>impact of weighting</w:t>
      </w:r>
      <w:r w:rsidRPr="00331A24">
        <w:t xml:space="preserve"> on national-level inference. This will highlight how survey weights influence estimates and why their inclusion is essential for unbiased, population-representative results.</w:t>
      </w:r>
    </w:p>
    <w:p w14:paraId="701382A7" w14:textId="77777777" w:rsidR="007B13E3" w:rsidRPr="00331A24" w:rsidRDefault="007B13E3" w:rsidP="003D5B87">
      <w:pPr>
        <w:spacing w:line="360" w:lineRule="auto"/>
      </w:pPr>
    </w:p>
    <w:p w14:paraId="0D090E70" w14:textId="77777777" w:rsidR="00612005" w:rsidRPr="00CF43DE" w:rsidRDefault="00612005" w:rsidP="003D5B87">
      <w:pPr>
        <w:pStyle w:val="Heading3"/>
        <w:spacing w:line="360" w:lineRule="auto"/>
        <w:rPr>
          <w:rFonts w:ascii="Times New Roman" w:hAnsi="Times New Roman" w:cs="Times New Roman"/>
          <w:i/>
          <w:iCs/>
          <w:color w:val="000000" w:themeColor="text1"/>
          <w:sz w:val="24"/>
          <w:szCs w:val="24"/>
          <w:u w:val="single"/>
        </w:rPr>
      </w:pPr>
      <w:r w:rsidRPr="00CF43DE">
        <w:rPr>
          <w:rFonts w:ascii="Times New Roman" w:hAnsi="Times New Roman" w:cs="Times New Roman"/>
          <w:i/>
          <w:iCs/>
          <w:color w:val="000000" w:themeColor="text1"/>
          <w:sz w:val="24"/>
          <w:szCs w:val="24"/>
          <w:u w:val="single"/>
        </w:rPr>
        <w:t>Regression Analysis</w:t>
      </w:r>
    </w:p>
    <w:p w14:paraId="31F3CED2" w14:textId="0A6316C9" w:rsidR="00612005" w:rsidRPr="00331A24" w:rsidRDefault="00612005" w:rsidP="003D5B87">
      <w:pPr>
        <w:spacing w:line="360" w:lineRule="auto"/>
      </w:pPr>
      <w:r w:rsidRPr="00331A24">
        <w:t xml:space="preserve">To evaluate the association between </w:t>
      </w:r>
      <w:r w:rsidRPr="00331A24">
        <w:rPr>
          <w:rStyle w:val="Strong"/>
          <w:rFonts w:eastAsiaTheme="majorEastAsia"/>
          <w:b w:val="0"/>
          <w:bCs w:val="0"/>
        </w:rPr>
        <w:t>vitamin D status</w:t>
      </w:r>
      <w:r w:rsidRPr="00331A24">
        <w:t xml:space="preserve"> and </w:t>
      </w:r>
      <w:r w:rsidRPr="00331A24">
        <w:rPr>
          <w:rStyle w:val="Strong"/>
          <w:rFonts w:eastAsiaTheme="majorEastAsia"/>
          <w:b w:val="0"/>
          <w:bCs w:val="0"/>
        </w:rPr>
        <w:t>lumbar spine BMD</w:t>
      </w:r>
      <w:r w:rsidRPr="00331A24">
        <w:t xml:space="preserve">, we will </w:t>
      </w:r>
      <w:r w:rsidR="00F845C3" w:rsidRPr="00331A24">
        <w:t xml:space="preserve">use the </w:t>
      </w:r>
      <w:proofErr w:type="spellStart"/>
      <w:r w:rsidRPr="002E363A">
        <w:rPr>
          <w:rStyle w:val="HTMLCode"/>
          <w:rFonts w:ascii="Times New Roman" w:eastAsiaTheme="majorEastAsia" w:hAnsi="Times New Roman" w:cs="Times New Roman"/>
          <w:i/>
          <w:iCs/>
          <w:sz w:val="24"/>
          <w:szCs w:val="24"/>
        </w:rPr>
        <w:t>svyglm</w:t>
      </w:r>
      <w:proofErr w:type="spellEnd"/>
      <w:r w:rsidRPr="002E363A">
        <w:rPr>
          <w:rStyle w:val="HTMLCode"/>
          <w:rFonts w:ascii="Times New Roman" w:eastAsiaTheme="majorEastAsia" w:hAnsi="Times New Roman" w:cs="Times New Roman"/>
          <w:i/>
          <w:iCs/>
          <w:sz w:val="24"/>
          <w:szCs w:val="24"/>
        </w:rPr>
        <w:t>()</w:t>
      </w:r>
      <w:r w:rsidRPr="00331A24">
        <w:t xml:space="preserve"> function</w:t>
      </w:r>
      <w:r w:rsidR="00F845C3" w:rsidRPr="00331A24">
        <w:t xml:space="preserve"> in the </w:t>
      </w:r>
      <w:r w:rsidR="00F845C3" w:rsidRPr="002E363A">
        <w:rPr>
          <w:i/>
          <w:iCs/>
        </w:rPr>
        <w:t>survey</w:t>
      </w:r>
      <w:r w:rsidR="00F845C3" w:rsidRPr="00331A24">
        <w:t xml:space="preserve"> package to estimate</w:t>
      </w:r>
      <w:r w:rsidRPr="00331A24">
        <w:t xml:space="preserve"> coefficients </w:t>
      </w:r>
      <w:r w:rsidR="00F845C3" w:rsidRPr="00331A24">
        <w:t xml:space="preserve">in an appropriate way using the </w:t>
      </w:r>
      <w:r w:rsidRPr="00331A24">
        <w:t>complex survey data.</w:t>
      </w:r>
      <w:r w:rsidR="00CB453F" w:rsidRPr="00331A24">
        <w:t xml:space="preserve"> </w:t>
      </w:r>
      <w:r w:rsidR="004729D7">
        <w:t>We will fit a generalized linear model</w:t>
      </w:r>
      <w:r w:rsidRPr="00331A24">
        <w:t xml:space="preserve"> </w:t>
      </w:r>
      <w:r w:rsidR="004729D7">
        <w:t>with BMD as the response and vitamin D status as the main predictor. Confounders will be adjusted for in the model as</w:t>
      </w:r>
      <w:r w:rsidRPr="00331A24">
        <w:t xml:space="preserve"> informed by prior literature, such as:</w:t>
      </w:r>
      <w:r w:rsidR="006F709C">
        <w:t xml:space="preserve"> age, gender, ethnicity, among others</w:t>
      </w:r>
      <w:r w:rsidR="0041519C">
        <w:t xml:space="preserve"> – whilst </w:t>
      </w:r>
      <w:r w:rsidR="003C6951">
        <w:t>taking care</w:t>
      </w:r>
      <w:r w:rsidR="0041519C">
        <w:t xml:space="preserve"> not to include covariates that lie in the causal path between our variables of interest. </w:t>
      </w:r>
      <w:r w:rsidR="004729D7">
        <w:t>Interaction</w:t>
      </w:r>
      <w:r w:rsidR="00AF0D69">
        <w:t>s</w:t>
      </w:r>
      <w:r w:rsidR="004729D7">
        <w:t xml:space="preserve"> between confounders will be investigated and we will examine linearity</w:t>
      </w:r>
      <w:r w:rsidR="00535BE1">
        <w:t xml:space="preserve"> for continuous variables like age</w:t>
      </w:r>
      <w:r w:rsidR="004729D7">
        <w:t xml:space="preserve">. This will also be performed without sampling weights to demonstrate the impact on the inference. </w:t>
      </w:r>
    </w:p>
    <w:p w14:paraId="5E19975B" w14:textId="77777777" w:rsidR="00CB453F" w:rsidRPr="00331A24" w:rsidRDefault="00CB453F" w:rsidP="003D5B87">
      <w:pPr>
        <w:spacing w:line="360" w:lineRule="auto"/>
      </w:pPr>
    </w:p>
    <w:p w14:paraId="41C3EAAB" w14:textId="3750EBBD" w:rsidR="006051B7" w:rsidRPr="00331A24" w:rsidRDefault="00CB453F" w:rsidP="003D5B87">
      <w:pPr>
        <w:spacing w:line="360" w:lineRule="auto"/>
      </w:pPr>
      <w:r w:rsidRPr="00331A24">
        <w:t xml:space="preserve">The </w:t>
      </w:r>
      <w:proofErr w:type="spellStart"/>
      <w:r w:rsidRPr="002E363A">
        <w:rPr>
          <w:rStyle w:val="HTMLCode"/>
          <w:rFonts w:ascii="Times New Roman" w:eastAsiaTheme="majorEastAsia" w:hAnsi="Times New Roman" w:cs="Times New Roman"/>
          <w:i/>
          <w:iCs/>
          <w:sz w:val="24"/>
          <w:szCs w:val="24"/>
        </w:rPr>
        <w:t>svyglm</w:t>
      </w:r>
      <w:proofErr w:type="spellEnd"/>
      <w:r w:rsidRPr="002E363A">
        <w:rPr>
          <w:rStyle w:val="HTMLCode"/>
          <w:rFonts w:ascii="Times New Roman" w:eastAsiaTheme="majorEastAsia" w:hAnsi="Times New Roman" w:cs="Times New Roman"/>
          <w:i/>
          <w:iCs/>
          <w:sz w:val="24"/>
          <w:szCs w:val="24"/>
        </w:rPr>
        <w:t>()</w:t>
      </w:r>
      <w:r w:rsidRPr="00331A24">
        <w:t xml:space="preserve"> function is used to fit generalized linear models (GLMs) that account for complex survey designs. Unlike standard regression functions such as </w:t>
      </w:r>
      <w:proofErr w:type="spellStart"/>
      <w:r w:rsidRPr="002E363A">
        <w:rPr>
          <w:rStyle w:val="HTMLCode"/>
          <w:rFonts w:ascii="Times New Roman" w:eastAsiaTheme="majorEastAsia" w:hAnsi="Times New Roman" w:cs="Times New Roman"/>
          <w:i/>
          <w:iCs/>
          <w:sz w:val="24"/>
          <w:szCs w:val="24"/>
        </w:rPr>
        <w:t>lm</w:t>
      </w:r>
      <w:proofErr w:type="spellEnd"/>
      <w:r w:rsidRPr="002E363A">
        <w:rPr>
          <w:rStyle w:val="HTMLCode"/>
          <w:rFonts w:ascii="Times New Roman" w:eastAsiaTheme="majorEastAsia" w:hAnsi="Times New Roman" w:cs="Times New Roman"/>
          <w:i/>
          <w:iCs/>
          <w:sz w:val="24"/>
          <w:szCs w:val="24"/>
        </w:rPr>
        <w:t>()</w:t>
      </w:r>
      <w:r w:rsidRPr="00331A24">
        <w:t xml:space="preserve"> or </w:t>
      </w:r>
      <w:proofErr w:type="spellStart"/>
      <w:r w:rsidRPr="002E363A">
        <w:rPr>
          <w:rStyle w:val="HTMLCode"/>
          <w:rFonts w:ascii="Times New Roman" w:eastAsiaTheme="majorEastAsia" w:hAnsi="Times New Roman" w:cs="Times New Roman"/>
          <w:i/>
          <w:iCs/>
          <w:sz w:val="24"/>
          <w:szCs w:val="24"/>
        </w:rPr>
        <w:t>glm</w:t>
      </w:r>
      <w:proofErr w:type="spellEnd"/>
      <w:r w:rsidRPr="002E363A">
        <w:rPr>
          <w:rStyle w:val="HTMLCode"/>
          <w:rFonts w:ascii="Times New Roman" w:eastAsiaTheme="majorEastAsia" w:hAnsi="Times New Roman" w:cs="Times New Roman"/>
          <w:i/>
          <w:iCs/>
          <w:sz w:val="24"/>
          <w:szCs w:val="24"/>
        </w:rPr>
        <w:t>()</w:t>
      </w:r>
      <w:r w:rsidRPr="002E363A">
        <w:rPr>
          <w:i/>
          <w:iCs/>
        </w:rPr>
        <w:t>,</w:t>
      </w:r>
      <w:r w:rsidRPr="00331A24">
        <w:t xml:space="preserve"> </w:t>
      </w:r>
      <w:proofErr w:type="spellStart"/>
      <w:r w:rsidRPr="002E363A">
        <w:rPr>
          <w:rStyle w:val="HTMLCode"/>
          <w:rFonts w:ascii="Times New Roman" w:eastAsiaTheme="majorEastAsia" w:hAnsi="Times New Roman" w:cs="Times New Roman"/>
          <w:i/>
          <w:iCs/>
          <w:sz w:val="24"/>
          <w:szCs w:val="24"/>
        </w:rPr>
        <w:t>svyglm</w:t>
      </w:r>
      <w:proofErr w:type="spellEnd"/>
      <w:r w:rsidRPr="002E363A">
        <w:rPr>
          <w:rStyle w:val="HTMLCode"/>
          <w:rFonts w:ascii="Times New Roman" w:eastAsiaTheme="majorEastAsia" w:hAnsi="Times New Roman" w:cs="Times New Roman"/>
          <w:i/>
          <w:iCs/>
          <w:sz w:val="24"/>
          <w:szCs w:val="24"/>
        </w:rPr>
        <w:t>()</w:t>
      </w:r>
      <w:r w:rsidRPr="00331A24">
        <w:t xml:space="preserve"> incorporates survey weights, stratification, and clustering to produce valid population-level inferences. </w:t>
      </w:r>
      <w:r w:rsidR="009D16E1" w:rsidRPr="00331A24">
        <w:t>This function does not take the weights as direct input but instead takes a survey</w:t>
      </w:r>
      <w:r w:rsidR="00B70942" w:rsidRPr="00331A24">
        <w:t xml:space="preserve"> </w:t>
      </w:r>
      <w:r w:rsidR="009D16E1" w:rsidRPr="00331A24">
        <w:t xml:space="preserve">design object created using the </w:t>
      </w:r>
      <w:proofErr w:type="spellStart"/>
      <w:r w:rsidR="009D16E1" w:rsidRPr="002E363A">
        <w:rPr>
          <w:i/>
          <w:iCs/>
        </w:rPr>
        <w:t>svydesign</w:t>
      </w:r>
      <w:proofErr w:type="spellEnd"/>
      <w:r w:rsidR="009D16E1" w:rsidRPr="002E363A">
        <w:rPr>
          <w:i/>
          <w:iCs/>
        </w:rPr>
        <w:t>()</w:t>
      </w:r>
      <w:r w:rsidR="009D16E1" w:rsidRPr="00331A24">
        <w:t xml:space="preserve"> function. </w:t>
      </w:r>
    </w:p>
    <w:p w14:paraId="0887FF2F" w14:textId="77777777" w:rsidR="006051B7" w:rsidRPr="00331A24" w:rsidRDefault="006051B7" w:rsidP="003D5B87">
      <w:pPr>
        <w:spacing w:line="360" w:lineRule="auto"/>
      </w:pPr>
    </w:p>
    <w:p w14:paraId="45C8B38A" w14:textId="52B43902" w:rsidR="00CB453F" w:rsidRPr="00331A24" w:rsidRDefault="00CB453F" w:rsidP="003D5B87">
      <w:pPr>
        <w:spacing w:line="360" w:lineRule="auto"/>
      </w:pPr>
      <w:r w:rsidRPr="00331A24">
        <w:t xml:space="preserve">The survey design object is central to all analyses with the </w:t>
      </w:r>
      <w:r w:rsidRPr="00331A24">
        <w:rPr>
          <w:rStyle w:val="HTMLCode"/>
          <w:rFonts w:ascii="Times New Roman" w:eastAsiaTheme="majorEastAsia" w:hAnsi="Times New Roman" w:cs="Times New Roman"/>
          <w:sz w:val="24"/>
          <w:szCs w:val="24"/>
        </w:rPr>
        <w:t>survey</w:t>
      </w:r>
      <w:r w:rsidRPr="00331A24">
        <w:t xml:space="preserve"> package. It tells R how the data were collected and how each observation should be weighted. The design object includes </w:t>
      </w:r>
      <w:r w:rsidRPr="00331A24">
        <w:lastRenderedPageBreak/>
        <w:t xml:space="preserve">the sampling weights, strata identifiers, and cluster (PSU) identifiers, all of which are required to account for the sampling process and to estimate variance correctly using Taylor series linearization. </w:t>
      </w:r>
      <w:r w:rsidR="00B70942" w:rsidRPr="00331A24">
        <w:t xml:space="preserve">In our case, calling the function </w:t>
      </w:r>
      <w:r w:rsidR="00E53FCD" w:rsidRPr="00331A24">
        <w:t xml:space="preserve">is </w:t>
      </w:r>
      <w:r w:rsidR="00807400" w:rsidRPr="00331A24">
        <w:t>done as follows</w:t>
      </w:r>
      <w:r w:rsidR="002140E2">
        <w:t>:</w:t>
      </w:r>
    </w:p>
    <w:p w14:paraId="57328E54" w14:textId="77777777" w:rsidR="00B70942" w:rsidRPr="00331A24" w:rsidRDefault="00B70942" w:rsidP="003D5B87">
      <w:pPr>
        <w:spacing w:line="360" w:lineRule="auto"/>
      </w:pPr>
    </w:p>
    <w:p w14:paraId="20434B97" w14:textId="77777777" w:rsidR="006022AD" w:rsidRDefault="00B70942" w:rsidP="006022AD">
      <w:pPr>
        <w:spacing w:line="360" w:lineRule="auto"/>
        <w:rPr>
          <w:i/>
          <w:iCs/>
        </w:rPr>
      </w:pPr>
      <w:proofErr w:type="spellStart"/>
      <w:r w:rsidRPr="002E363A">
        <w:rPr>
          <w:i/>
          <w:iCs/>
        </w:rPr>
        <w:t>svydesign</w:t>
      </w:r>
      <w:proofErr w:type="spellEnd"/>
      <w:r w:rsidRPr="002E363A">
        <w:rPr>
          <w:i/>
          <w:iCs/>
        </w:rPr>
        <w:t>(ids = ~SDMVPSU</w:t>
      </w:r>
      <w:r w:rsidR="006022AD">
        <w:rPr>
          <w:i/>
          <w:iCs/>
        </w:rPr>
        <w:t>,</w:t>
      </w:r>
    </w:p>
    <w:p w14:paraId="1D1E871F" w14:textId="415F8187" w:rsidR="006022AD" w:rsidRDefault="006022AD" w:rsidP="006022AD">
      <w:pPr>
        <w:spacing w:line="360" w:lineRule="auto"/>
        <w:ind w:firstLine="720"/>
        <w:rPr>
          <w:i/>
          <w:iCs/>
        </w:rPr>
      </w:pPr>
      <w:r>
        <w:rPr>
          <w:i/>
          <w:iCs/>
        </w:rPr>
        <w:t xml:space="preserve">    </w:t>
      </w:r>
      <w:r w:rsidR="00B70942" w:rsidRPr="002E363A">
        <w:rPr>
          <w:i/>
          <w:iCs/>
        </w:rPr>
        <w:t>strata = ~SDMVSTRA,</w:t>
      </w:r>
    </w:p>
    <w:p w14:paraId="218FFCD7" w14:textId="6F058C10" w:rsidR="00B70942" w:rsidRPr="002E363A" w:rsidRDefault="006022AD" w:rsidP="006022AD">
      <w:pPr>
        <w:spacing w:line="360" w:lineRule="auto"/>
        <w:rPr>
          <w:i/>
          <w:iCs/>
        </w:rPr>
      </w:pPr>
      <w:r>
        <w:rPr>
          <w:i/>
          <w:iCs/>
        </w:rPr>
        <w:t xml:space="preserve">                </w:t>
      </w:r>
      <w:r w:rsidR="00B70942" w:rsidRPr="002E363A">
        <w:rPr>
          <w:i/>
          <w:iCs/>
        </w:rPr>
        <w:t>weights = ~WTMEC2YR,</w:t>
      </w:r>
    </w:p>
    <w:p w14:paraId="2BE38931" w14:textId="4F216E97" w:rsidR="00B70942" w:rsidRPr="002E363A" w:rsidRDefault="006022AD" w:rsidP="006022AD">
      <w:pPr>
        <w:spacing w:line="360" w:lineRule="auto"/>
        <w:rPr>
          <w:i/>
          <w:iCs/>
        </w:rPr>
      </w:pPr>
      <w:r>
        <w:rPr>
          <w:i/>
          <w:iCs/>
        </w:rPr>
        <w:t xml:space="preserve">                </w:t>
      </w:r>
      <w:r w:rsidR="00B70942" w:rsidRPr="002E363A">
        <w:rPr>
          <w:i/>
          <w:iCs/>
        </w:rPr>
        <w:t>data = audience,</w:t>
      </w:r>
    </w:p>
    <w:p w14:paraId="79E79928" w14:textId="5117B881" w:rsidR="00B70942" w:rsidRPr="002E363A" w:rsidRDefault="006022AD" w:rsidP="006022AD">
      <w:pPr>
        <w:spacing w:line="360" w:lineRule="auto"/>
        <w:rPr>
          <w:i/>
          <w:iCs/>
        </w:rPr>
      </w:pPr>
      <w:r>
        <w:rPr>
          <w:i/>
          <w:iCs/>
        </w:rPr>
        <w:t xml:space="preserve">                </w:t>
      </w:r>
      <w:r w:rsidR="00B70942" w:rsidRPr="002E363A">
        <w:rPr>
          <w:i/>
          <w:iCs/>
        </w:rPr>
        <w:t>nest = TRUE)</w:t>
      </w:r>
    </w:p>
    <w:p w14:paraId="017116BF" w14:textId="77777777" w:rsidR="00CB453F" w:rsidRPr="00331A24" w:rsidRDefault="00CB453F" w:rsidP="003D5B87">
      <w:pPr>
        <w:spacing w:line="360" w:lineRule="auto"/>
      </w:pPr>
    </w:p>
    <w:p w14:paraId="3F9CA168" w14:textId="6725A3CD" w:rsidR="00CB453F" w:rsidRPr="00331A24" w:rsidRDefault="002140E2" w:rsidP="003D5B87">
      <w:pPr>
        <w:spacing w:line="360" w:lineRule="auto"/>
      </w:pPr>
      <w:r>
        <w:t xml:space="preserve">The </w:t>
      </w:r>
      <w:r w:rsidRPr="00AC1839">
        <w:rPr>
          <w:i/>
          <w:iCs/>
        </w:rPr>
        <w:t>nest</w:t>
      </w:r>
      <w:r>
        <w:t xml:space="preserve"> argument specifies if the strata values are reused for each PSU, the function itself will throw an error if any strata value occurs in multiple PSUs without this argument set to </w:t>
      </w:r>
      <w:r w:rsidR="00AC1839" w:rsidRPr="00AC1839">
        <w:rPr>
          <w:i/>
          <w:iCs/>
        </w:rPr>
        <w:t>TRUE</w:t>
      </w:r>
      <w:r>
        <w:t xml:space="preserve">. </w:t>
      </w:r>
      <w:r w:rsidR="00CB453F" w:rsidRPr="00331A24">
        <w:t xml:space="preserve">Once the design object is defined, it can be passed </w:t>
      </w:r>
      <w:r w:rsidR="00CB453F" w:rsidRPr="00AC1839">
        <w:t>to</w:t>
      </w:r>
      <w:r w:rsidR="00CB453F" w:rsidRPr="00AC1839">
        <w:rPr>
          <w:i/>
          <w:iCs/>
        </w:rPr>
        <w:t xml:space="preserve"> </w:t>
      </w:r>
      <w:proofErr w:type="spellStart"/>
      <w:r w:rsidR="00CB453F" w:rsidRPr="00AC1839">
        <w:rPr>
          <w:rStyle w:val="HTMLCode"/>
          <w:rFonts w:ascii="Times New Roman" w:eastAsiaTheme="majorEastAsia" w:hAnsi="Times New Roman" w:cs="Times New Roman"/>
          <w:i/>
          <w:iCs/>
          <w:sz w:val="24"/>
          <w:szCs w:val="24"/>
        </w:rPr>
        <w:t>svyglm</w:t>
      </w:r>
      <w:proofErr w:type="spellEnd"/>
      <w:r w:rsidR="00CB453F" w:rsidRPr="00AC1839">
        <w:rPr>
          <w:rStyle w:val="HTMLCode"/>
          <w:rFonts w:ascii="Times New Roman" w:eastAsiaTheme="majorEastAsia" w:hAnsi="Times New Roman" w:cs="Times New Roman"/>
          <w:i/>
          <w:iCs/>
          <w:sz w:val="24"/>
          <w:szCs w:val="24"/>
        </w:rPr>
        <w:t>()</w:t>
      </w:r>
      <w:r w:rsidR="00E36370" w:rsidRPr="00AC1839">
        <w:rPr>
          <w:i/>
          <w:iCs/>
        </w:rPr>
        <w:t xml:space="preserve">, </w:t>
      </w:r>
      <w:proofErr w:type="spellStart"/>
      <w:r w:rsidR="00E36370" w:rsidRPr="00AC1839">
        <w:rPr>
          <w:i/>
          <w:iCs/>
        </w:rPr>
        <w:t>svytotal</w:t>
      </w:r>
      <w:proofErr w:type="spellEnd"/>
      <w:r w:rsidR="00E36370" w:rsidRPr="00AC1839">
        <w:rPr>
          <w:i/>
          <w:iCs/>
        </w:rPr>
        <w:t xml:space="preserve">(), </w:t>
      </w:r>
      <w:proofErr w:type="spellStart"/>
      <w:r w:rsidR="00E36370" w:rsidRPr="00AC1839">
        <w:rPr>
          <w:i/>
          <w:iCs/>
        </w:rPr>
        <w:t>svymean</w:t>
      </w:r>
      <w:proofErr w:type="spellEnd"/>
      <w:r w:rsidR="00E36370" w:rsidRPr="00AC1839">
        <w:rPr>
          <w:i/>
          <w:iCs/>
        </w:rPr>
        <w:t>(),</w:t>
      </w:r>
      <w:r w:rsidR="00E36370">
        <w:t xml:space="preserve"> and many other options </w:t>
      </w:r>
      <w:r w:rsidR="00CB453F" w:rsidRPr="00331A24">
        <w:t xml:space="preserve">in place of a standard dataset. The model formula is specified in </w:t>
      </w:r>
      <w:r w:rsidR="006A764C">
        <w:t>a similar way</w:t>
      </w:r>
      <w:r w:rsidR="00CB453F" w:rsidRPr="00331A24">
        <w:t xml:space="preserve"> as </w:t>
      </w:r>
      <w:r w:rsidR="006A764C">
        <w:t xml:space="preserve">done </w:t>
      </w:r>
      <w:r w:rsidR="00CB453F" w:rsidRPr="00331A24">
        <w:t xml:space="preserve">with </w:t>
      </w:r>
      <w:proofErr w:type="spellStart"/>
      <w:r w:rsidR="00CB453F" w:rsidRPr="00AC1839">
        <w:rPr>
          <w:rStyle w:val="HTMLCode"/>
          <w:rFonts w:ascii="Times New Roman" w:eastAsiaTheme="majorEastAsia" w:hAnsi="Times New Roman" w:cs="Times New Roman"/>
          <w:i/>
          <w:iCs/>
          <w:sz w:val="24"/>
          <w:szCs w:val="24"/>
        </w:rPr>
        <w:t>glm</w:t>
      </w:r>
      <w:proofErr w:type="spellEnd"/>
      <w:r w:rsidR="00CB453F" w:rsidRPr="00AC1839">
        <w:rPr>
          <w:rStyle w:val="HTMLCode"/>
          <w:rFonts w:ascii="Times New Roman" w:eastAsiaTheme="majorEastAsia" w:hAnsi="Times New Roman" w:cs="Times New Roman"/>
          <w:i/>
          <w:iCs/>
          <w:sz w:val="24"/>
          <w:szCs w:val="24"/>
        </w:rPr>
        <w:t>()</w:t>
      </w:r>
      <w:r w:rsidR="00CB453F" w:rsidRPr="00AC1839">
        <w:rPr>
          <w:i/>
          <w:iCs/>
        </w:rPr>
        <w:t>,</w:t>
      </w:r>
      <w:r w:rsidR="00CB453F" w:rsidRPr="00331A24">
        <w:t xml:space="preserve"> but the function uses the information in the design object to correctly estimate coefficients and standard errors. This approach ensures that inferences reflect the structure of the survey and can be generalized to the broader population.</w:t>
      </w:r>
    </w:p>
    <w:p w14:paraId="4FFAAC86" w14:textId="77777777" w:rsidR="0006136A" w:rsidRDefault="0006136A" w:rsidP="003D5B87">
      <w:pPr>
        <w:spacing w:line="360" w:lineRule="auto"/>
      </w:pPr>
    </w:p>
    <w:p w14:paraId="36C23BF8" w14:textId="77777777" w:rsidR="00AB08EA" w:rsidRDefault="00AB08EA" w:rsidP="003D5B87">
      <w:pPr>
        <w:spacing w:line="360" w:lineRule="auto"/>
      </w:pPr>
    </w:p>
    <w:p w14:paraId="50339FA3" w14:textId="77777777" w:rsidR="00AB08EA" w:rsidRDefault="00AB08EA" w:rsidP="003D5B87">
      <w:pPr>
        <w:spacing w:line="360" w:lineRule="auto"/>
      </w:pPr>
    </w:p>
    <w:p w14:paraId="3567D442" w14:textId="77777777" w:rsidR="00AB08EA" w:rsidRDefault="00AB08EA" w:rsidP="003D5B87">
      <w:pPr>
        <w:spacing w:line="360" w:lineRule="auto"/>
      </w:pPr>
    </w:p>
    <w:p w14:paraId="15C8321E" w14:textId="77777777" w:rsidR="00AB08EA" w:rsidRDefault="00AB08EA" w:rsidP="003D5B87">
      <w:pPr>
        <w:spacing w:line="360" w:lineRule="auto"/>
      </w:pPr>
    </w:p>
    <w:p w14:paraId="32A06365" w14:textId="77777777" w:rsidR="00AB08EA" w:rsidRDefault="00AB08EA" w:rsidP="003D5B87">
      <w:pPr>
        <w:spacing w:line="360" w:lineRule="auto"/>
      </w:pPr>
    </w:p>
    <w:p w14:paraId="1DFE2504" w14:textId="77777777" w:rsidR="00AB08EA" w:rsidRDefault="00AB08EA" w:rsidP="003D5B87">
      <w:pPr>
        <w:spacing w:line="360" w:lineRule="auto"/>
      </w:pPr>
    </w:p>
    <w:p w14:paraId="34E939F0" w14:textId="77777777" w:rsidR="00AB08EA" w:rsidRDefault="00AB08EA" w:rsidP="003D5B87">
      <w:pPr>
        <w:spacing w:line="360" w:lineRule="auto"/>
      </w:pPr>
    </w:p>
    <w:p w14:paraId="7CA384F8" w14:textId="77777777" w:rsidR="00AB08EA" w:rsidRDefault="00AB08EA" w:rsidP="003D5B87">
      <w:pPr>
        <w:spacing w:line="360" w:lineRule="auto"/>
      </w:pPr>
    </w:p>
    <w:p w14:paraId="7F3BDD2A" w14:textId="77777777" w:rsidR="00AB08EA" w:rsidRDefault="00AB08EA" w:rsidP="003D5B87">
      <w:pPr>
        <w:spacing w:line="360" w:lineRule="auto"/>
      </w:pPr>
    </w:p>
    <w:p w14:paraId="478C3A23" w14:textId="77777777" w:rsidR="00AB08EA" w:rsidRDefault="00AB08EA" w:rsidP="003D5B87">
      <w:pPr>
        <w:spacing w:line="360" w:lineRule="auto"/>
      </w:pPr>
    </w:p>
    <w:p w14:paraId="0CB2F6EF" w14:textId="77777777" w:rsidR="00AB08EA" w:rsidRDefault="00AB08EA" w:rsidP="003D5B87">
      <w:pPr>
        <w:spacing w:line="360" w:lineRule="auto"/>
      </w:pPr>
    </w:p>
    <w:p w14:paraId="4F944B1D" w14:textId="77777777" w:rsidR="00AB08EA" w:rsidRPr="00331A24" w:rsidRDefault="00AB08EA" w:rsidP="003D5B87">
      <w:pPr>
        <w:spacing w:line="360" w:lineRule="auto"/>
      </w:pPr>
    </w:p>
    <w:p w14:paraId="28253B36" w14:textId="3B981B99" w:rsidR="00331A24" w:rsidRPr="00C738CD" w:rsidRDefault="00F45268" w:rsidP="00D82212">
      <w:pPr>
        <w:pStyle w:val="Heading1"/>
        <w:spacing w:line="360" w:lineRule="auto"/>
        <w:rPr>
          <w:rFonts w:ascii="Times New Roman" w:hAnsi="Times New Roman" w:cs="Times New Roman"/>
          <w:b/>
          <w:bCs/>
          <w:color w:val="000000" w:themeColor="text1"/>
          <w:sz w:val="28"/>
          <w:szCs w:val="28"/>
        </w:rPr>
      </w:pPr>
      <w:r w:rsidRPr="00C738CD">
        <w:rPr>
          <w:rFonts w:ascii="Times New Roman" w:hAnsi="Times New Roman" w:cs="Times New Roman"/>
          <w:b/>
          <w:bCs/>
          <w:color w:val="000000" w:themeColor="text1"/>
          <w:sz w:val="28"/>
          <w:szCs w:val="28"/>
        </w:rPr>
        <w:lastRenderedPageBreak/>
        <w:t>References</w:t>
      </w:r>
    </w:p>
    <w:p w14:paraId="3093FC6E" w14:textId="77777777" w:rsidR="00876AD0" w:rsidRDefault="00876AD0" w:rsidP="00FD4494">
      <w:pPr>
        <w:spacing w:line="360" w:lineRule="auto"/>
        <w:ind w:left="480" w:hanging="480"/>
      </w:pPr>
      <w:r>
        <w:t xml:space="preserve">Bischoff‐Ferrari, Heike A., et al. ‘Positive Association between Serum 25‐hydroxyvitamin D Level and Bone Density in Osteoarthritis’. </w:t>
      </w:r>
      <w:r>
        <w:rPr>
          <w:i/>
          <w:iCs/>
        </w:rPr>
        <w:t>Arthritis Care &amp; Research</w:t>
      </w:r>
      <w:r>
        <w:t xml:space="preserve">, vol. 53, no. 6, Dec. 2005, pp. 821–26. </w:t>
      </w:r>
      <w:r>
        <w:rPr>
          <w:i/>
          <w:iCs/>
        </w:rPr>
        <w:t>DOI.org (</w:t>
      </w:r>
      <w:proofErr w:type="spellStart"/>
      <w:r>
        <w:rPr>
          <w:i/>
          <w:iCs/>
        </w:rPr>
        <w:t>Crossref</w:t>
      </w:r>
      <w:proofErr w:type="spellEnd"/>
      <w:r>
        <w:rPr>
          <w:i/>
          <w:iCs/>
        </w:rPr>
        <w:t>)</w:t>
      </w:r>
      <w:r>
        <w:t>, https://doi.org/10.1002/art.21601.</w:t>
      </w:r>
    </w:p>
    <w:p w14:paraId="3847E626" w14:textId="77777777" w:rsidR="00876AD0" w:rsidRDefault="00876AD0" w:rsidP="00FD4494">
      <w:pPr>
        <w:spacing w:line="360" w:lineRule="auto"/>
        <w:ind w:left="480" w:hanging="480"/>
      </w:pPr>
      <w:r>
        <w:rPr>
          <w:i/>
          <w:iCs/>
        </w:rPr>
        <w:t xml:space="preserve">Bone Health Basics - </w:t>
      </w:r>
      <w:proofErr w:type="spellStart"/>
      <w:r>
        <w:rPr>
          <w:i/>
          <w:iCs/>
        </w:rPr>
        <w:t>OrthoInfo</w:t>
      </w:r>
      <w:proofErr w:type="spellEnd"/>
      <w:r>
        <w:rPr>
          <w:i/>
          <w:iCs/>
        </w:rPr>
        <w:t xml:space="preserve"> - AAOS</w:t>
      </w:r>
      <w:r>
        <w:t>. https://www.orthoinfo.org/en/staying-healthy/bone-health-basics/. Accessed 3 Aug. 2025.</w:t>
      </w:r>
    </w:p>
    <w:p w14:paraId="3954FFA5" w14:textId="77777777" w:rsidR="00876AD0" w:rsidRDefault="00876AD0" w:rsidP="00FD4494">
      <w:pPr>
        <w:spacing w:line="360" w:lineRule="auto"/>
        <w:ind w:left="480" w:hanging="480"/>
      </w:pPr>
      <w:r>
        <w:t xml:space="preserve">Branch, NIAMS Science Communications and Outreach. ‘Bone Mineral Density Tests: What the Numbers Mean’. </w:t>
      </w:r>
      <w:r>
        <w:rPr>
          <w:i/>
          <w:iCs/>
        </w:rPr>
        <w:t>National Institute of Arthritis and Musculoskeletal and Skin Diseases</w:t>
      </w:r>
      <w:r>
        <w:t>, 5 May 2023, https://www.niams.nih.gov/health-topics/bone-mineral-density-tests-what-numbers-mean.</w:t>
      </w:r>
    </w:p>
    <w:p w14:paraId="0CE02D7E" w14:textId="77777777" w:rsidR="00876AD0" w:rsidRDefault="00876AD0" w:rsidP="00FD4494">
      <w:pPr>
        <w:spacing w:line="360" w:lineRule="auto"/>
        <w:ind w:left="480" w:hanging="480"/>
      </w:pPr>
      <w:r>
        <w:t>Chang, Fei-</w:t>
      </w:r>
      <w:proofErr w:type="spellStart"/>
      <w:r>
        <w:t>xia</w:t>
      </w:r>
      <w:proofErr w:type="spellEnd"/>
      <w:r>
        <w:t xml:space="preserve">, et al. ‘Lumbar Spine Bone Mineral Density Measurement: Comparison of Dual-Energy X-Ray Absorptiometry and Fat Content Evaluation by Dixon Chemical Shift MRI’. </w:t>
      </w:r>
      <w:r>
        <w:rPr>
          <w:i/>
          <w:iCs/>
        </w:rPr>
        <w:t>International Journal of General Medicine</w:t>
      </w:r>
      <w:r>
        <w:t xml:space="preserve">, vol. 15, Aug. 2022, pp. 6415–24. </w:t>
      </w:r>
      <w:r>
        <w:rPr>
          <w:i/>
          <w:iCs/>
        </w:rPr>
        <w:t>PubMed Central</w:t>
      </w:r>
      <w:r>
        <w:t>, https://doi.org/10.2147/IJGM.S370814.</w:t>
      </w:r>
    </w:p>
    <w:p w14:paraId="0F3DF85E" w14:textId="77777777" w:rsidR="00876AD0" w:rsidRDefault="00876AD0" w:rsidP="00FD4494">
      <w:pPr>
        <w:spacing w:line="360" w:lineRule="auto"/>
        <w:ind w:left="480" w:hanging="480"/>
      </w:pPr>
      <w:r>
        <w:t xml:space="preserve">Collins, D., et al. ‘Vitamin D and Bone Mineral Density’. </w:t>
      </w:r>
      <w:r>
        <w:rPr>
          <w:i/>
          <w:iCs/>
        </w:rPr>
        <w:t>Osteoporosis International</w:t>
      </w:r>
      <w:r>
        <w:t xml:space="preserve">, vol. 8, no. 2, Mar. 1998, pp. 110–14. </w:t>
      </w:r>
      <w:r>
        <w:rPr>
          <w:i/>
          <w:iCs/>
        </w:rPr>
        <w:t>Springer Link</w:t>
      </w:r>
      <w:r>
        <w:t>, https://doi.org/10.1007/BF02672505.</w:t>
      </w:r>
    </w:p>
    <w:p w14:paraId="576DED76" w14:textId="77777777" w:rsidR="00876AD0" w:rsidRDefault="00876AD0" w:rsidP="00FD4494">
      <w:pPr>
        <w:spacing w:line="360" w:lineRule="auto"/>
        <w:ind w:left="480" w:hanging="480"/>
      </w:pPr>
      <w:r>
        <w:t xml:space="preserve">Ensrud, Kristine E., et al. ‘Serum 25-Hydroxyvitamin D Levels and Rate of Hip Bone Loss in Older Men’. </w:t>
      </w:r>
      <w:r>
        <w:rPr>
          <w:i/>
          <w:iCs/>
        </w:rPr>
        <w:t>The Journal of Clinical Endocrinology &amp; Metabolism</w:t>
      </w:r>
      <w:r>
        <w:t xml:space="preserve">, vol. 94, no. 8, Aug. 2009, pp. 2773–80. </w:t>
      </w:r>
      <w:r>
        <w:rPr>
          <w:i/>
          <w:iCs/>
        </w:rPr>
        <w:t>DOI.org (</w:t>
      </w:r>
      <w:proofErr w:type="spellStart"/>
      <w:r>
        <w:rPr>
          <w:i/>
          <w:iCs/>
        </w:rPr>
        <w:t>Crossref</w:t>
      </w:r>
      <w:proofErr w:type="spellEnd"/>
      <w:r>
        <w:rPr>
          <w:i/>
          <w:iCs/>
        </w:rPr>
        <w:t>)</w:t>
      </w:r>
      <w:r>
        <w:t>, https://doi.org/10.1210/jc.2008-2786.</w:t>
      </w:r>
    </w:p>
    <w:p w14:paraId="2F3BB45D" w14:textId="77777777" w:rsidR="00876AD0" w:rsidRDefault="00876AD0" w:rsidP="00FD4494">
      <w:pPr>
        <w:spacing w:line="360" w:lineRule="auto"/>
        <w:ind w:left="480" w:hanging="480"/>
      </w:pPr>
      <w:r>
        <w:t xml:space="preserve">Holick, Michael F. ‘Vitamin D and Bone Health’. </w:t>
      </w:r>
      <w:r>
        <w:rPr>
          <w:i/>
          <w:iCs/>
        </w:rPr>
        <w:t>The Journal of Nutrition</w:t>
      </w:r>
      <w:r>
        <w:t xml:space="preserve">, vol. 126, Apr. 1996, pp. 1159S-1164S. </w:t>
      </w:r>
      <w:r>
        <w:rPr>
          <w:i/>
          <w:iCs/>
        </w:rPr>
        <w:t>ScienceDirect</w:t>
      </w:r>
      <w:r>
        <w:t>, https://doi.org/10.1093/jn/126.suppl_4.1159S.</w:t>
      </w:r>
    </w:p>
    <w:p w14:paraId="20832E3A" w14:textId="77777777" w:rsidR="00876AD0" w:rsidRDefault="00876AD0" w:rsidP="00FD4494">
      <w:pPr>
        <w:spacing w:line="360" w:lineRule="auto"/>
        <w:ind w:left="480" w:hanging="480"/>
      </w:pPr>
      <w:r>
        <w:t xml:space="preserve">Kaur, Jasleen, et al. ‘Vitamin D Deficiency’. </w:t>
      </w:r>
      <w:proofErr w:type="spellStart"/>
      <w:r>
        <w:rPr>
          <w:i/>
          <w:iCs/>
        </w:rPr>
        <w:t>StatPearls</w:t>
      </w:r>
      <w:proofErr w:type="spellEnd"/>
      <w:r>
        <w:t xml:space="preserve">, </w:t>
      </w:r>
      <w:proofErr w:type="spellStart"/>
      <w:r>
        <w:t>StatPearls</w:t>
      </w:r>
      <w:proofErr w:type="spellEnd"/>
      <w:r>
        <w:t xml:space="preserve"> Publishing, 2025. </w:t>
      </w:r>
      <w:r>
        <w:rPr>
          <w:i/>
          <w:iCs/>
        </w:rPr>
        <w:t>PubMed</w:t>
      </w:r>
      <w:r>
        <w:t>, http://www.ncbi.nlm.nih.gov/books/NBK532266/.</w:t>
      </w:r>
    </w:p>
    <w:p w14:paraId="639123C3" w14:textId="77777777" w:rsidR="00876AD0" w:rsidRDefault="00876AD0" w:rsidP="00FD4494">
      <w:pPr>
        <w:spacing w:line="360" w:lineRule="auto"/>
        <w:ind w:left="480" w:hanging="480"/>
      </w:pPr>
      <w:r>
        <w:t xml:space="preserve">Korn, Edward L., and Barry I. Graubard. ‘Examples of Differing Weighted and Unweighted Estimates from a Sample Survey’. </w:t>
      </w:r>
      <w:r>
        <w:rPr>
          <w:i/>
          <w:iCs/>
        </w:rPr>
        <w:t>The American Statistician</w:t>
      </w:r>
      <w:r>
        <w:t xml:space="preserve">, vol. 49, no. 3, Aug. 1995, pp. 291–95. </w:t>
      </w:r>
      <w:r>
        <w:rPr>
          <w:i/>
          <w:iCs/>
        </w:rPr>
        <w:t>DOI.org (</w:t>
      </w:r>
      <w:proofErr w:type="spellStart"/>
      <w:r>
        <w:rPr>
          <w:i/>
          <w:iCs/>
        </w:rPr>
        <w:t>Crossref</w:t>
      </w:r>
      <w:proofErr w:type="spellEnd"/>
      <w:r>
        <w:rPr>
          <w:i/>
          <w:iCs/>
        </w:rPr>
        <w:t>)</w:t>
      </w:r>
      <w:r>
        <w:t>, https://doi.org/10.1080/00031305.1995.10476167.</w:t>
      </w:r>
    </w:p>
    <w:p w14:paraId="5215CEA0" w14:textId="77777777" w:rsidR="00876AD0" w:rsidRDefault="00876AD0" w:rsidP="00FD4494">
      <w:pPr>
        <w:spacing w:line="360" w:lineRule="auto"/>
        <w:ind w:left="480" w:hanging="480"/>
      </w:pPr>
      <w:r>
        <w:t xml:space="preserve">Lumley, Thomas. </w:t>
      </w:r>
      <w:r>
        <w:rPr>
          <w:i/>
          <w:iCs/>
        </w:rPr>
        <w:t>Complex Surveys: A Guide to Analysis Using R</w:t>
      </w:r>
      <w:r>
        <w:t>. Wiley, 2010.</w:t>
      </w:r>
    </w:p>
    <w:p w14:paraId="29A4A159" w14:textId="77777777" w:rsidR="00876AD0" w:rsidRDefault="00876AD0" w:rsidP="00FD4494">
      <w:pPr>
        <w:spacing w:line="360" w:lineRule="auto"/>
        <w:ind w:left="480" w:hanging="480"/>
      </w:pPr>
      <w:r>
        <w:rPr>
          <w:i/>
          <w:iCs/>
        </w:rPr>
        <w:t>NHANES Questionnaires, Datasets, and Related Documentation</w:t>
      </w:r>
      <w:r>
        <w:t>. https://wwwn.cdc.gov/nchs/nhanes/continuousnhanes/default.aspx?BeginYear=2017. Accessed 3 Aug. 2025.</w:t>
      </w:r>
    </w:p>
    <w:p w14:paraId="2BCEA947" w14:textId="77777777" w:rsidR="00876AD0" w:rsidRDefault="00876AD0" w:rsidP="00FD4494">
      <w:pPr>
        <w:spacing w:line="360" w:lineRule="auto"/>
        <w:ind w:left="480" w:hanging="480"/>
      </w:pPr>
      <w:r>
        <w:rPr>
          <w:i/>
          <w:iCs/>
        </w:rPr>
        <w:t>Office of Dietary Supplements - Vitamin D</w:t>
      </w:r>
      <w:r>
        <w:t>. https://ods.od.nih.gov/factsheets/VitaminD-HealthProfessional/. Accessed 3 Aug. 2025.</w:t>
      </w:r>
    </w:p>
    <w:p w14:paraId="3240C962" w14:textId="77777777" w:rsidR="00876AD0" w:rsidRDefault="00876AD0" w:rsidP="00FD4494">
      <w:pPr>
        <w:spacing w:line="360" w:lineRule="auto"/>
        <w:ind w:left="480" w:hanging="480"/>
      </w:pPr>
      <w:proofErr w:type="spellStart"/>
      <w:r>
        <w:lastRenderedPageBreak/>
        <w:t>Pfeffermann</w:t>
      </w:r>
      <w:proofErr w:type="spellEnd"/>
      <w:r>
        <w:t xml:space="preserve">, Danny. ‘The Use of Sampling Weights for Survey Data Analysis’. </w:t>
      </w:r>
      <w:r>
        <w:rPr>
          <w:i/>
          <w:iCs/>
        </w:rPr>
        <w:t>Statistical Methods in Medical Research</w:t>
      </w:r>
      <w:r>
        <w:t xml:space="preserve">, vol. 5, no. 3, Sep. 1996, pp. 239–61. </w:t>
      </w:r>
      <w:r>
        <w:rPr>
          <w:i/>
          <w:iCs/>
        </w:rPr>
        <w:t>DOI.org (</w:t>
      </w:r>
      <w:proofErr w:type="spellStart"/>
      <w:r>
        <w:rPr>
          <w:i/>
          <w:iCs/>
        </w:rPr>
        <w:t>Crossref</w:t>
      </w:r>
      <w:proofErr w:type="spellEnd"/>
      <w:r>
        <w:rPr>
          <w:i/>
          <w:iCs/>
        </w:rPr>
        <w:t>)</w:t>
      </w:r>
      <w:r>
        <w:t>, https://doi.org/10.1177/096228029600500303.</w:t>
      </w:r>
    </w:p>
    <w:p w14:paraId="7A7A7E1A" w14:textId="77777777" w:rsidR="00876AD0" w:rsidRDefault="00876AD0" w:rsidP="00FD4494">
      <w:pPr>
        <w:spacing w:line="360" w:lineRule="auto"/>
        <w:ind w:left="480" w:hanging="480"/>
      </w:pPr>
      <w:r>
        <w:rPr>
          <w:i/>
          <w:iCs/>
        </w:rPr>
        <w:t xml:space="preserve">Using Survey Weights with </w:t>
      </w:r>
      <w:proofErr w:type="spellStart"/>
      <w:r>
        <w:rPr>
          <w:i/>
          <w:iCs/>
        </w:rPr>
        <w:t>nhanesA</w:t>
      </w:r>
      <w:proofErr w:type="spellEnd"/>
      <w:r>
        <w:t>. https://cran.r-project.org/web/packages/nhanesA/vignettes/UsingSurveyWeights.html. Accessed 3 Aug. 2025.</w:t>
      </w:r>
    </w:p>
    <w:p w14:paraId="4F83A627" w14:textId="77777777" w:rsidR="00F822C4" w:rsidRPr="00331A24" w:rsidRDefault="00F822C4" w:rsidP="00FD4494">
      <w:pPr>
        <w:pStyle w:val="p1"/>
        <w:spacing w:before="0" w:beforeAutospacing="0" w:after="0" w:afterAutospacing="0" w:line="360" w:lineRule="auto"/>
        <w:ind w:left="480"/>
        <w:rPr>
          <w:rFonts w:eastAsiaTheme="majorEastAsia"/>
          <w:color w:val="212121"/>
        </w:rPr>
      </w:pPr>
    </w:p>
    <w:p w14:paraId="34CCB4C2" w14:textId="77777777" w:rsidR="00F822C4" w:rsidRPr="00331A24" w:rsidRDefault="00F822C4" w:rsidP="00FD4494">
      <w:pPr>
        <w:pStyle w:val="p1"/>
        <w:spacing w:before="0" w:beforeAutospacing="0" w:after="0" w:afterAutospacing="0" w:line="360" w:lineRule="auto"/>
        <w:ind w:left="480"/>
        <w:rPr>
          <w:rFonts w:eastAsiaTheme="majorEastAsia"/>
          <w:color w:val="212121"/>
        </w:rPr>
      </w:pPr>
    </w:p>
    <w:p w14:paraId="4B8CED79" w14:textId="77777777" w:rsidR="00DD33AE" w:rsidRPr="00331A24" w:rsidRDefault="00DD33AE" w:rsidP="00FD4494">
      <w:pPr>
        <w:pStyle w:val="p1"/>
        <w:spacing w:before="0" w:beforeAutospacing="0" w:after="0" w:afterAutospacing="0" w:line="360" w:lineRule="auto"/>
        <w:ind w:left="480"/>
        <w:rPr>
          <w:rFonts w:eastAsiaTheme="majorEastAsia"/>
          <w:color w:val="212121"/>
        </w:rPr>
      </w:pPr>
    </w:p>
    <w:p w14:paraId="083DC5B8" w14:textId="77777777" w:rsidR="0008074B" w:rsidRPr="00331A24" w:rsidRDefault="0008074B" w:rsidP="003D5B87">
      <w:pPr>
        <w:spacing w:line="360" w:lineRule="auto"/>
        <w:rPr>
          <w:rStyle w:val="apple-converted-space"/>
          <w:color w:val="212121"/>
        </w:rPr>
      </w:pPr>
    </w:p>
    <w:p w14:paraId="1D1098FA" w14:textId="77777777" w:rsidR="00674923" w:rsidRPr="00331A24" w:rsidRDefault="00674923" w:rsidP="003D5B87">
      <w:pPr>
        <w:spacing w:line="360" w:lineRule="auto"/>
        <w:rPr>
          <w:rStyle w:val="apple-converted-space"/>
          <w:color w:val="212121"/>
        </w:rPr>
      </w:pPr>
    </w:p>
    <w:p w14:paraId="627DE3A4" w14:textId="77777777" w:rsidR="00AC765E" w:rsidRPr="00331A24" w:rsidRDefault="00AC765E" w:rsidP="003D5B87">
      <w:pPr>
        <w:spacing w:line="360" w:lineRule="auto"/>
        <w:rPr>
          <w:rStyle w:val="apple-converted-space"/>
          <w:color w:val="212121"/>
        </w:rPr>
      </w:pPr>
    </w:p>
    <w:p w14:paraId="5BBF19F0" w14:textId="77777777" w:rsidR="00D86AB5" w:rsidRPr="00331A24" w:rsidRDefault="00D86AB5" w:rsidP="003D5B87">
      <w:pPr>
        <w:spacing w:line="360" w:lineRule="auto"/>
        <w:rPr>
          <w:rStyle w:val="apple-converted-space"/>
          <w:color w:val="212121"/>
        </w:rPr>
      </w:pPr>
    </w:p>
    <w:p w14:paraId="60AF975B" w14:textId="77777777" w:rsidR="002F1A83" w:rsidRPr="00331A24" w:rsidRDefault="002F1A83" w:rsidP="003D5B87">
      <w:pPr>
        <w:spacing w:line="360" w:lineRule="auto"/>
        <w:rPr>
          <w:rStyle w:val="apple-converted-space"/>
          <w:color w:val="212121"/>
        </w:rPr>
      </w:pPr>
    </w:p>
    <w:p w14:paraId="19385117" w14:textId="77777777" w:rsidR="002F1A83" w:rsidRPr="00331A24" w:rsidRDefault="002F1A83" w:rsidP="003D5B87">
      <w:pPr>
        <w:spacing w:line="360" w:lineRule="auto"/>
        <w:rPr>
          <w:rStyle w:val="apple-converted-space"/>
          <w:color w:val="212121"/>
        </w:rPr>
      </w:pPr>
    </w:p>
    <w:p w14:paraId="6E6A58FF" w14:textId="77777777" w:rsidR="00654A73" w:rsidRPr="00331A24" w:rsidRDefault="00654A73" w:rsidP="003D5B87">
      <w:pPr>
        <w:spacing w:line="360" w:lineRule="auto"/>
        <w:rPr>
          <w:lang w:val="en-US"/>
        </w:rPr>
      </w:pPr>
    </w:p>
    <w:sectPr w:rsidR="00654A73" w:rsidRPr="00331A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13F07"/>
    <w:multiLevelType w:val="hybridMultilevel"/>
    <w:tmpl w:val="2246379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9483CD4"/>
    <w:multiLevelType w:val="multilevel"/>
    <w:tmpl w:val="83328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AA0360"/>
    <w:multiLevelType w:val="multilevel"/>
    <w:tmpl w:val="3A32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2B4D30"/>
    <w:multiLevelType w:val="hybridMultilevel"/>
    <w:tmpl w:val="D29C3A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A5652AF"/>
    <w:multiLevelType w:val="hybridMultilevel"/>
    <w:tmpl w:val="38D22C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81D3134"/>
    <w:multiLevelType w:val="hybridMultilevel"/>
    <w:tmpl w:val="4178FC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EE27011"/>
    <w:multiLevelType w:val="hybridMultilevel"/>
    <w:tmpl w:val="29FC254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27375723">
    <w:abstractNumId w:val="0"/>
  </w:num>
  <w:num w:numId="2" w16cid:durableId="1130628933">
    <w:abstractNumId w:val="5"/>
  </w:num>
  <w:num w:numId="3" w16cid:durableId="1821386717">
    <w:abstractNumId w:val="2"/>
  </w:num>
  <w:num w:numId="4" w16cid:durableId="629480284">
    <w:abstractNumId w:val="1"/>
  </w:num>
  <w:num w:numId="5" w16cid:durableId="1700813121">
    <w:abstractNumId w:val="3"/>
  </w:num>
  <w:num w:numId="6" w16cid:durableId="483014572">
    <w:abstractNumId w:val="6"/>
  </w:num>
  <w:num w:numId="7" w16cid:durableId="6471743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A73"/>
    <w:rsid w:val="0000742C"/>
    <w:rsid w:val="000106BE"/>
    <w:rsid w:val="000111D0"/>
    <w:rsid w:val="000112D0"/>
    <w:rsid w:val="00014FC6"/>
    <w:rsid w:val="0002238D"/>
    <w:rsid w:val="00026DFB"/>
    <w:rsid w:val="00027493"/>
    <w:rsid w:val="00033AF3"/>
    <w:rsid w:val="000453B9"/>
    <w:rsid w:val="00050263"/>
    <w:rsid w:val="00051115"/>
    <w:rsid w:val="0006136A"/>
    <w:rsid w:val="000659B1"/>
    <w:rsid w:val="0007268D"/>
    <w:rsid w:val="00075614"/>
    <w:rsid w:val="0008074B"/>
    <w:rsid w:val="0008796B"/>
    <w:rsid w:val="000A25A4"/>
    <w:rsid w:val="000C4181"/>
    <w:rsid w:val="000C52F9"/>
    <w:rsid w:val="000D459B"/>
    <w:rsid w:val="000D5102"/>
    <w:rsid w:val="000E4819"/>
    <w:rsid w:val="000F0811"/>
    <w:rsid w:val="00102331"/>
    <w:rsid w:val="00104E05"/>
    <w:rsid w:val="00107D44"/>
    <w:rsid w:val="0014104B"/>
    <w:rsid w:val="00145D6D"/>
    <w:rsid w:val="00157E2B"/>
    <w:rsid w:val="0016146A"/>
    <w:rsid w:val="00164D6A"/>
    <w:rsid w:val="001659BC"/>
    <w:rsid w:val="001779D1"/>
    <w:rsid w:val="00184BCE"/>
    <w:rsid w:val="001A02AE"/>
    <w:rsid w:val="001B296E"/>
    <w:rsid w:val="001B34BF"/>
    <w:rsid w:val="001B6F81"/>
    <w:rsid w:val="001B71DB"/>
    <w:rsid w:val="001B726F"/>
    <w:rsid w:val="001C7160"/>
    <w:rsid w:val="001D210B"/>
    <w:rsid w:val="001D21A2"/>
    <w:rsid w:val="001E568F"/>
    <w:rsid w:val="001E6A8D"/>
    <w:rsid w:val="001E6F9A"/>
    <w:rsid w:val="001F3924"/>
    <w:rsid w:val="001F567F"/>
    <w:rsid w:val="001F5C86"/>
    <w:rsid w:val="002056E5"/>
    <w:rsid w:val="00213C7B"/>
    <w:rsid w:val="002140E2"/>
    <w:rsid w:val="00217B61"/>
    <w:rsid w:val="00220291"/>
    <w:rsid w:val="0022300B"/>
    <w:rsid w:val="00223481"/>
    <w:rsid w:val="002316F7"/>
    <w:rsid w:val="00233552"/>
    <w:rsid w:val="002378F8"/>
    <w:rsid w:val="00247C0C"/>
    <w:rsid w:val="0026101F"/>
    <w:rsid w:val="002719B2"/>
    <w:rsid w:val="00271FAD"/>
    <w:rsid w:val="00273A79"/>
    <w:rsid w:val="002744E7"/>
    <w:rsid w:val="0029102C"/>
    <w:rsid w:val="00292E1C"/>
    <w:rsid w:val="0029356F"/>
    <w:rsid w:val="00295FAB"/>
    <w:rsid w:val="002A5A95"/>
    <w:rsid w:val="002A7E1D"/>
    <w:rsid w:val="002B0502"/>
    <w:rsid w:val="002B19BF"/>
    <w:rsid w:val="002B1F57"/>
    <w:rsid w:val="002D23FE"/>
    <w:rsid w:val="002E363A"/>
    <w:rsid w:val="002E7469"/>
    <w:rsid w:val="002F1A83"/>
    <w:rsid w:val="002F6619"/>
    <w:rsid w:val="00304694"/>
    <w:rsid w:val="00331A24"/>
    <w:rsid w:val="00345491"/>
    <w:rsid w:val="003458D7"/>
    <w:rsid w:val="00352CF1"/>
    <w:rsid w:val="00360F4A"/>
    <w:rsid w:val="00363611"/>
    <w:rsid w:val="0036754B"/>
    <w:rsid w:val="003802D7"/>
    <w:rsid w:val="003B6C59"/>
    <w:rsid w:val="003B6D01"/>
    <w:rsid w:val="003B7BCA"/>
    <w:rsid w:val="003C2008"/>
    <w:rsid w:val="003C621B"/>
    <w:rsid w:val="003C6951"/>
    <w:rsid w:val="003D236B"/>
    <w:rsid w:val="003D5B87"/>
    <w:rsid w:val="003E3961"/>
    <w:rsid w:val="003E7474"/>
    <w:rsid w:val="00402443"/>
    <w:rsid w:val="0040333E"/>
    <w:rsid w:val="0041519C"/>
    <w:rsid w:val="00416590"/>
    <w:rsid w:val="004233C8"/>
    <w:rsid w:val="00432B67"/>
    <w:rsid w:val="0043431A"/>
    <w:rsid w:val="0044702B"/>
    <w:rsid w:val="00453906"/>
    <w:rsid w:val="00461BFD"/>
    <w:rsid w:val="004729D7"/>
    <w:rsid w:val="004772D6"/>
    <w:rsid w:val="00493FFB"/>
    <w:rsid w:val="004A40DF"/>
    <w:rsid w:val="004B6ABA"/>
    <w:rsid w:val="004C1AA8"/>
    <w:rsid w:val="004E018B"/>
    <w:rsid w:val="004E38F5"/>
    <w:rsid w:val="004F7EF7"/>
    <w:rsid w:val="00500A0A"/>
    <w:rsid w:val="00517EAD"/>
    <w:rsid w:val="00521912"/>
    <w:rsid w:val="00525687"/>
    <w:rsid w:val="00533242"/>
    <w:rsid w:val="00535BE1"/>
    <w:rsid w:val="00536D32"/>
    <w:rsid w:val="005563EF"/>
    <w:rsid w:val="00564E35"/>
    <w:rsid w:val="00573E85"/>
    <w:rsid w:val="00574F3C"/>
    <w:rsid w:val="0058319B"/>
    <w:rsid w:val="005835F6"/>
    <w:rsid w:val="0058658B"/>
    <w:rsid w:val="00595A9D"/>
    <w:rsid w:val="005A38F5"/>
    <w:rsid w:val="005A5239"/>
    <w:rsid w:val="005B30E4"/>
    <w:rsid w:val="005B4746"/>
    <w:rsid w:val="005B79E0"/>
    <w:rsid w:val="005C1621"/>
    <w:rsid w:val="005D303A"/>
    <w:rsid w:val="005D6F68"/>
    <w:rsid w:val="005E2DFD"/>
    <w:rsid w:val="006022AD"/>
    <w:rsid w:val="006051B7"/>
    <w:rsid w:val="00611CDD"/>
    <w:rsid w:val="00612005"/>
    <w:rsid w:val="0061298A"/>
    <w:rsid w:val="00621F7D"/>
    <w:rsid w:val="006245F6"/>
    <w:rsid w:val="00625A46"/>
    <w:rsid w:val="00625CF8"/>
    <w:rsid w:val="00645C45"/>
    <w:rsid w:val="00654A73"/>
    <w:rsid w:val="00660089"/>
    <w:rsid w:val="00667CDC"/>
    <w:rsid w:val="00672DE9"/>
    <w:rsid w:val="006737BA"/>
    <w:rsid w:val="00674923"/>
    <w:rsid w:val="00676206"/>
    <w:rsid w:val="006842A6"/>
    <w:rsid w:val="006873ED"/>
    <w:rsid w:val="006923EE"/>
    <w:rsid w:val="006A764C"/>
    <w:rsid w:val="006B5EB1"/>
    <w:rsid w:val="006B6383"/>
    <w:rsid w:val="006C4C44"/>
    <w:rsid w:val="006D1B45"/>
    <w:rsid w:val="006D3D74"/>
    <w:rsid w:val="006D624C"/>
    <w:rsid w:val="006E319D"/>
    <w:rsid w:val="006F2123"/>
    <w:rsid w:val="006F5D04"/>
    <w:rsid w:val="006F709C"/>
    <w:rsid w:val="007059A5"/>
    <w:rsid w:val="00732CF5"/>
    <w:rsid w:val="00733329"/>
    <w:rsid w:val="00733C79"/>
    <w:rsid w:val="00744516"/>
    <w:rsid w:val="00744AF8"/>
    <w:rsid w:val="007563E8"/>
    <w:rsid w:val="007613DF"/>
    <w:rsid w:val="00764784"/>
    <w:rsid w:val="00770A27"/>
    <w:rsid w:val="00780EC3"/>
    <w:rsid w:val="007856A9"/>
    <w:rsid w:val="00786F91"/>
    <w:rsid w:val="00787F82"/>
    <w:rsid w:val="007B13E3"/>
    <w:rsid w:val="007C1981"/>
    <w:rsid w:val="007C30F8"/>
    <w:rsid w:val="007C4088"/>
    <w:rsid w:val="007C47D4"/>
    <w:rsid w:val="007D2D28"/>
    <w:rsid w:val="007D728B"/>
    <w:rsid w:val="007D7A62"/>
    <w:rsid w:val="007F1676"/>
    <w:rsid w:val="007F39B8"/>
    <w:rsid w:val="007F596F"/>
    <w:rsid w:val="0080238B"/>
    <w:rsid w:val="00806B30"/>
    <w:rsid w:val="00807400"/>
    <w:rsid w:val="00842139"/>
    <w:rsid w:val="008456B5"/>
    <w:rsid w:val="008466DB"/>
    <w:rsid w:val="00846D31"/>
    <w:rsid w:val="0085440E"/>
    <w:rsid w:val="00876AD0"/>
    <w:rsid w:val="00880CF0"/>
    <w:rsid w:val="00896031"/>
    <w:rsid w:val="008A5AEF"/>
    <w:rsid w:val="008A610B"/>
    <w:rsid w:val="008A6C4E"/>
    <w:rsid w:val="008A7258"/>
    <w:rsid w:val="008D2501"/>
    <w:rsid w:val="008D2920"/>
    <w:rsid w:val="008E1F07"/>
    <w:rsid w:val="008F778A"/>
    <w:rsid w:val="00905FC7"/>
    <w:rsid w:val="0092247F"/>
    <w:rsid w:val="00925C15"/>
    <w:rsid w:val="00932FEC"/>
    <w:rsid w:val="00943B84"/>
    <w:rsid w:val="0094701E"/>
    <w:rsid w:val="00950B67"/>
    <w:rsid w:val="00957AE8"/>
    <w:rsid w:val="009606ED"/>
    <w:rsid w:val="00967C28"/>
    <w:rsid w:val="00970FF0"/>
    <w:rsid w:val="00992B2F"/>
    <w:rsid w:val="009A0A70"/>
    <w:rsid w:val="009B0F40"/>
    <w:rsid w:val="009C4FFA"/>
    <w:rsid w:val="009D090E"/>
    <w:rsid w:val="009D16E1"/>
    <w:rsid w:val="009E1349"/>
    <w:rsid w:val="009F30DE"/>
    <w:rsid w:val="009F4150"/>
    <w:rsid w:val="00A0011B"/>
    <w:rsid w:val="00A04D02"/>
    <w:rsid w:val="00A20194"/>
    <w:rsid w:val="00A24063"/>
    <w:rsid w:val="00A2431A"/>
    <w:rsid w:val="00A30E60"/>
    <w:rsid w:val="00A336F0"/>
    <w:rsid w:val="00A37BB4"/>
    <w:rsid w:val="00A42E03"/>
    <w:rsid w:val="00A515E4"/>
    <w:rsid w:val="00A52FA2"/>
    <w:rsid w:val="00A536AF"/>
    <w:rsid w:val="00A909FB"/>
    <w:rsid w:val="00A92D91"/>
    <w:rsid w:val="00A9386B"/>
    <w:rsid w:val="00A94AD5"/>
    <w:rsid w:val="00AA06C4"/>
    <w:rsid w:val="00AA25EB"/>
    <w:rsid w:val="00AB08EA"/>
    <w:rsid w:val="00AB22A7"/>
    <w:rsid w:val="00AB46CE"/>
    <w:rsid w:val="00AC1839"/>
    <w:rsid w:val="00AC765E"/>
    <w:rsid w:val="00AD295B"/>
    <w:rsid w:val="00AD32BE"/>
    <w:rsid w:val="00AD7236"/>
    <w:rsid w:val="00AE63CA"/>
    <w:rsid w:val="00AF0C6C"/>
    <w:rsid w:val="00AF0D69"/>
    <w:rsid w:val="00B13CD5"/>
    <w:rsid w:val="00B21326"/>
    <w:rsid w:val="00B3366B"/>
    <w:rsid w:val="00B36DD1"/>
    <w:rsid w:val="00B37AD6"/>
    <w:rsid w:val="00B56475"/>
    <w:rsid w:val="00B6256F"/>
    <w:rsid w:val="00B70942"/>
    <w:rsid w:val="00B82029"/>
    <w:rsid w:val="00B91710"/>
    <w:rsid w:val="00B94E7E"/>
    <w:rsid w:val="00BA422E"/>
    <w:rsid w:val="00BC5BFC"/>
    <w:rsid w:val="00BC7317"/>
    <w:rsid w:val="00BD514A"/>
    <w:rsid w:val="00BD79E6"/>
    <w:rsid w:val="00BE085B"/>
    <w:rsid w:val="00BE12B0"/>
    <w:rsid w:val="00BE4F58"/>
    <w:rsid w:val="00C11634"/>
    <w:rsid w:val="00C126A1"/>
    <w:rsid w:val="00C15F65"/>
    <w:rsid w:val="00C16517"/>
    <w:rsid w:val="00C20133"/>
    <w:rsid w:val="00C326F3"/>
    <w:rsid w:val="00C44743"/>
    <w:rsid w:val="00C52579"/>
    <w:rsid w:val="00C572F8"/>
    <w:rsid w:val="00C57628"/>
    <w:rsid w:val="00C72535"/>
    <w:rsid w:val="00C738CD"/>
    <w:rsid w:val="00C74B19"/>
    <w:rsid w:val="00C92BF2"/>
    <w:rsid w:val="00C949BD"/>
    <w:rsid w:val="00C96D7A"/>
    <w:rsid w:val="00CB19E7"/>
    <w:rsid w:val="00CB2684"/>
    <w:rsid w:val="00CB453F"/>
    <w:rsid w:val="00CC4CF0"/>
    <w:rsid w:val="00CC6D6C"/>
    <w:rsid w:val="00CD2D3F"/>
    <w:rsid w:val="00CE1F76"/>
    <w:rsid w:val="00CE5AD5"/>
    <w:rsid w:val="00CF43DE"/>
    <w:rsid w:val="00CF49A7"/>
    <w:rsid w:val="00CF6538"/>
    <w:rsid w:val="00D14A70"/>
    <w:rsid w:val="00D32539"/>
    <w:rsid w:val="00D3320B"/>
    <w:rsid w:val="00D3487D"/>
    <w:rsid w:val="00D5533E"/>
    <w:rsid w:val="00D625D0"/>
    <w:rsid w:val="00D6330C"/>
    <w:rsid w:val="00D82212"/>
    <w:rsid w:val="00D8415C"/>
    <w:rsid w:val="00D86AB5"/>
    <w:rsid w:val="00DA364D"/>
    <w:rsid w:val="00DA6981"/>
    <w:rsid w:val="00DB1338"/>
    <w:rsid w:val="00DB2322"/>
    <w:rsid w:val="00DB5C8A"/>
    <w:rsid w:val="00DC154F"/>
    <w:rsid w:val="00DC5605"/>
    <w:rsid w:val="00DD33AE"/>
    <w:rsid w:val="00DD35AD"/>
    <w:rsid w:val="00DD3B3B"/>
    <w:rsid w:val="00DD5754"/>
    <w:rsid w:val="00DD7FE9"/>
    <w:rsid w:val="00E1294A"/>
    <w:rsid w:val="00E21D36"/>
    <w:rsid w:val="00E22F89"/>
    <w:rsid w:val="00E33138"/>
    <w:rsid w:val="00E36370"/>
    <w:rsid w:val="00E53FCD"/>
    <w:rsid w:val="00E62F42"/>
    <w:rsid w:val="00E66129"/>
    <w:rsid w:val="00E70082"/>
    <w:rsid w:val="00E70770"/>
    <w:rsid w:val="00E829FF"/>
    <w:rsid w:val="00E90CBF"/>
    <w:rsid w:val="00E92F59"/>
    <w:rsid w:val="00EA30E2"/>
    <w:rsid w:val="00EB18C2"/>
    <w:rsid w:val="00EB2422"/>
    <w:rsid w:val="00EC494B"/>
    <w:rsid w:val="00EC7D19"/>
    <w:rsid w:val="00ED65DC"/>
    <w:rsid w:val="00EE0FBF"/>
    <w:rsid w:val="00EE7601"/>
    <w:rsid w:val="00F27770"/>
    <w:rsid w:val="00F27AB3"/>
    <w:rsid w:val="00F313B5"/>
    <w:rsid w:val="00F358BB"/>
    <w:rsid w:val="00F45268"/>
    <w:rsid w:val="00F46F8A"/>
    <w:rsid w:val="00F814FA"/>
    <w:rsid w:val="00F822C4"/>
    <w:rsid w:val="00F845C3"/>
    <w:rsid w:val="00FA4CCA"/>
    <w:rsid w:val="00FB37EB"/>
    <w:rsid w:val="00FD020E"/>
    <w:rsid w:val="00FD1BC0"/>
    <w:rsid w:val="00FD1C66"/>
    <w:rsid w:val="00FD4494"/>
    <w:rsid w:val="00FD45D5"/>
    <w:rsid w:val="00FD6882"/>
    <w:rsid w:val="00FE3A02"/>
    <w:rsid w:val="00FE76A9"/>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C1E7E"/>
  <w15:chartTrackingRefBased/>
  <w15:docId w15:val="{113EE1C5-B92D-9340-A8BD-11B9502F1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701E"/>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654A73"/>
    <w:pPr>
      <w:keepNext/>
      <w:keepLines/>
      <w:spacing w:before="360" w:after="80"/>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654A73"/>
    <w:pPr>
      <w:keepNext/>
      <w:keepLines/>
      <w:spacing w:before="160" w:after="80"/>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654A73"/>
    <w:pPr>
      <w:keepNext/>
      <w:keepLines/>
      <w:spacing w:before="160" w:after="80"/>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654A73"/>
    <w:pPr>
      <w:keepNext/>
      <w:keepLines/>
      <w:spacing w:before="80" w:after="40"/>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654A73"/>
    <w:pPr>
      <w:keepNext/>
      <w:keepLines/>
      <w:spacing w:before="80" w:after="40"/>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654A73"/>
    <w:pPr>
      <w:keepNext/>
      <w:keepLines/>
      <w:spacing w:before="4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654A73"/>
    <w:pPr>
      <w:keepNext/>
      <w:keepLines/>
      <w:spacing w:before="4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654A73"/>
    <w:pPr>
      <w:keepNext/>
      <w:keepLines/>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654A73"/>
    <w:pPr>
      <w:keepNext/>
      <w:keepLines/>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A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54A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54A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4A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4A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4A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4A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4A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4A73"/>
    <w:rPr>
      <w:rFonts w:eastAsiaTheme="majorEastAsia" w:cstheme="majorBidi"/>
      <w:color w:val="272727" w:themeColor="text1" w:themeTint="D8"/>
    </w:rPr>
  </w:style>
  <w:style w:type="paragraph" w:styleId="Title">
    <w:name w:val="Title"/>
    <w:basedOn w:val="Normal"/>
    <w:next w:val="Normal"/>
    <w:link w:val="TitleChar"/>
    <w:uiPriority w:val="10"/>
    <w:qFormat/>
    <w:rsid w:val="00654A73"/>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654A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4A73"/>
    <w:pPr>
      <w:numPr>
        <w:ilvl w:val="1"/>
      </w:numPr>
      <w:spacing w:after="16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654A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4A73"/>
    <w:pPr>
      <w:spacing w:before="160" w:after="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654A73"/>
    <w:rPr>
      <w:i/>
      <w:iCs/>
      <w:color w:val="404040" w:themeColor="text1" w:themeTint="BF"/>
    </w:rPr>
  </w:style>
  <w:style w:type="paragraph" w:styleId="ListParagraph">
    <w:name w:val="List Paragraph"/>
    <w:basedOn w:val="Normal"/>
    <w:uiPriority w:val="34"/>
    <w:qFormat/>
    <w:rsid w:val="00654A73"/>
    <w:pPr>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654A73"/>
    <w:rPr>
      <w:i/>
      <w:iCs/>
      <w:color w:val="0F4761" w:themeColor="accent1" w:themeShade="BF"/>
    </w:rPr>
  </w:style>
  <w:style w:type="paragraph" w:styleId="IntenseQuote">
    <w:name w:val="Intense Quote"/>
    <w:basedOn w:val="Normal"/>
    <w:next w:val="Normal"/>
    <w:link w:val="IntenseQuoteChar"/>
    <w:uiPriority w:val="30"/>
    <w:qFormat/>
    <w:rsid w:val="00654A73"/>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654A73"/>
    <w:rPr>
      <w:i/>
      <w:iCs/>
      <w:color w:val="0F4761" w:themeColor="accent1" w:themeShade="BF"/>
    </w:rPr>
  </w:style>
  <w:style w:type="character" w:styleId="IntenseReference">
    <w:name w:val="Intense Reference"/>
    <w:basedOn w:val="DefaultParagraphFont"/>
    <w:uiPriority w:val="32"/>
    <w:qFormat/>
    <w:rsid w:val="00654A73"/>
    <w:rPr>
      <w:b/>
      <w:bCs/>
      <w:smallCaps/>
      <w:color w:val="0F4761" w:themeColor="accent1" w:themeShade="BF"/>
      <w:spacing w:val="5"/>
    </w:rPr>
  </w:style>
  <w:style w:type="character" w:styleId="Hyperlink">
    <w:name w:val="Hyperlink"/>
    <w:basedOn w:val="DefaultParagraphFont"/>
    <w:uiPriority w:val="99"/>
    <w:unhideWhenUsed/>
    <w:rsid w:val="00654A73"/>
    <w:rPr>
      <w:color w:val="0000FF"/>
      <w:u w:val="single"/>
    </w:rPr>
  </w:style>
  <w:style w:type="character" w:customStyle="1" w:styleId="apple-converted-space">
    <w:name w:val="apple-converted-space"/>
    <w:basedOn w:val="DefaultParagraphFont"/>
    <w:rsid w:val="00654A73"/>
  </w:style>
  <w:style w:type="character" w:styleId="FollowedHyperlink">
    <w:name w:val="FollowedHyperlink"/>
    <w:basedOn w:val="DefaultParagraphFont"/>
    <w:uiPriority w:val="99"/>
    <w:semiHidden/>
    <w:unhideWhenUsed/>
    <w:rsid w:val="00654A73"/>
    <w:rPr>
      <w:color w:val="96607D" w:themeColor="followedHyperlink"/>
      <w:u w:val="single"/>
    </w:rPr>
  </w:style>
  <w:style w:type="paragraph" w:customStyle="1" w:styleId="p1">
    <w:name w:val="p1"/>
    <w:basedOn w:val="Normal"/>
    <w:rsid w:val="001659BC"/>
    <w:pPr>
      <w:spacing w:before="100" w:beforeAutospacing="1" w:after="100" w:afterAutospacing="1"/>
    </w:pPr>
  </w:style>
  <w:style w:type="paragraph" w:customStyle="1" w:styleId="p2">
    <w:name w:val="p2"/>
    <w:basedOn w:val="Normal"/>
    <w:rsid w:val="001659BC"/>
    <w:pPr>
      <w:spacing w:before="100" w:beforeAutospacing="1" w:after="100" w:afterAutospacing="1"/>
    </w:pPr>
  </w:style>
  <w:style w:type="character" w:styleId="UnresolvedMention">
    <w:name w:val="Unresolved Mention"/>
    <w:basedOn w:val="DefaultParagraphFont"/>
    <w:uiPriority w:val="99"/>
    <w:semiHidden/>
    <w:unhideWhenUsed/>
    <w:rsid w:val="000C52F9"/>
    <w:rPr>
      <w:color w:val="605E5C"/>
      <w:shd w:val="clear" w:color="auto" w:fill="E1DFDD"/>
    </w:rPr>
  </w:style>
  <w:style w:type="character" w:styleId="Strong">
    <w:name w:val="Strong"/>
    <w:basedOn w:val="DefaultParagraphFont"/>
    <w:uiPriority w:val="22"/>
    <w:qFormat/>
    <w:rsid w:val="00BE12B0"/>
    <w:rPr>
      <w:b/>
      <w:bCs/>
    </w:rPr>
  </w:style>
  <w:style w:type="paragraph" w:styleId="NormalWeb">
    <w:name w:val="Normal (Web)"/>
    <w:basedOn w:val="Normal"/>
    <w:uiPriority w:val="99"/>
    <w:unhideWhenUsed/>
    <w:rsid w:val="00880CF0"/>
    <w:pPr>
      <w:spacing w:before="100" w:beforeAutospacing="1" w:after="100" w:afterAutospacing="1"/>
    </w:pPr>
  </w:style>
  <w:style w:type="paragraph" w:styleId="NoSpacing">
    <w:name w:val="No Spacing"/>
    <w:uiPriority w:val="1"/>
    <w:qFormat/>
    <w:rsid w:val="00247C0C"/>
  </w:style>
  <w:style w:type="character" w:styleId="HTMLCode">
    <w:name w:val="HTML Code"/>
    <w:basedOn w:val="DefaultParagraphFont"/>
    <w:uiPriority w:val="99"/>
    <w:semiHidden/>
    <w:unhideWhenUsed/>
    <w:rsid w:val="00AA06C4"/>
    <w:rPr>
      <w:rFonts w:ascii="Courier New" w:eastAsia="Times New Roman" w:hAnsi="Courier New" w:cs="Courier New"/>
      <w:sz w:val="20"/>
      <w:szCs w:val="20"/>
    </w:rPr>
  </w:style>
  <w:style w:type="character" w:customStyle="1" w:styleId="katex-mathml">
    <w:name w:val="katex-mathml"/>
    <w:basedOn w:val="DefaultParagraphFont"/>
    <w:rsid w:val="0094701E"/>
  </w:style>
  <w:style w:type="character" w:customStyle="1" w:styleId="mord">
    <w:name w:val="mord"/>
    <w:basedOn w:val="DefaultParagraphFont"/>
    <w:rsid w:val="0094701E"/>
  </w:style>
  <w:style w:type="character" w:customStyle="1" w:styleId="vlist-s">
    <w:name w:val="vlist-s"/>
    <w:basedOn w:val="DefaultParagraphFont"/>
    <w:rsid w:val="0094701E"/>
  </w:style>
  <w:style w:type="character" w:customStyle="1" w:styleId="mrel">
    <w:name w:val="mrel"/>
    <w:basedOn w:val="DefaultParagraphFont"/>
    <w:rsid w:val="0094701E"/>
  </w:style>
  <w:style w:type="character" w:customStyle="1" w:styleId="mopen">
    <w:name w:val="mopen"/>
    <w:basedOn w:val="DefaultParagraphFont"/>
    <w:rsid w:val="0094701E"/>
  </w:style>
  <w:style w:type="character" w:customStyle="1" w:styleId="mclose">
    <w:name w:val="mclose"/>
    <w:basedOn w:val="DefaultParagraphFont"/>
    <w:rsid w:val="0094701E"/>
  </w:style>
  <w:style w:type="character" w:customStyle="1" w:styleId="mbin">
    <w:name w:val="mbin"/>
    <w:basedOn w:val="DefaultParagraphFont"/>
    <w:rsid w:val="0094701E"/>
  </w:style>
  <w:style w:type="character" w:styleId="PlaceholderText">
    <w:name w:val="Placeholder Text"/>
    <w:basedOn w:val="DefaultParagraphFont"/>
    <w:uiPriority w:val="99"/>
    <w:semiHidden/>
    <w:rsid w:val="0094701E"/>
    <w:rPr>
      <w:color w:val="666666"/>
    </w:rPr>
  </w:style>
  <w:style w:type="character" w:styleId="Emphasis">
    <w:name w:val="Emphasis"/>
    <w:basedOn w:val="DefaultParagraphFont"/>
    <w:uiPriority w:val="20"/>
    <w:qFormat/>
    <w:rsid w:val="00AB46C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645413">
      <w:bodyDiv w:val="1"/>
      <w:marLeft w:val="0"/>
      <w:marRight w:val="0"/>
      <w:marTop w:val="0"/>
      <w:marBottom w:val="0"/>
      <w:divBdr>
        <w:top w:val="none" w:sz="0" w:space="0" w:color="auto"/>
        <w:left w:val="none" w:sz="0" w:space="0" w:color="auto"/>
        <w:bottom w:val="none" w:sz="0" w:space="0" w:color="auto"/>
        <w:right w:val="none" w:sz="0" w:space="0" w:color="auto"/>
      </w:divBdr>
      <w:divsChild>
        <w:div w:id="2897707">
          <w:marLeft w:val="480"/>
          <w:marRight w:val="0"/>
          <w:marTop w:val="0"/>
          <w:marBottom w:val="0"/>
          <w:divBdr>
            <w:top w:val="none" w:sz="0" w:space="0" w:color="auto"/>
            <w:left w:val="none" w:sz="0" w:space="0" w:color="auto"/>
            <w:bottom w:val="none" w:sz="0" w:space="0" w:color="auto"/>
            <w:right w:val="none" w:sz="0" w:space="0" w:color="auto"/>
          </w:divBdr>
          <w:divsChild>
            <w:div w:id="151534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33012">
      <w:bodyDiv w:val="1"/>
      <w:marLeft w:val="0"/>
      <w:marRight w:val="0"/>
      <w:marTop w:val="0"/>
      <w:marBottom w:val="0"/>
      <w:divBdr>
        <w:top w:val="none" w:sz="0" w:space="0" w:color="auto"/>
        <w:left w:val="none" w:sz="0" w:space="0" w:color="auto"/>
        <w:bottom w:val="none" w:sz="0" w:space="0" w:color="auto"/>
        <w:right w:val="none" w:sz="0" w:space="0" w:color="auto"/>
      </w:divBdr>
      <w:divsChild>
        <w:div w:id="527375402">
          <w:marLeft w:val="480"/>
          <w:marRight w:val="0"/>
          <w:marTop w:val="0"/>
          <w:marBottom w:val="0"/>
          <w:divBdr>
            <w:top w:val="none" w:sz="0" w:space="0" w:color="auto"/>
            <w:left w:val="none" w:sz="0" w:space="0" w:color="auto"/>
            <w:bottom w:val="none" w:sz="0" w:space="0" w:color="auto"/>
            <w:right w:val="none" w:sz="0" w:space="0" w:color="auto"/>
          </w:divBdr>
          <w:divsChild>
            <w:div w:id="202617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390334">
      <w:bodyDiv w:val="1"/>
      <w:marLeft w:val="0"/>
      <w:marRight w:val="0"/>
      <w:marTop w:val="0"/>
      <w:marBottom w:val="0"/>
      <w:divBdr>
        <w:top w:val="none" w:sz="0" w:space="0" w:color="auto"/>
        <w:left w:val="none" w:sz="0" w:space="0" w:color="auto"/>
        <w:bottom w:val="none" w:sz="0" w:space="0" w:color="auto"/>
        <w:right w:val="none" w:sz="0" w:space="0" w:color="auto"/>
      </w:divBdr>
    </w:div>
    <w:div w:id="661935810">
      <w:bodyDiv w:val="1"/>
      <w:marLeft w:val="0"/>
      <w:marRight w:val="0"/>
      <w:marTop w:val="0"/>
      <w:marBottom w:val="0"/>
      <w:divBdr>
        <w:top w:val="none" w:sz="0" w:space="0" w:color="auto"/>
        <w:left w:val="none" w:sz="0" w:space="0" w:color="auto"/>
        <w:bottom w:val="none" w:sz="0" w:space="0" w:color="auto"/>
        <w:right w:val="none" w:sz="0" w:space="0" w:color="auto"/>
      </w:divBdr>
    </w:div>
    <w:div w:id="725640805">
      <w:bodyDiv w:val="1"/>
      <w:marLeft w:val="0"/>
      <w:marRight w:val="0"/>
      <w:marTop w:val="0"/>
      <w:marBottom w:val="0"/>
      <w:divBdr>
        <w:top w:val="none" w:sz="0" w:space="0" w:color="auto"/>
        <w:left w:val="none" w:sz="0" w:space="0" w:color="auto"/>
        <w:bottom w:val="none" w:sz="0" w:space="0" w:color="auto"/>
        <w:right w:val="none" w:sz="0" w:space="0" w:color="auto"/>
      </w:divBdr>
      <w:divsChild>
        <w:div w:id="1065837152">
          <w:marLeft w:val="480"/>
          <w:marRight w:val="0"/>
          <w:marTop w:val="0"/>
          <w:marBottom w:val="0"/>
          <w:divBdr>
            <w:top w:val="none" w:sz="0" w:space="0" w:color="auto"/>
            <w:left w:val="none" w:sz="0" w:space="0" w:color="auto"/>
            <w:bottom w:val="none" w:sz="0" w:space="0" w:color="auto"/>
            <w:right w:val="none" w:sz="0" w:space="0" w:color="auto"/>
          </w:divBdr>
          <w:divsChild>
            <w:div w:id="190699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832299">
      <w:bodyDiv w:val="1"/>
      <w:marLeft w:val="0"/>
      <w:marRight w:val="0"/>
      <w:marTop w:val="0"/>
      <w:marBottom w:val="0"/>
      <w:divBdr>
        <w:top w:val="none" w:sz="0" w:space="0" w:color="auto"/>
        <w:left w:val="none" w:sz="0" w:space="0" w:color="auto"/>
        <w:bottom w:val="none" w:sz="0" w:space="0" w:color="auto"/>
        <w:right w:val="none" w:sz="0" w:space="0" w:color="auto"/>
      </w:divBdr>
      <w:divsChild>
        <w:div w:id="1668240545">
          <w:marLeft w:val="480"/>
          <w:marRight w:val="0"/>
          <w:marTop w:val="0"/>
          <w:marBottom w:val="0"/>
          <w:divBdr>
            <w:top w:val="none" w:sz="0" w:space="0" w:color="auto"/>
            <w:left w:val="none" w:sz="0" w:space="0" w:color="auto"/>
            <w:bottom w:val="none" w:sz="0" w:space="0" w:color="auto"/>
            <w:right w:val="none" w:sz="0" w:space="0" w:color="auto"/>
          </w:divBdr>
          <w:divsChild>
            <w:div w:id="202296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704827">
      <w:bodyDiv w:val="1"/>
      <w:marLeft w:val="0"/>
      <w:marRight w:val="0"/>
      <w:marTop w:val="0"/>
      <w:marBottom w:val="0"/>
      <w:divBdr>
        <w:top w:val="none" w:sz="0" w:space="0" w:color="auto"/>
        <w:left w:val="none" w:sz="0" w:space="0" w:color="auto"/>
        <w:bottom w:val="none" w:sz="0" w:space="0" w:color="auto"/>
        <w:right w:val="none" w:sz="0" w:space="0" w:color="auto"/>
      </w:divBdr>
      <w:divsChild>
        <w:div w:id="889464326">
          <w:marLeft w:val="480"/>
          <w:marRight w:val="0"/>
          <w:marTop w:val="0"/>
          <w:marBottom w:val="0"/>
          <w:divBdr>
            <w:top w:val="none" w:sz="0" w:space="0" w:color="auto"/>
            <w:left w:val="none" w:sz="0" w:space="0" w:color="auto"/>
            <w:bottom w:val="none" w:sz="0" w:space="0" w:color="auto"/>
            <w:right w:val="none" w:sz="0" w:space="0" w:color="auto"/>
          </w:divBdr>
          <w:divsChild>
            <w:div w:id="129309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61736">
      <w:bodyDiv w:val="1"/>
      <w:marLeft w:val="0"/>
      <w:marRight w:val="0"/>
      <w:marTop w:val="0"/>
      <w:marBottom w:val="0"/>
      <w:divBdr>
        <w:top w:val="none" w:sz="0" w:space="0" w:color="auto"/>
        <w:left w:val="none" w:sz="0" w:space="0" w:color="auto"/>
        <w:bottom w:val="none" w:sz="0" w:space="0" w:color="auto"/>
        <w:right w:val="none" w:sz="0" w:space="0" w:color="auto"/>
      </w:divBdr>
      <w:divsChild>
        <w:div w:id="571815811">
          <w:marLeft w:val="480"/>
          <w:marRight w:val="0"/>
          <w:marTop w:val="0"/>
          <w:marBottom w:val="0"/>
          <w:divBdr>
            <w:top w:val="none" w:sz="0" w:space="0" w:color="auto"/>
            <w:left w:val="none" w:sz="0" w:space="0" w:color="auto"/>
            <w:bottom w:val="none" w:sz="0" w:space="0" w:color="auto"/>
            <w:right w:val="none" w:sz="0" w:space="0" w:color="auto"/>
          </w:divBdr>
          <w:divsChild>
            <w:div w:id="211979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957808">
      <w:bodyDiv w:val="1"/>
      <w:marLeft w:val="0"/>
      <w:marRight w:val="0"/>
      <w:marTop w:val="0"/>
      <w:marBottom w:val="0"/>
      <w:divBdr>
        <w:top w:val="none" w:sz="0" w:space="0" w:color="auto"/>
        <w:left w:val="none" w:sz="0" w:space="0" w:color="auto"/>
        <w:bottom w:val="none" w:sz="0" w:space="0" w:color="auto"/>
        <w:right w:val="none" w:sz="0" w:space="0" w:color="auto"/>
      </w:divBdr>
    </w:div>
    <w:div w:id="1148790528">
      <w:bodyDiv w:val="1"/>
      <w:marLeft w:val="0"/>
      <w:marRight w:val="0"/>
      <w:marTop w:val="0"/>
      <w:marBottom w:val="0"/>
      <w:divBdr>
        <w:top w:val="none" w:sz="0" w:space="0" w:color="auto"/>
        <w:left w:val="none" w:sz="0" w:space="0" w:color="auto"/>
        <w:bottom w:val="none" w:sz="0" w:space="0" w:color="auto"/>
        <w:right w:val="none" w:sz="0" w:space="0" w:color="auto"/>
      </w:divBdr>
      <w:divsChild>
        <w:div w:id="185409984">
          <w:marLeft w:val="480"/>
          <w:marRight w:val="0"/>
          <w:marTop w:val="0"/>
          <w:marBottom w:val="0"/>
          <w:divBdr>
            <w:top w:val="none" w:sz="0" w:space="0" w:color="auto"/>
            <w:left w:val="none" w:sz="0" w:space="0" w:color="auto"/>
            <w:bottom w:val="none" w:sz="0" w:space="0" w:color="auto"/>
            <w:right w:val="none" w:sz="0" w:space="0" w:color="auto"/>
          </w:divBdr>
          <w:divsChild>
            <w:div w:id="87130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283490">
      <w:bodyDiv w:val="1"/>
      <w:marLeft w:val="0"/>
      <w:marRight w:val="0"/>
      <w:marTop w:val="0"/>
      <w:marBottom w:val="0"/>
      <w:divBdr>
        <w:top w:val="none" w:sz="0" w:space="0" w:color="auto"/>
        <w:left w:val="none" w:sz="0" w:space="0" w:color="auto"/>
        <w:bottom w:val="none" w:sz="0" w:space="0" w:color="auto"/>
        <w:right w:val="none" w:sz="0" w:space="0" w:color="auto"/>
      </w:divBdr>
      <w:divsChild>
        <w:div w:id="748694146">
          <w:marLeft w:val="480"/>
          <w:marRight w:val="0"/>
          <w:marTop w:val="0"/>
          <w:marBottom w:val="0"/>
          <w:divBdr>
            <w:top w:val="none" w:sz="0" w:space="0" w:color="auto"/>
            <w:left w:val="none" w:sz="0" w:space="0" w:color="auto"/>
            <w:bottom w:val="none" w:sz="0" w:space="0" w:color="auto"/>
            <w:right w:val="none" w:sz="0" w:space="0" w:color="auto"/>
          </w:divBdr>
          <w:divsChild>
            <w:div w:id="1734355594">
              <w:marLeft w:val="0"/>
              <w:marRight w:val="0"/>
              <w:marTop w:val="0"/>
              <w:marBottom w:val="0"/>
              <w:divBdr>
                <w:top w:val="none" w:sz="0" w:space="0" w:color="auto"/>
                <w:left w:val="none" w:sz="0" w:space="0" w:color="auto"/>
                <w:bottom w:val="none" w:sz="0" w:space="0" w:color="auto"/>
                <w:right w:val="none" w:sz="0" w:space="0" w:color="auto"/>
              </w:divBdr>
            </w:div>
            <w:div w:id="1961956362">
              <w:marLeft w:val="0"/>
              <w:marRight w:val="0"/>
              <w:marTop w:val="0"/>
              <w:marBottom w:val="0"/>
              <w:divBdr>
                <w:top w:val="none" w:sz="0" w:space="0" w:color="auto"/>
                <w:left w:val="none" w:sz="0" w:space="0" w:color="auto"/>
                <w:bottom w:val="none" w:sz="0" w:space="0" w:color="auto"/>
                <w:right w:val="none" w:sz="0" w:space="0" w:color="auto"/>
              </w:divBdr>
            </w:div>
            <w:div w:id="1225531793">
              <w:marLeft w:val="0"/>
              <w:marRight w:val="0"/>
              <w:marTop w:val="0"/>
              <w:marBottom w:val="0"/>
              <w:divBdr>
                <w:top w:val="none" w:sz="0" w:space="0" w:color="auto"/>
                <w:left w:val="none" w:sz="0" w:space="0" w:color="auto"/>
                <w:bottom w:val="none" w:sz="0" w:space="0" w:color="auto"/>
                <w:right w:val="none" w:sz="0" w:space="0" w:color="auto"/>
              </w:divBdr>
            </w:div>
            <w:div w:id="1233010080">
              <w:marLeft w:val="0"/>
              <w:marRight w:val="0"/>
              <w:marTop w:val="0"/>
              <w:marBottom w:val="0"/>
              <w:divBdr>
                <w:top w:val="none" w:sz="0" w:space="0" w:color="auto"/>
                <w:left w:val="none" w:sz="0" w:space="0" w:color="auto"/>
                <w:bottom w:val="none" w:sz="0" w:space="0" w:color="auto"/>
                <w:right w:val="none" w:sz="0" w:space="0" w:color="auto"/>
              </w:divBdr>
            </w:div>
            <w:div w:id="1155948653">
              <w:marLeft w:val="0"/>
              <w:marRight w:val="0"/>
              <w:marTop w:val="0"/>
              <w:marBottom w:val="0"/>
              <w:divBdr>
                <w:top w:val="none" w:sz="0" w:space="0" w:color="auto"/>
                <w:left w:val="none" w:sz="0" w:space="0" w:color="auto"/>
                <w:bottom w:val="none" w:sz="0" w:space="0" w:color="auto"/>
                <w:right w:val="none" w:sz="0" w:space="0" w:color="auto"/>
              </w:divBdr>
            </w:div>
            <w:div w:id="1200699006">
              <w:marLeft w:val="0"/>
              <w:marRight w:val="0"/>
              <w:marTop w:val="0"/>
              <w:marBottom w:val="0"/>
              <w:divBdr>
                <w:top w:val="none" w:sz="0" w:space="0" w:color="auto"/>
                <w:left w:val="none" w:sz="0" w:space="0" w:color="auto"/>
                <w:bottom w:val="none" w:sz="0" w:space="0" w:color="auto"/>
                <w:right w:val="none" w:sz="0" w:space="0" w:color="auto"/>
              </w:divBdr>
            </w:div>
            <w:div w:id="496843045">
              <w:marLeft w:val="0"/>
              <w:marRight w:val="0"/>
              <w:marTop w:val="0"/>
              <w:marBottom w:val="0"/>
              <w:divBdr>
                <w:top w:val="none" w:sz="0" w:space="0" w:color="auto"/>
                <w:left w:val="none" w:sz="0" w:space="0" w:color="auto"/>
                <w:bottom w:val="none" w:sz="0" w:space="0" w:color="auto"/>
                <w:right w:val="none" w:sz="0" w:space="0" w:color="auto"/>
              </w:divBdr>
            </w:div>
            <w:div w:id="1451121573">
              <w:marLeft w:val="0"/>
              <w:marRight w:val="0"/>
              <w:marTop w:val="0"/>
              <w:marBottom w:val="0"/>
              <w:divBdr>
                <w:top w:val="none" w:sz="0" w:space="0" w:color="auto"/>
                <w:left w:val="none" w:sz="0" w:space="0" w:color="auto"/>
                <w:bottom w:val="none" w:sz="0" w:space="0" w:color="auto"/>
                <w:right w:val="none" w:sz="0" w:space="0" w:color="auto"/>
              </w:divBdr>
            </w:div>
            <w:div w:id="1941527843">
              <w:marLeft w:val="0"/>
              <w:marRight w:val="0"/>
              <w:marTop w:val="0"/>
              <w:marBottom w:val="0"/>
              <w:divBdr>
                <w:top w:val="none" w:sz="0" w:space="0" w:color="auto"/>
                <w:left w:val="none" w:sz="0" w:space="0" w:color="auto"/>
                <w:bottom w:val="none" w:sz="0" w:space="0" w:color="auto"/>
                <w:right w:val="none" w:sz="0" w:space="0" w:color="auto"/>
              </w:divBdr>
            </w:div>
            <w:div w:id="464735289">
              <w:marLeft w:val="0"/>
              <w:marRight w:val="0"/>
              <w:marTop w:val="0"/>
              <w:marBottom w:val="0"/>
              <w:divBdr>
                <w:top w:val="none" w:sz="0" w:space="0" w:color="auto"/>
                <w:left w:val="none" w:sz="0" w:space="0" w:color="auto"/>
                <w:bottom w:val="none" w:sz="0" w:space="0" w:color="auto"/>
                <w:right w:val="none" w:sz="0" w:space="0" w:color="auto"/>
              </w:divBdr>
            </w:div>
            <w:div w:id="946884069">
              <w:marLeft w:val="0"/>
              <w:marRight w:val="0"/>
              <w:marTop w:val="0"/>
              <w:marBottom w:val="0"/>
              <w:divBdr>
                <w:top w:val="none" w:sz="0" w:space="0" w:color="auto"/>
                <w:left w:val="none" w:sz="0" w:space="0" w:color="auto"/>
                <w:bottom w:val="none" w:sz="0" w:space="0" w:color="auto"/>
                <w:right w:val="none" w:sz="0" w:space="0" w:color="auto"/>
              </w:divBdr>
            </w:div>
            <w:div w:id="1872766294">
              <w:marLeft w:val="0"/>
              <w:marRight w:val="0"/>
              <w:marTop w:val="0"/>
              <w:marBottom w:val="0"/>
              <w:divBdr>
                <w:top w:val="none" w:sz="0" w:space="0" w:color="auto"/>
                <w:left w:val="none" w:sz="0" w:space="0" w:color="auto"/>
                <w:bottom w:val="none" w:sz="0" w:space="0" w:color="auto"/>
                <w:right w:val="none" w:sz="0" w:space="0" w:color="auto"/>
              </w:divBdr>
            </w:div>
            <w:div w:id="1973779972">
              <w:marLeft w:val="0"/>
              <w:marRight w:val="0"/>
              <w:marTop w:val="0"/>
              <w:marBottom w:val="0"/>
              <w:divBdr>
                <w:top w:val="none" w:sz="0" w:space="0" w:color="auto"/>
                <w:left w:val="none" w:sz="0" w:space="0" w:color="auto"/>
                <w:bottom w:val="none" w:sz="0" w:space="0" w:color="auto"/>
                <w:right w:val="none" w:sz="0" w:space="0" w:color="auto"/>
              </w:divBdr>
            </w:div>
            <w:div w:id="211558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239037">
      <w:bodyDiv w:val="1"/>
      <w:marLeft w:val="0"/>
      <w:marRight w:val="0"/>
      <w:marTop w:val="0"/>
      <w:marBottom w:val="0"/>
      <w:divBdr>
        <w:top w:val="none" w:sz="0" w:space="0" w:color="auto"/>
        <w:left w:val="none" w:sz="0" w:space="0" w:color="auto"/>
        <w:bottom w:val="none" w:sz="0" w:space="0" w:color="auto"/>
        <w:right w:val="none" w:sz="0" w:space="0" w:color="auto"/>
      </w:divBdr>
      <w:divsChild>
        <w:div w:id="2046127530">
          <w:marLeft w:val="480"/>
          <w:marRight w:val="0"/>
          <w:marTop w:val="0"/>
          <w:marBottom w:val="0"/>
          <w:divBdr>
            <w:top w:val="none" w:sz="0" w:space="0" w:color="auto"/>
            <w:left w:val="none" w:sz="0" w:space="0" w:color="auto"/>
            <w:bottom w:val="none" w:sz="0" w:space="0" w:color="auto"/>
            <w:right w:val="none" w:sz="0" w:space="0" w:color="auto"/>
          </w:divBdr>
          <w:divsChild>
            <w:div w:id="162438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359492">
      <w:bodyDiv w:val="1"/>
      <w:marLeft w:val="0"/>
      <w:marRight w:val="0"/>
      <w:marTop w:val="0"/>
      <w:marBottom w:val="0"/>
      <w:divBdr>
        <w:top w:val="none" w:sz="0" w:space="0" w:color="auto"/>
        <w:left w:val="none" w:sz="0" w:space="0" w:color="auto"/>
        <w:bottom w:val="none" w:sz="0" w:space="0" w:color="auto"/>
        <w:right w:val="none" w:sz="0" w:space="0" w:color="auto"/>
      </w:divBdr>
      <w:divsChild>
        <w:div w:id="1016618850">
          <w:marLeft w:val="480"/>
          <w:marRight w:val="0"/>
          <w:marTop w:val="0"/>
          <w:marBottom w:val="0"/>
          <w:divBdr>
            <w:top w:val="none" w:sz="0" w:space="0" w:color="auto"/>
            <w:left w:val="none" w:sz="0" w:space="0" w:color="auto"/>
            <w:bottom w:val="none" w:sz="0" w:space="0" w:color="auto"/>
            <w:right w:val="none" w:sz="0" w:space="0" w:color="auto"/>
          </w:divBdr>
          <w:divsChild>
            <w:div w:id="139755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299351">
      <w:bodyDiv w:val="1"/>
      <w:marLeft w:val="0"/>
      <w:marRight w:val="0"/>
      <w:marTop w:val="0"/>
      <w:marBottom w:val="0"/>
      <w:divBdr>
        <w:top w:val="none" w:sz="0" w:space="0" w:color="auto"/>
        <w:left w:val="none" w:sz="0" w:space="0" w:color="auto"/>
        <w:bottom w:val="none" w:sz="0" w:space="0" w:color="auto"/>
        <w:right w:val="none" w:sz="0" w:space="0" w:color="auto"/>
      </w:divBdr>
      <w:divsChild>
        <w:div w:id="1982614585">
          <w:marLeft w:val="480"/>
          <w:marRight w:val="0"/>
          <w:marTop w:val="0"/>
          <w:marBottom w:val="0"/>
          <w:divBdr>
            <w:top w:val="none" w:sz="0" w:space="0" w:color="auto"/>
            <w:left w:val="none" w:sz="0" w:space="0" w:color="auto"/>
            <w:bottom w:val="none" w:sz="0" w:space="0" w:color="auto"/>
            <w:right w:val="none" w:sz="0" w:space="0" w:color="auto"/>
          </w:divBdr>
          <w:divsChild>
            <w:div w:id="138236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204579">
      <w:bodyDiv w:val="1"/>
      <w:marLeft w:val="0"/>
      <w:marRight w:val="0"/>
      <w:marTop w:val="0"/>
      <w:marBottom w:val="0"/>
      <w:divBdr>
        <w:top w:val="none" w:sz="0" w:space="0" w:color="auto"/>
        <w:left w:val="none" w:sz="0" w:space="0" w:color="auto"/>
        <w:bottom w:val="none" w:sz="0" w:space="0" w:color="auto"/>
        <w:right w:val="none" w:sz="0" w:space="0" w:color="auto"/>
      </w:divBdr>
    </w:div>
    <w:div w:id="1525823533">
      <w:bodyDiv w:val="1"/>
      <w:marLeft w:val="0"/>
      <w:marRight w:val="0"/>
      <w:marTop w:val="0"/>
      <w:marBottom w:val="0"/>
      <w:divBdr>
        <w:top w:val="none" w:sz="0" w:space="0" w:color="auto"/>
        <w:left w:val="none" w:sz="0" w:space="0" w:color="auto"/>
        <w:bottom w:val="none" w:sz="0" w:space="0" w:color="auto"/>
        <w:right w:val="none" w:sz="0" w:space="0" w:color="auto"/>
      </w:divBdr>
      <w:divsChild>
        <w:div w:id="1928688170">
          <w:marLeft w:val="480"/>
          <w:marRight w:val="0"/>
          <w:marTop w:val="0"/>
          <w:marBottom w:val="0"/>
          <w:divBdr>
            <w:top w:val="none" w:sz="0" w:space="0" w:color="auto"/>
            <w:left w:val="none" w:sz="0" w:space="0" w:color="auto"/>
            <w:bottom w:val="none" w:sz="0" w:space="0" w:color="auto"/>
            <w:right w:val="none" w:sz="0" w:space="0" w:color="auto"/>
          </w:divBdr>
          <w:divsChild>
            <w:div w:id="100552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625747">
      <w:bodyDiv w:val="1"/>
      <w:marLeft w:val="0"/>
      <w:marRight w:val="0"/>
      <w:marTop w:val="0"/>
      <w:marBottom w:val="0"/>
      <w:divBdr>
        <w:top w:val="none" w:sz="0" w:space="0" w:color="auto"/>
        <w:left w:val="none" w:sz="0" w:space="0" w:color="auto"/>
        <w:bottom w:val="none" w:sz="0" w:space="0" w:color="auto"/>
        <w:right w:val="none" w:sz="0" w:space="0" w:color="auto"/>
      </w:divBdr>
      <w:divsChild>
        <w:div w:id="1294947930">
          <w:marLeft w:val="480"/>
          <w:marRight w:val="0"/>
          <w:marTop w:val="0"/>
          <w:marBottom w:val="0"/>
          <w:divBdr>
            <w:top w:val="none" w:sz="0" w:space="0" w:color="auto"/>
            <w:left w:val="none" w:sz="0" w:space="0" w:color="auto"/>
            <w:bottom w:val="none" w:sz="0" w:space="0" w:color="auto"/>
            <w:right w:val="none" w:sz="0" w:space="0" w:color="auto"/>
          </w:divBdr>
          <w:divsChild>
            <w:div w:id="21366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979594">
      <w:bodyDiv w:val="1"/>
      <w:marLeft w:val="0"/>
      <w:marRight w:val="0"/>
      <w:marTop w:val="0"/>
      <w:marBottom w:val="0"/>
      <w:divBdr>
        <w:top w:val="none" w:sz="0" w:space="0" w:color="auto"/>
        <w:left w:val="none" w:sz="0" w:space="0" w:color="auto"/>
        <w:bottom w:val="none" w:sz="0" w:space="0" w:color="auto"/>
        <w:right w:val="none" w:sz="0" w:space="0" w:color="auto"/>
      </w:divBdr>
      <w:divsChild>
        <w:div w:id="1338927808">
          <w:marLeft w:val="480"/>
          <w:marRight w:val="0"/>
          <w:marTop w:val="0"/>
          <w:marBottom w:val="0"/>
          <w:divBdr>
            <w:top w:val="none" w:sz="0" w:space="0" w:color="auto"/>
            <w:left w:val="none" w:sz="0" w:space="0" w:color="auto"/>
            <w:bottom w:val="none" w:sz="0" w:space="0" w:color="auto"/>
            <w:right w:val="none" w:sz="0" w:space="0" w:color="auto"/>
          </w:divBdr>
          <w:divsChild>
            <w:div w:id="197397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972867">
      <w:bodyDiv w:val="1"/>
      <w:marLeft w:val="0"/>
      <w:marRight w:val="0"/>
      <w:marTop w:val="0"/>
      <w:marBottom w:val="0"/>
      <w:divBdr>
        <w:top w:val="none" w:sz="0" w:space="0" w:color="auto"/>
        <w:left w:val="none" w:sz="0" w:space="0" w:color="auto"/>
        <w:bottom w:val="none" w:sz="0" w:space="0" w:color="auto"/>
        <w:right w:val="none" w:sz="0" w:space="0" w:color="auto"/>
      </w:divBdr>
      <w:divsChild>
        <w:div w:id="1768236144">
          <w:marLeft w:val="480"/>
          <w:marRight w:val="0"/>
          <w:marTop w:val="0"/>
          <w:marBottom w:val="0"/>
          <w:divBdr>
            <w:top w:val="none" w:sz="0" w:space="0" w:color="auto"/>
            <w:left w:val="none" w:sz="0" w:space="0" w:color="auto"/>
            <w:bottom w:val="none" w:sz="0" w:space="0" w:color="auto"/>
            <w:right w:val="none" w:sz="0" w:space="0" w:color="auto"/>
          </w:divBdr>
          <w:divsChild>
            <w:div w:id="96423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9F1374-A5C7-714D-8E53-4141A736D3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705</TotalTime>
  <Pages>9</Pages>
  <Words>2653</Words>
  <Characters>15124</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Buchanan</dc:creator>
  <cp:keywords/>
  <dc:description/>
  <cp:lastModifiedBy>Joshua Buchanan</cp:lastModifiedBy>
  <cp:revision>515</cp:revision>
  <dcterms:created xsi:type="dcterms:W3CDTF">2025-07-31T21:42:00Z</dcterms:created>
  <dcterms:modified xsi:type="dcterms:W3CDTF">2025-08-12T17:10:00Z</dcterms:modified>
</cp:coreProperties>
</file>