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eastAsia="Times New Roman" w:cs="Calibri" w:cstheme="minorHAnsi"/>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Artemis Financial Vulnerability Assessment Report</w:t>
      </w:r>
    </w:p>
    <w:p>
      <w:pPr>
        <w:pStyle w:val="Normal"/>
        <w:jc w:val="center"/>
        <w:rPr/>
      </w:pPr>
      <w:r>
        <w:rPr/>
      </w:r>
    </w:p>
    <w:p>
      <w:pPr>
        <w:pStyle w:val="Normal"/>
        <w:jc w:val="center"/>
        <w:rPr>
          <w:rFonts w:ascii="Liberation Sans" w:hAnsi="Liberation Sans"/>
        </w:rPr>
      </w:pPr>
      <w:r>
        <w:rPr>
          <w:rFonts w:ascii="Liberation Sans" w:hAnsi="Liberation Sans"/>
        </w:rPr>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r>
            <w:fldChar w:fldCharType="begin"/>
          </w:r>
          <w:r>
            <w:rPr>
              <w:webHidden/>
              <w:rStyle w:val="IndexLink"/>
              <w:sz w:val="22"/>
              <w:szCs w:val="22"/>
              <w:vanish w:val="false"/>
              <w:rFonts w:cs="Calibri"/>
              <w:color w:val="auto"/>
            </w:rPr>
            <w:instrText xml:space="preserve"> TOC \z \o "1-3" \u \h</w:instrText>
          </w:r>
          <w:r>
            <w:rPr>
              <w:webHidden/>
              <w:rStyle w:val="IndexLink"/>
              <w:sz w:val="22"/>
              <w:szCs w:val="22"/>
              <w:vanish w:val="false"/>
              <w:rFonts w:cs="Calibri"/>
              <w:color w:val="auto"/>
            </w:rPr>
            <w:fldChar w:fldCharType="separate"/>
          </w:r>
          <w:hyperlink w:anchor="_Toc32574607">
            <w:r>
              <w:rPr>
                <w:webHidden/>
                <w:rStyle w:val="IndexLink"/>
                <w:rFonts w:cs="Calibri" w:cstheme="minorHAnsi"/>
                <w:vanish w:val="false"/>
                <w:color w:val="auto"/>
                <w:sz w:val="22"/>
                <w:szCs w:val="22"/>
              </w:rPr>
              <w:t>Document Revision History</w:t>
            </w:r>
            <w:r>
              <w:rPr>
                <w:webHidden/>
              </w:rPr>
              <w:fldChar w:fldCharType="begin"/>
            </w:r>
            <w:r>
              <w:rPr>
                <w:webHidden/>
              </w:rPr>
              <w:instrText xml:space="preserve">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8">
            <w:r>
              <w:rPr>
                <w:webHidden/>
                <w:rStyle w:val="IndexLink"/>
                <w:rFonts w:cs="Calibri" w:cstheme="minorHAnsi"/>
                <w:vanish w:val="false"/>
                <w:color w:val="auto"/>
                <w:sz w:val="22"/>
                <w:szCs w:val="22"/>
              </w:rPr>
              <w:t>Client</w:t>
            </w:r>
            <w:r>
              <w:rPr>
                <w:webHidden/>
              </w:rPr>
              <w:fldChar w:fldCharType="begin"/>
            </w:r>
            <w:r>
              <w:rPr>
                <w:webHidden/>
              </w:rPr>
              <w:instrText xml:space="preserve">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9">
            <w:r>
              <w:rPr>
                <w:webHidden/>
                <w:rStyle w:val="IndexLink"/>
                <w:rFonts w:cs="Calibri" w:cstheme="minorHAnsi"/>
                <w:vanish w:val="false"/>
                <w:color w:val="auto"/>
                <w:sz w:val="22"/>
                <w:szCs w:val="22"/>
              </w:rPr>
              <w:t>Instructions</w:t>
            </w:r>
            <w:r>
              <w:rPr>
                <w:webHidden/>
              </w:rPr>
              <w:fldChar w:fldCharType="begin"/>
            </w:r>
            <w:r>
              <w:rPr>
                <w:webHidden/>
              </w:rPr>
              <w:instrText xml:space="preserve">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0">
            <w:r>
              <w:rPr>
                <w:webHidden/>
                <w:rStyle w:val="IndexLink"/>
                <w:rFonts w:cs="Calibri" w:cstheme="minorHAnsi"/>
                <w:vanish w:val="false"/>
                <w:color w:val="auto"/>
                <w:sz w:val="22"/>
                <w:szCs w:val="22"/>
              </w:rPr>
              <w:t>Developer</w:t>
            </w:r>
            <w:r>
              <w:rPr>
                <w:webHidden/>
              </w:rPr>
              <w:fldChar w:fldCharType="begin"/>
            </w:r>
            <w:r>
              <w:rPr>
                <w:webHidden/>
              </w:rPr>
              <w:instrText xml:space="preserve">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1">
            <w:r>
              <w:rPr>
                <w:webHidden/>
                <w:rStyle w:val="IndexLink"/>
                <w:rFonts w:cs="Calibri" w:cstheme="minorHAnsi"/>
                <w:vanish w:val="false"/>
                <w:color w:val="auto"/>
                <w:sz w:val="22"/>
                <w:szCs w:val="22"/>
              </w:rPr>
              <w:t>1. Interpreting Client Needs</w:t>
            </w:r>
            <w:r>
              <w:rPr>
                <w:webHidden/>
              </w:rPr>
              <w:fldChar w:fldCharType="begin"/>
            </w:r>
            <w:r>
              <w:rPr>
                <w:webHidden/>
              </w:rPr>
              <w:instrText xml:space="preserve">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2">
            <w:r>
              <w:rPr>
                <w:webHidden/>
                <w:rStyle w:val="IndexLink"/>
                <w:rFonts w:cs="Calibri" w:cstheme="minorHAnsi"/>
                <w:vanish w:val="false"/>
                <w:color w:val="auto"/>
                <w:sz w:val="22"/>
                <w:szCs w:val="22"/>
              </w:rPr>
              <w:t>2. Areas of Security</w:t>
            </w:r>
            <w:r>
              <w:rPr>
                <w:webHidden/>
              </w:rPr>
              <w:fldChar w:fldCharType="begin"/>
            </w:r>
            <w:r>
              <w:rPr>
                <w:webHidden/>
              </w:rPr>
              <w:instrText xml:space="preserve">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3">
            <w:r>
              <w:rPr>
                <w:webHidden/>
                <w:rStyle w:val="IndexLink"/>
                <w:rFonts w:cs="Calibri" w:cstheme="minorHAnsi"/>
                <w:vanish w:val="false"/>
                <w:color w:val="auto"/>
                <w:sz w:val="22"/>
                <w:szCs w:val="22"/>
              </w:rPr>
              <w:t>3. Manual Review</w:t>
            </w:r>
            <w:r>
              <w:rPr>
                <w:webHidden/>
              </w:rPr>
              <w:fldChar w:fldCharType="begin"/>
            </w:r>
            <w:r>
              <w:rPr>
                <w:webHidden/>
              </w:rPr>
              <w:instrText xml:space="preserve">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4">
            <w:r>
              <w:rPr>
                <w:webHidden/>
                <w:rStyle w:val="IndexLink"/>
                <w:rFonts w:cs="Calibri" w:cstheme="minorHAnsi"/>
                <w:vanish w:val="false"/>
                <w:color w:val="auto"/>
                <w:sz w:val="22"/>
                <w:szCs w:val="22"/>
              </w:rPr>
              <w:t>4. Static Testing</w:t>
            </w:r>
            <w:r>
              <w:rPr>
                <w:webHidden/>
              </w:rPr>
              <w:fldChar w:fldCharType="begin"/>
            </w:r>
            <w:r>
              <w:rPr>
                <w:webHidden/>
              </w:rPr>
              <w:instrText xml:space="preserve">PAGEREF _Toc32574614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5">
            <w:r>
              <w:rPr>
                <w:webHidden/>
                <w:rStyle w:val="IndexLink"/>
                <w:rFonts w:cs="Calibri" w:cstheme="minorHAnsi"/>
                <w:vanish w:val="false"/>
                <w:color w:val="auto"/>
                <w:sz w:val="22"/>
                <w:szCs w:val="22"/>
              </w:rPr>
              <w:t>5. Mitigation Plan</w:t>
            </w:r>
            <w:r>
              <w:rPr>
                <w:webHidden/>
              </w:rPr>
              <w:fldChar w:fldCharType="begin"/>
            </w:r>
            <w:r>
              <w:rPr>
                <w:webHidden/>
              </w:rPr>
              <w:instrText xml:space="preserve">PAGEREF _Toc32574615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Normal"/>
            <w:suppressAutoHyphens w:val="true"/>
            <w:spacing w:lineRule="auto" w:line="240" w:before="0" w:after="0"/>
            <w:contextualSpacing/>
            <w:rPr>
              <w:rFonts w:eastAsia="Times New Roman" w:cs="Calibri" w:cstheme="minorHAnsi"/>
              <w:b/>
              <w:bCs/>
            </w:rPr>
          </w:pPr>
          <w:r>
            <w:rPr>
              <w:rFonts w:eastAsia="Times New Roman" w:cs="Calibri" w:cstheme="minorHAnsi"/>
              <w:b/>
              <w:bCs/>
            </w:rPr>
          </w:r>
          <w:r>
            <w:rPr>
              <w:b/>
              <w:bCs/>
              <w:rFonts w:eastAsia="Times New Roman" w:cs="Calibri"/>
            </w:rPr>
            <w:fldChar w:fldCharType="end"/>
          </w:r>
        </w:p>
      </w:sdtContent>
    </w:sdt>
    <w:p>
      <w:pPr>
        <w:pStyle w:val="Normal"/>
        <w:suppressAutoHyphens w:val="true"/>
        <w:spacing w:lineRule="auto" w:line="240" w:before="0" w:after="0"/>
        <w:contextualSpacing/>
        <w:rPr>
          <w:rFonts w:eastAsia="Times New Roman" w:cs="Calibri" w:cstheme="minorHAnsi"/>
          <w:b/>
          <w:bCs/>
          <w:u w:val="single"/>
        </w:rPr>
      </w:pPr>
      <w:r>
        <w:rPr>
          <w:rFonts w:eastAsia="Times New Roman" w:cs="Calibri" w:cstheme="minorHAnsi"/>
          <w:b/>
          <w:bCs/>
          <w:u w:val="single"/>
        </w:rPr>
      </w:r>
      <w:r>
        <w:br w:type="page"/>
      </w:r>
    </w:p>
    <w:p>
      <w:pPr>
        <w:pStyle w:val="Heading2"/>
        <w:rPr/>
      </w:pPr>
      <w:bookmarkStart w:id="0" w:name="_Toc1483357155"/>
      <w:bookmarkStart w:id="1" w:name="_Toc714089909"/>
      <w:bookmarkStart w:id="2" w:name="_Toc32574607"/>
      <w:r>
        <w:rPr/>
        <w:t>Document Revision History</w:t>
      </w:r>
      <w:bookmarkEnd w:id="0"/>
      <w:bookmarkEnd w:id="1"/>
      <w:bookmarkEnd w:id="2"/>
    </w:p>
    <w:p>
      <w:pPr>
        <w:pStyle w:val="Normal"/>
        <w:spacing w:lineRule="auto" w:line="240" w:before="0" w:after="0"/>
        <w:rPr/>
      </w:pPr>
      <w:r>
        <w:rPr/>
      </w:r>
    </w:p>
    <w:tbl>
      <w:tblPr>
        <w:tblStyle w:val="TableGrid"/>
        <w:tblW w:w="9350" w:type="dxa"/>
        <w:jc w:val="left"/>
        <w:tblInd w:w="12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May 21, 2023</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Joshua Wozny</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Cs/>
        </w:rPr>
      </w:pPr>
      <w:r>
        <w:rPr>
          <w:rFonts w:eastAsia="Times New Roman" w:cs="Calibri" w:cstheme="minorHAnsi"/>
          <w:b/>
          <w:bCs/>
        </w:rPr>
      </w:r>
    </w:p>
    <w:p>
      <w:pPr>
        <w:pStyle w:val="Heading2"/>
        <w:rPr/>
      </w:pPr>
      <w:bookmarkStart w:id="3" w:name="_Toc32574608"/>
      <w:bookmarkStart w:id="4" w:name="_Toc302021790"/>
      <w:bookmarkStart w:id="5" w:name="_Toc1639619014"/>
      <w:r>
        <w:rPr/>
        <w:t>Client</w:t>
      </w:r>
      <w:bookmarkEnd w:id="3"/>
      <w:bookmarkEnd w:id="4"/>
      <w:bookmarkEnd w:id="5"/>
    </w:p>
    <w:p>
      <w:pPr>
        <w:pStyle w:val="Normal"/>
        <w:spacing w:lineRule="auto" w:line="240" w:before="0" w:after="0"/>
        <w:rPr/>
      </w:pPr>
      <w:r>
        <w:rPr/>
      </w:r>
    </w:p>
    <w:p>
      <w:pPr>
        <w:pStyle w:val="Normal"/>
        <w:suppressAutoHyphens w:val="true"/>
        <w:spacing w:lineRule="auto" w:line="240" w:before="0" w:after="0"/>
        <w:contextualSpacing/>
        <w:jc w:val="center"/>
        <w:rPr>
          <w:rFonts w:cs="Calibri" w:cstheme="minorHAnsi"/>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rFonts w:cs="Calibri" w:cstheme="minorHAnsi"/>
        </w:rPr>
      </w:pPr>
      <w:r>
        <w:rPr>
          <w:rFonts w:cs="Calibri" w:cstheme="minorHAnsi"/>
        </w:rPr>
      </w:r>
    </w:p>
    <w:p>
      <w:pPr>
        <w:pStyle w:val="Heading2"/>
        <w:rPr>
          <w:rFonts w:eastAsia="Times New Roman"/>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6" w:name="_Toc924344490"/>
      <w:bookmarkStart w:id="7" w:name="_Toc32574610"/>
      <w:bookmarkStart w:id="8" w:name="_Toc219545153"/>
      <w:r>
        <w:rPr/>
        <w:t>Developer</w:t>
      </w:r>
      <w:bookmarkEnd w:id="6"/>
      <w:bookmarkEnd w:id="7"/>
      <w:bookmarkEnd w:id="8"/>
    </w:p>
    <w:p>
      <w:pPr>
        <w:pStyle w:val="Normal"/>
        <w:suppressAutoHyphens w:val="true"/>
        <w:spacing w:lineRule="auto" w:line="240" w:before="0" w:after="0"/>
        <w:contextualSpacing/>
        <w:rPr>
          <w:rFonts w:cs="Calibri" w:cstheme="minorHAnsi"/>
        </w:rPr>
      </w:pPr>
      <w:r>
        <w:rPr>
          <w:rFonts w:cs="Calibri" w:cstheme="minorHAnsi"/>
        </w:rPr>
        <w:t>Joshua Wozny, CS-305, Southern New Hampshire University</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1"/>
        </w:numPr>
        <w:rPr/>
      </w:pPr>
      <w:bookmarkStart w:id="9" w:name="_Toc32574611"/>
      <w:bookmarkStart w:id="10" w:name="_Toc1382019318"/>
      <w:bookmarkStart w:id="11" w:name="_Toc1680416009"/>
      <w:r>
        <w:rPr/>
        <w:t>Interpreting Client Needs</w:t>
      </w:r>
      <w:bookmarkEnd w:id="9"/>
      <w:bookmarkEnd w:id="10"/>
      <w:bookmarkEnd w:id="11"/>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w:t>
      </w:r>
      <w:r>
        <w:rPr>
          <w:rFonts w:eastAsia="Times New Roman" w:cs="Calibri" w:cstheme="minorHAnsi"/>
        </w:rPr>
        <w:t>Security is everyone’s responsibility.”</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As a company with with locations, clients, and employees across the globe, it is vital that Artemis Financial has secure communications across their organization. As the company grows, international financial transactions will continue to become a larger share of the company’s total transaction. Securing software solutions is a vital step to ensure that Artemis Financial’s sensitive and regulated data is safe from malicious actors.</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Having a secure infrastructure is required by government regulation, particularly the General Data Protection Regulation (GDPR) in the EU and California’s Consumer Privacy Act, Consumer Privacy Rights Act, Virginia Consumer Data Protection Act, and Colorado Privacy Act in the US. As a multi-national company, they must comply with all of these. Even in the absence of regulations, secure practices and best of class solutions are important to implement to maintain consumer confidence (CCPA vs GDPR. What, n.d.).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Upgrading to a modern technology stack for application development like Springboot, will aid in the facilitation of securing Artemis Financial’s full-stack applications (The New Stack, n.d.). It is important that you do not rely solely Springboot’s defaults but implement best practices – however, Spring provides a great base to start from.</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Utilizing open source libraries in the application can provide easy to implement solutions to business problems. It is critical that documentation be reviewed and known vulnerabilities considered when implementing to ensure that these vulnerabilities are properly mitigated. This is especially true as the web application evolves and additional security vulnerabilities are identified. Keeping abreast of  industry-wide security concerns and frequent vulnerability assessments of the application are necessary to the maintenance of the application.</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1"/>
        </w:numPr>
        <w:rPr/>
      </w:pPr>
      <w:bookmarkStart w:id="12" w:name="_Toc32574612"/>
      <w:bookmarkStart w:id="13" w:name="_Toc376974686"/>
      <w:bookmarkStart w:id="14" w:name="_Toc963907521"/>
      <w:r>
        <w:rPr/>
        <w:t>Areas of Security</w:t>
      </w:r>
      <w:bookmarkEnd w:id="12"/>
      <w:bookmarkEnd w:id="13"/>
      <w:bookmarkEnd w:id="14"/>
    </w:p>
    <w:p>
      <w:pPr>
        <w:pStyle w:val="Normal"/>
        <w:suppressAutoHyphens w:val="true"/>
        <w:spacing w:lineRule="auto" w:line="240" w:before="0" w:after="0"/>
        <w:contextualSpacing/>
        <w:rPr>
          <w:rFonts w:cs="Calibri" w:cstheme="minorHAnsi"/>
        </w:rPr>
      </w:pPr>
      <w:r>
        <w:rPr>
          <w:rFonts w:eastAsia="Times New Roman" w:cs="Calibri" w:cstheme="minorHAnsi"/>
        </w:rPr>
        <w:t>As a client-server, with an API centered communication, Artemis Financial’s full-stack application has the following major areas of security concerns:</w:t>
      </w:r>
    </w:p>
    <w:p>
      <w:pPr>
        <w:pStyle w:val="Normal"/>
        <w:numPr>
          <w:ilvl w:val="0"/>
          <w:numId w:val="2"/>
        </w:numPr>
        <w:suppressAutoHyphens w:val="true"/>
        <w:spacing w:lineRule="auto" w:line="240" w:before="0" w:after="0"/>
        <w:contextualSpacing/>
        <w:rPr/>
      </w:pPr>
      <w:r>
        <w:rPr/>
        <w:t>Input Validation</w:t>
      </w:r>
    </w:p>
    <w:p>
      <w:pPr>
        <w:pStyle w:val="Normal"/>
        <w:numPr>
          <w:ilvl w:val="0"/>
          <w:numId w:val="2"/>
        </w:numPr>
        <w:suppressAutoHyphens w:val="true"/>
        <w:spacing w:lineRule="auto" w:line="240" w:before="0" w:after="0"/>
        <w:contextualSpacing/>
        <w:rPr/>
      </w:pPr>
      <w:r>
        <w:rPr/>
        <w:t>API</w:t>
      </w:r>
    </w:p>
    <w:p>
      <w:pPr>
        <w:pStyle w:val="Normal"/>
        <w:numPr>
          <w:ilvl w:val="0"/>
          <w:numId w:val="2"/>
        </w:numPr>
        <w:suppressAutoHyphens w:val="true"/>
        <w:spacing w:lineRule="auto" w:line="240" w:before="0" w:after="0"/>
        <w:contextualSpacing/>
        <w:rPr/>
      </w:pPr>
      <w:r>
        <w:rPr/>
        <w:t>Cryptography</w:t>
      </w:r>
    </w:p>
    <w:p>
      <w:pPr>
        <w:pStyle w:val="Normal"/>
        <w:numPr>
          <w:ilvl w:val="0"/>
          <w:numId w:val="2"/>
        </w:numPr>
        <w:suppressAutoHyphens w:val="true"/>
        <w:spacing w:lineRule="auto" w:line="240" w:before="0" w:after="0"/>
        <w:contextualSpacing/>
        <w:rPr/>
      </w:pPr>
      <w:r>
        <w:rPr/>
        <w:t>Client/Server</w:t>
      </w:r>
    </w:p>
    <w:p>
      <w:pPr>
        <w:pStyle w:val="Normal"/>
        <w:numPr>
          <w:ilvl w:val="0"/>
          <w:numId w:val="2"/>
        </w:numPr>
        <w:suppressAutoHyphens w:val="true"/>
        <w:spacing w:lineRule="auto" w:line="240" w:before="0" w:after="0"/>
        <w:contextualSpacing/>
        <w:rPr/>
      </w:pPr>
      <w:r>
        <w:rPr/>
        <w:t>Code Quality</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1"/>
        </w:numPr>
        <w:rPr/>
      </w:pPr>
      <w:bookmarkStart w:id="15" w:name="_Toc32574613"/>
      <w:bookmarkStart w:id="16" w:name="_Toc349025236"/>
      <w:bookmarkStart w:id="17" w:name="_Toc106245594"/>
      <w:r>
        <w:rPr/>
        <w:t>Manual Review</w:t>
      </w:r>
      <w:bookmarkEnd w:id="15"/>
      <w:bookmarkEnd w:id="16"/>
      <w:bookmarkEnd w:id="17"/>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Reviewing the current code base, I have identified the following security concerns.</w:t>
      </w:r>
    </w:p>
    <w:p>
      <w:pPr>
        <w:pStyle w:val="Normal"/>
        <w:numPr>
          <w:ilvl w:val="0"/>
          <w:numId w:val="3"/>
        </w:numPr>
        <w:suppressAutoHyphens w:val="true"/>
        <w:spacing w:lineRule="auto" w:line="240" w:before="0" w:after="0"/>
        <w:contextualSpacing/>
        <w:rPr/>
      </w:pPr>
      <w:r>
        <w:rPr/>
        <w:t>Classes are not marked final. All classes should be marked final to prevent malicious subclassing from overriding random methods and adding finalizers.</w:t>
      </w:r>
    </w:p>
    <w:p>
      <w:pPr>
        <w:pStyle w:val="Normal"/>
        <w:numPr>
          <w:ilvl w:val="0"/>
          <w:numId w:val="3"/>
        </w:numPr>
        <w:suppressAutoHyphens w:val="true"/>
        <w:spacing w:lineRule="auto" w:line="240" w:before="0" w:after="0"/>
        <w:contextualSpacing/>
        <w:rPr/>
      </w:pPr>
      <w:r>
        <w:rPr/>
        <w:t>Input Validation of string should occur ti limit the length of strings entering methods within the application.</w:t>
      </w:r>
    </w:p>
    <w:p>
      <w:pPr>
        <w:pStyle w:val="Normal"/>
        <w:numPr>
          <w:ilvl w:val="1"/>
          <w:numId w:val="3"/>
        </w:numPr>
        <w:suppressAutoHyphens w:val="true"/>
        <w:spacing w:lineRule="auto" w:line="240" w:before="0" w:after="0"/>
        <w:contextualSpacing/>
        <w:rPr/>
      </w:pPr>
      <w:r>
        <w:rPr/>
        <w:t>Greeting.java: content parameter is not currently validated</w:t>
      </w:r>
    </w:p>
    <w:p>
      <w:pPr>
        <w:pStyle w:val="Normal"/>
        <w:numPr>
          <w:ilvl w:val="1"/>
          <w:numId w:val="3"/>
        </w:numPr>
        <w:suppressAutoHyphens w:val="true"/>
        <w:spacing w:lineRule="auto" w:line="240" w:before="0" w:after="0"/>
        <w:contextualSpacing/>
        <w:rPr/>
      </w:pPr>
      <w:r>
        <w:rPr/>
        <w:t>GreetingController.java: the /greeting API endpoint is not validated</w:t>
      </w:r>
    </w:p>
    <w:p>
      <w:pPr>
        <w:pStyle w:val="Normal"/>
        <w:numPr>
          <w:ilvl w:val="0"/>
          <w:numId w:val="3"/>
        </w:numPr>
        <w:suppressAutoHyphens w:val="true"/>
        <w:spacing w:lineRule="auto" w:line="240" w:before="0" w:after="0"/>
        <w:contextualSpacing/>
        <w:rPr/>
      </w:pPr>
      <w:r>
        <w:rPr/>
        <w:t>Code quality and Client/Server security could be better secured. The connection should be closed in the DocData.java class. It is bad practice to leave connections open and can create performance problems as well.</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Heading2"/>
        <w:numPr>
          <w:ilvl w:val="0"/>
          <w:numId w:val="1"/>
        </w:numPr>
        <w:rPr/>
      </w:pPr>
      <w:bookmarkStart w:id="18" w:name="_Toc32574614"/>
      <w:bookmarkStart w:id="19" w:name="_Toc2084855340"/>
      <w:bookmarkStart w:id="20" w:name="_Toc1177730163"/>
      <w:r>
        <w:rPr/>
        <w:t>Static Testing</w:t>
      </w:r>
      <w:bookmarkEnd w:id="18"/>
      <w:bookmarkEnd w:id="19"/>
      <w:bookmarkEnd w:id="20"/>
    </w:p>
    <w:p>
      <w:pPr>
        <w:pStyle w:val="Normal"/>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The following dependencies with known vulnerabilities were identified:</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 xml:space="preserve">bcprov-jdk15on-1.46.jar: The Bouncy Castle Crypto package is a Java implementation of cryptographic algorithms. </w:t>
      </w:r>
    </w:p>
    <w:p>
      <w:pPr>
        <w:pStyle w:val="Normal"/>
        <w:numPr>
          <w:ilvl w:val="0"/>
          <w:numId w:val="4"/>
        </w:numPr>
        <w:suppressAutoHyphens w:val="true"/>
        <w:spacing w:lineRule="auto" w:line="240" w:before="0" w:after="0"/>
        <w:textAlignment w:val="baseline"/>
        <w:rPr/>
      </w:pPr>
      <w:r>
        <w:rPr>
          <w:rFonts w:eastAsia="Times New Roman" w:cs="Calibri" w:ascii="Liberation Sans" w:hAnsi="Liberation Sans" w:cstheme="minorHAnsi"/>
          <w:sz w:val="24"/>
          <w:szCs w:val="24"/>
        </w:rPr>
        <w:t xml:space="preserve">hibernate-validator-6.0.18.Final.jar: Hibernate's Bean Validation (JSR-380) reference implementation. </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jackson-databind-2.10.2.jar: General data-binding functionality for Jackson: works on core streaming AP</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 xml:space="preserve">log4j-api-2.12.1.jar:  The Apache Log4j API. </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logback-core-1.2.3.jar:  logback-core module</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snakeyaml-1.25.jar:  YAML 1.1 parser and emitter for Java</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spring-boot-2.2.4.RELEASE.jar:  Spring Boot</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spring-boot-starter-web-2.2.4.RELEASE.jar:  Starter for building web, including RESTful, applications using Spring MVC. Uses Tomcat as the default embedded container</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spring-core-5.2.3.RELEASE.jar:  Spring Core</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spring-web-5.2.3.RELEASE.jar: Spring Web</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spring-webmvc-5.2.3.RELEASE.jar:  Spring Web MVC</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tomcat-embed-core-9.0.30.jar:  Core Tomcat implementation</w:t>
      </w:r>
    </w:p>
    <w:p>
      <w:pPr>
        <w:pStyle w:val="Normal"/>
        <w:numPr>
          <w:ilvl w:val="0"/>
          <w:numId w:val="4"/>
        </w:numPr>
        <w:suppressAutoHyphens w:val="true"/>
        <w:spacing w:lineRule="auto" w:line="240" w:before="0" w:after="0"/>
        <w:textAlignment w:val="baseline"/>
        <w:rPr>
          <w:rFonts w:ascii="Liberation Sans" w:hAnsi="Liberation Sans"/>
          <w:sz w:val="24"/>
          <w:szCs w:val="24"/>
        </w:rPr>
      </w:pPr>
      <w:r>
        <w:rPr>
          <w:rFonts w:eastAsia="Times New Roman" w:cs="Calibri" w:ascii="Liberation Sans" w:hAnsi="Liberation Sans" w:cstheme="minorHAnsi"/>
          <w:sz w:val="24"/>
          <w:szCs w:val="24"/>
        </w:rPr>
        <w:t>tomcat-embed-websocket-9.0.30.jar:  Core Tomcat implementation</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1"/>
        </w:numPr>
        <w:rPr/>
      </w:pPr>
      <w:bookmarkStart w:id="21" w:name="_Toc32574615"/>
      <w:bookmarkStart w:id="22" w:name="_Toc1123873671"/>
      <w:bookmarkStart w:id="23" w:name="_Toc1778408404"/>
      <w:r>
        <w:rPr/>
        <w:t>Mitigation Plan</w:t>
      </w:r>
      <w:bookmarkEnd w:id="21"/>
      <w:bookmarkEnd w:id="22"/>
      <w:bookmarkEnd w:id="23"/>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tbl>
      <w:tblPr>
        <w:tblW w:w="9389" w:type="dxa"/>
        <w:jc w:val="left"/>
        <w:tblInd w:w="29" w:type="dxa"/>
        <w:tblLayout w:type="fixed"/>
        <w:tblCellMar>
          <w:top w:w="0" w:type="dxa"/>
          <w:left w:w="29" w:type="dxa"/>
          <w:bottom w:w="0" w:type="dxa"/>
          <w:right w:w="29" w:type="dxa"/>
        </w:tblCellMar>
      </w:tblPr>
      <w:tblGrid>
        <w:gridCol w:w="1568"/>
        <w:gridCol w:w="1972"/>
        <w:gridCol w:w="3957"/>
        <w:gridCol w:w="1892"/>
      </w:tblGrid>
      <w:tr>
        <w:trPr>
          <w:trHeight w:val="256"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7821" w:type="dxa"/>
            <w:gridSpan w:val="3"/>
            <w:tcBorders/>
            <w:vAlign w:val="center"/>
          </w:tcPr>
          <w:p>
            <w:pPr>
              <w:pStyle w:val="Normal"/>
              <w:tabs>
                <w:tab w:val="clear" w:pos="720"/>
              </w:tabs>
              <w:spacing w:before="0" w:after="200"/>
              <w:jc w:val="center"/>
              <w:rPr>
                <w:rFonts w:ascii="Calibri" w:hAnsi="Calibri" w:cs="Calibri" w:asciiTheme="minorHAnsi" w:cstheme="minorHAnsi" w:hAnsiTheme="minorHAnsi"/>
              </w:rPr>
            </w:pPr>
            <w:r>
              <w:rPr>
                <w:b/>
              </w:rPr>
              <w:t>Vulnerability</w:t>
            </w:r>
          </w:p>
        </w:tc>
      </w:tr>
      <w:tr>
        <w:trPr>
          <w:trHeight w:val="256"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b/>
              </w:rPr>
              <w:t>Dependency</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b/>
              </w:rPr>
              <w:t>Code</w:t>
            </w:r>
          </w:p>
        </w:tc>
        <w:tc>
          <w:tcPr>
            <w:tcW w:w="3957" w:type="dxa"/>
            <w:tcBorders/>
            <w:vAlign w:val="bottom"/>
          </w:tcPr>
          <w:p>
            <w:pPr>
              <w:pStyle w:val="Normal"/>
              <w:tabs>
                <w:tab w:val="clear" w:pos="720"/>
              </w:tabs>
              <w:spacing w:before="0" w:after="200"/>
              <w:jc w:val="center"/>
              <w:rPr>
                <w:rFonts w:ascii="Calibri" w:hAnsi="Calibri" w:cs="Calibri" w:asciiTheme="minorHAnsi" w:cstheme="minorHAnsi" w:hAnsiTheme="minorHAnsi"/>
              </w:rPr>
            </w:pPr>
            <w:r>
              <w:rPr>
                <w:b/>
              </w:rPr>
              <w:t>Description</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b/>
              </w:rPr>
              <w:t>Mitigation</w:t>
            </w:r>
          </w:p>
        </w:tc>
      </w:tr>
      <w:tr>
        <w:trPr>
          <w:trHeight w:val="1373"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Bcprov-jdk15on-1.46</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CVE-2016-1000338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Upgrade to version 1.73</w:t>
            </w:r>
          </w:p>
        </w:tc>
      </w:tr>
      <w:tr>
        <w:trPr>
          <w:trHeight w:val="925"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CVE-2016-1000344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In the Bouncy Castle JCE Provider version 1.55 and earlier the DHIES implementation allowed the use of ECB mode. This mode is regarded as unsafe and support for it has been removed from the provider.</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r>
      <w:tr>
        <w:trPr>
          <w:trHeight w:val="1373"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CVE-2016-1000341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r>
      <w:tr>
        <w:trPr>
          <w:trHeight w:val="1373"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CVE-2020-15522</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r>
      <w:tr>
        <w:trPr>
          <w:trHeight w:val="1373"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Hibernate-validator-6.0.18</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CVE-2020-10693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 xml:space="preserve"> </w:t>
            </w:r>
            <w:r>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You can pass user input as an expression variable by unwrapping the context to HibernateConstraintValidatorContext.</w:t>
            </w:r>
          </w:p>
        </w:tc>
      </w:tr>
      <w:tr>
        <w:trPr>
          <w:trHeight w:val="925"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Jackson-databind-2.10.2</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CVE-2020-25649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A flaw was found in FasterXML Jackson Databind, where it did not have entity expansion secured properly. This flaw allows vulnerability to XML external entity (XXE) attacks. The highest threat from this vulnerability is data integrity.</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Avoid the use of the DOMDeserializer class.</w:t>
              <w:br/>
              <w:br/>
              <w:t>Limit the amount of resources that an unauthorized user can cause to be expended</w:t>
            </w:r>
          </w:p>
        </w:tc>
      </w:tr>
      <w:tr>
        <w:trPr>
          <w:trHeight w:val="701" w:hRule="atLeast"/>
        </w:trPr>
        <w:tc>
          <w:tcPr>
            <w:tcW w:w="1568" w:type="dxa"/>
            <w:tcBorders/>
            <w:vAlign w:val="bottom"/>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CVE-2020-36518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jackson-databind before 2.13.0 allows a Java StackOverflow exception and denial of service via a large depth of nested objects.</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r>
      <w:tr>
        <w:trPr>
          <w:trHeight w:val="925"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CVE-2021-46877</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 xml:space="preserve"> </w:t>
            </w:r>
            <w:r>
              <w:rPr/>
              <w:t>(OSSINDEX) The software does not properly restrict the size or amount of resources that are requested or influenced by an actor, which can be used to consume more resources than intended.</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r>
      <w:tr>
        <w:trPr>
          <w:trHeight w:val="925"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Log4j-api-2.12.1</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CVE-2020-9488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In logback version 1.2.7 and prior versions, an attacker with the required privileges to edit configurations files could craft a malicious configuration allowing to execute arbitrary code loaded from LDAP servers.</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Upgrade to version 2.12.3 or 2.13.1</w:t>
            </w:r>
          </w:p>
        </w:tc>
      </w:tr>
      <w:tr>
        <w:trPr>
          <w:trHeight w:val="1149"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Logback-core-1.2.3</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CVE-2021-42550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Improper validation of certificate with host mismatch in Apache Log4j SMTP appender. This could allow an SMTPS connection to be intercepted by a man-in-the-middle attack which could leak any log messages sent through that appender.</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None Required</w:t>
            </w:r>
          </w:p>
        </w:tc>
      </w:tr>
      <w:tr>
        <w:trPr>
          <w:trHeight w:val="1373"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Snakeyaml-1.25</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CVE-2022-1471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 xml:space="preserve">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Upgrade to version 2.0 or higher.</w:t>
            </w:r>
          </w:p>
        </w:tc>
      </w:tr>
      <w:tr>
        <w:trPr>
          <w:trHeight w:val="477"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CVE-2017-18640</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The Alias feature in SnakeYAML before 1.26 allows entity expansion during a load operation</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r>
      <w:tr>
        <w:trPr>
          <w:trHeight w:val="925"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CVE-2022-38749</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Using snakeYAML to parse untrusted YAML files may be vulnerable to Denial of Service attacks (DOS). If the parser is running on user supplied input, an attacker may supply content that causes the parser to crash by stackoverflow.</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r>
      <w:tr>
        <w:trPr>
          <w:trHeight w:val="1820"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Spring-boot-2.2.4</w:t>
              <w:br/>
              <w:br/>
              <w:t>Spring-webmvc-5.2.3</w:t>
              <w:br/>
              <w:br/>
              <w:t>Spring-core-5.2.3</w:t>
              <w:br/>
              <w:br/>
              <w:t>Spring-boot-starter-web-2.2.4</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CVE-2022-27772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None Required</w:t>
            </w:r>
          </w:p>
        </w:tc>
      </w:tr>
      <w:tr>
        <w:trPr>
          <w:trHeight w:val="1820"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Spring-core-5.2.3</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CVE-2022-22965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 xml:space="preserve"> </w:t>
            </w:r>
            <w:r>
              <w:rPr/>
              <w:t>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Upgrade version to to 5.2.20+</w:t>
            </w:r>
          </w:p>
        </w:tc>
      </w:tr>
      <w:tr>
        <w:trPr>
          <w:trHeight w:val="1597"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 </w:t>
            </w:r>
            <w:r>
              <w:rPr/>
              <w:t>CVE-2021-22118</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r>
      <w:tr>
        <w:trPr>
          <w:trHeight w:val="1820"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Spring-web-5.2.3</w:t>
            </w:r>
          </w:p>
        </w:tc>
        <w:tc>
          <w:tcPr>
            <w:tcW w:w="197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 xml:space="preserve">CVE-2016-1000027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Do not expose HTTP Invoker endpoints to untrusted clients</w:t>
            </w:r>
          </w:p>
        </w:tc>
      </w:tr>
      <w:tr>
        <w:trPr>
          <w:trHeight w:val="3164"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Tomcat-embed-core-9.0.30</w:t>
              <w:br/>
              <w:br/>
              <w:t>Tomcat-embed-websocket-9.0.30.</w:t>
            </w:r>
          </w:p>
        </w:tc>
        <w:tc>
          <w:tcPr>
            <w:tcW w:w="1972"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 xml:space="preserve">CVE-2020-1938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upgrade to Apache Tomcat 9.0.74</w:t>
            </w:r>
          </w:p>
        </w:tc>
      </w:tr>
      <w:tr>
        <w:trPr>
          <w:trHeight w:val="1373"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 xml:space="preserve">CVE-2020-11996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r>
      <w:tr>
        <w:trPr>
          <w:trHeight w:val="1373" w:hRule="atLeast"/>
        </w:trPr>
        <w:tc>
          <w:tcPr>
            <w:tcW w:w="1568"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r>
          </w:p>
        </w:tc>
        <w:tc>
          <w:tcPr>
            <w:tcW w:w="1972"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 xml:space="preserve">CVE-2020-13935  </w:t>
            </w:r>
          </w:p>
        </w:tc>
        <w:tc>
          <w:tcPr>
            <w:tcW w:w="3957" w:type="dxa"/>
            <w:tcBorders/>
            <w:vAlign w:val="bottom"/>
          </w:tcPr>
          <w:p>
            <w:pPr>
              <w:pStyle w:val="Normal"/>
              <w:tabs>
                <w:tab w:val="clear" w:pos="720"/>
              </w:tabs>
              <w:spacing w:before="0" w:after="200"/>
              <w:jc w:val="left"/>
              <w:rPr>
                <w:rFonts w:ascii="Calibri" w:hAnsi="Calibri" w:cs="Calibri" w:asciiTheme="minorHAnsi" w:cstheme="minorHAnsi" w:hAnsiTheme="minorHAnsi"/>
              </w:rPr>
            </w:pPr>
            <w:r>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c>
          <w:tcPr>
            <w:tcW w:w="1892" w:type="dxa"/>
            <w:tcBorders/>
            <w:vAlign w:val="center"/>
          </w:tcPr>
          <w:p>
            <w:pPr>
              <w:pStyle w:val="Normal"/>
              <w:tabs>
                <w:tab w:val="clear" w:pos="720"/>
              </w:tabs>
              <w:spacing w:before="0" w:after="200"/>
              <w:jc w:val="center"/>
              <w:rPr>
                <w:rFonts w:ascii="Calibri" w:hAnsi="Calibri" w:cs="Calibri" w:asciiTheme="minorHAnsi" w:cstheme="minorHAnsi" w:hAnsiTheme="minorHAnsi"/>
              </w:rPr>
            </w:pPr>
            <w:r>
              <w:rPr/>
              <w:t>upgrade to Apache Tomcat 9.0.74</w:t>
            </w:r>
          </w:p>
        </w:tc>
      </w:tr>
    </w:tbl>
    <w:p>
      <w:pPr>
        <w:pStyle w:val="Normal"/>
        <w:rPr>
          <w:rFonts w:ascii="Calibri" w:hAnsi="Calibri" w:cs="Calibri" w:asciiTheme="minorHAnsi" w:cstheme="minorHAnsi" w:hAnsiTheme="minorHAnsi"/>
        </w:rPr>
      </w:pPr>
      <w:r>
        <w:rPr/>
      </w:r>
    </w:p>
    <w:p>
      <w:pPr>
        <w:pStyle w:val="Normal"/>
        <w:suppressAutoHyphens w:val="true"/>
        <w:spacing w:lineRule="auto" w:line="240" w:beforeAutospacing="0" w:before="0" w:afterAutospacing="0" w:after="0"/>
        <w:contextualSpacing/>
        <w:rPr>
          <w:rFonts w:ascii="Calibri" w:hAnsi="Calibri" w:cs="Calibri" w:asciiTheme="minorHAnsi" w:cstheme="minorHAnsi" w:hAnsiTheme="minorHAnsi"/>
        </w:rPr>
      </w:pPr>
      <w:r>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jc w:val="center"/>
        <w:rPr>
          <w:rFonts w:ascii="Liberation Sans" w:hAnsi="Liberation Sans"/>
          <w:b/>
          <w:bCs/>
          <w:sz w:val="24"/>
          <w:szCs w:val="24"/>
        </w:rPr>
      </w:pPr>
      <w:r>
        <w:rPr>
          <w:rFonts w:ascii="Liberation Sans" w:hAnsi="Liberation Sans"/>
          <w:b/>
          <w:bCs/>
          <w:sz w:val="24"/>
          <w:szCs w:val="24"/>
        </w:rPr>
        <w:t>Citations</w:t>
      </w:r>
    </w:p>
    <w:p>
      <w:pPr>
        <w:pStyle w:val="NormalWeb"/>
        <w:suppressAutoHyphens w:val="true"/>
        <w:spacing w:lineRule="auto" w:line="240" w:beforeAutospacing="0" w:before="0" w:afterAutospacing="0" w:after="0"/>
        <w:contextualSpacing/>
        <w:jc w:val="center"/>
        <w:rPr>
          <w:rFonts w:ascii="Liberation Sans" w:hAnsi="Liberation Sans"/>
          <w:b/>
          <w:bCs/>
          <w:sz w:val="24"/>
          <w:szCs w:val="24"/>
        </w:rPr>
      </w:pPr>
      <w:r>
        <w:rPr>
          <w:rFonts w:ascii="Liberation Sans" w:hAnsi="Liberation Sans"/>
          <w:b/>
          <w:bCs/>
          <w:sz w:val="24"/>
          <w:szCs w:val="24"/>
        </w:rPr>
      </w:r>
    </w:p>
    <w:p>
      <w:pPr>
        <w:pStyle w:val="NormalWeb"/>
        <w:suppressAutoHyphens w:val="true"/>
        <w:spacing w:lineRule="auto" w:line="240" w:beforeAutospacing="0" w:before="0" w:afterAutospacing="0" w:after="0"/>
        <w:contextualSpacing/>
        <w:jc w:val="left"/>
        <w:rPr>
          <w:rFonts w:ascii="Liberation Sans" w:hAnsi="Liberation Sans"/>
          <w:b w:val="false"/>
          <w:bCs w:val="false"/>
          <w:sz w:val="24"/>
          <w:szCs w:val="24"/>
        </w:rPr>
      </w:pPr>
      <w:r>
        <w:rPr>
          <w:rFonts w:ascii="Liberation Sans" w:hAnsi="Liberation Sans"/>
          <w:b w:val="false"/>
          <w:bCs w:val="false"/>
          <w:sz w:val="24"/>
          <w:szCs w:val="24"/>
        </w:rPr>
        <w:t xml:space="preserve">CCPA vs GDPR. What. (n.d.). Cookieyes. </w:t>
      </w:r>
      <w:hyperlink r:id="rId4">
        <w:r>
          <w:rPr>
            <w:rStyle w:val="InternetLink"/>
            <w:rFonts w:ascii="Liberation Sans" w:hAnsi="Liberation Sans"/>
            <w:b w:val="false"/>
            <w:bCs w:val="false"/>
            <w:sz w:val="24"/>
            <w:szCs w:val="24"/>
          </w:rPr>
          <w:t>https://cookieyes.com/blog/ccpa-vs-gdpr/</w:t>
        </w:r>
      </w:hyperlink>
      <w:r>
        <w:rPr>
          <w:rFonts w:ascii="Liberation Sans" w:hAnsi="Liberation Sans"/>
          <w:b w:val="false"/>
          <w:bCs w:val="false"/>
          <w:sz w:val="24"/>
          <w:szCs w:val="24"/>
        </w:rPr>
        <w:t>.</w:t>
      </w:r>
    </w:p>
    <w:p>
      <w:pPr>
        <w:pStyle w:val="NormalWeb"/>
        <w:suppressAutoHyphens w:val="true"/>
        <w:spacing w:lineRule="auto" w:line="240" w:beforeAutospacing="0" w:before="0" w:afterAutospacing="0" w:after="0"/>
        <w:contextualSpacing/>
        <w:jc w:val="left"/>
        <w:rPr>
          <w:rFonts w:ascii="Liberation Sans" w:hAnsi="Liberation Sans"/>
          <w:b w:val="false"/>
          <w:bCs w:val="false"/>
          <w:sz w:val="24"/>
          <w:szCs w:val="24"/>
        </w:rPr>
      </w:pPr>
      <w:r>
        <w:rPr>
          <w:rFonts w:ascii="Liberation Sans" w:hAnsi="Liberation Sans"/>
          <w:b w:val="false"/>
          <w:bCs w:val="false"/>
          <w:sz w:val="24"/>
          <w:szCs w:val="24"/>
        </w:rPr>
      </w:r>
    </w:p>
    <w:p>
      <w:pPr>
        <w:pStyle w:val="NormalWeb"/>
        <w:suppressAutoHyphens w:val="true"/>
        <w:spacing w:lineRule="auto" w:line="240" w:beforeAutospacing="0" w:before="0" w:afterAutospacing="0" w:after="0"/>
        <w:contextualSpacing/>
        <w:jc w:val="left"/>
        <w:rPr>
          <w:rFonts w:ascii="Liberation Sans" w:hAnsi="Liberation Sans"/>
          <w:b w:val="false"/>
          <w:bCs w:val="false"/>
          <w:sz w:val="24"/>
          <w:szCs w:val="24"/>
        </w:rPr>
      </w:pPr>
      <w:r>
        <w:rPr>
          <w:rFonts w:ascii="Liberation Sans" w:hAnsi="Liberation Sans"/>
          <w:b w:val="false"/>
          <w:bCs w:val="false"/>
          <w:sz w:val="24"/>
          <w:szCs w:val="24"/>
        </w:rPr>
        <w:t>The New Stack. (n.d.). Thenewstack. https://thenewstack.io/use-of-spring-shifts-toward-modern-apps-and-architecture//blog/ccpa-vs-gdpr/.</w:t>
      </w:r>
    </w:p>
    <w:sectPr>
      <w:headerReference w:type="defaul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463048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6307113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987"/>
        </w:tabs>
        <w:ind w:left="987" w:hanging="360"/>
      </w:pPr>
      <w:rPr>
        <w:rFonts w:ascii="Symbol" w:hAnsi="Symbol" w:cs="Symbol" w:hint="default"/>
      </w:rPr>
    </w:lvl>
    <w:lvl w:ilvl="1">
      <w:start w:val="1"/>
      <w:numFmt w:val="bullet"/>
      <w:lvlText w:val="◦"/>
      <w:lvlJc w:val="left"/>
      <w:pPr>
        <w:tabs>
          <w:tab w:val="num" w:pos="1347"/>
        </w:tabs>
        <w:ind w:left="1347" w:hanging="360"/>
      </w:pPr>
      <w:rPr>
        <w:rFonts w:ascii="OpenSymbol" w:hAnsi="OpenSymbol" w:cs="OpenSymbol" w:hint="default"/>
      </w:rPr>
    </w:lvl>
    <w:lvl w:ilvl="2">
      <w:start w:val="1"/>
      <w:numFmt w:val="bullet"/>
      <w:lvlText w:val="▪"/>
      <w:lvlJc w:val="left"/>
      <w:pPr>
        <w:tabs>
          <w:tab w:val="num" w:pos="1707"/>
        </w:tabs>
        <w:ind w:left="1707" w:hanging="360"/>
      </w:pPr>
      <w:rPr>
        <w:rFonts w:ascii="OpenSymbol" w:hAnsi="OpenSymbol" w:cs="OpenSymbol" w:hint="default"/>
      </w:rPr>
    </w:lvl>
    <w:lvl w:ilvl="3">
      <w:start w:val="1"/>
      <w:numFmt w:val="bullet"/>
      <w:lvlText w:val=""/>
      <w:lvlJc w:val="left"/>
      <w:pPr>
        <w:tabs>
          <w:tab w:val="num" w:pos="2067"/>
        </w:tabs>
        <w:ind w:left="2067" w:hanging="360"/>
      </w:pPr>
      <w:rPr>
        <w:rFonts w:ascii="Symbol" w:hAnsi="Symbol" w:cs="Symbol" w:hint="default"/>
      </w:rPr>
    </w:lvl>
    <w:lvl w:ilvl="4">
      <w:start w:val="1"/>
      <w:numFmt w:val="bullet"/>
      <w:lvlText w:val="◦"/>
      <w:lvlJc w:val="left"/>
      <w:pPr>
        <w:tabs>
          <w:tab w:val="num" w:pos="2427"/>
        </w:tabs>
        <w:ind w:left="2427" w:hanging="360"/>
      </w:pPr>
      <w:rPr>
        <w:rFonts w:ascii="OpenSymbol" w:hAnsi="OpenSymbol" w:cs="OpenSymbol" w:hint="default"/>
      </w:rPr>
    </w:lvl>
    <w:lvl w:ilvl="5">
      <w:start w:val="1"/>
      <w:numFmt w:val="bullet"/>
      <w:lvlText w:val="▪"/>
      <w:lvlJc w:val="left"/>
      <w:pPr>
        <w:tabs>
          <w:tab w:val="num" w:pos="2787"/>
        </w:tabs>
        <w:ind w:left="2787" w:hanging="360"/>
      </w:pPr>
      <w:rPr>
        <w:rFonts w:ascii="OpenSymbol" w:hAnsi="OpenSymbol" w:cs="OpenSymbol" w:hint="default"/>
      </w:rPr>
    </w:lvl>
    <w:lvl w:ilvl="6">
      <w:start w:val="1"/>
      <w:numFmt w:val="bullet"/>
      <w:lvlText w:val=""/>
      <w:lvlJc w:val="left"/>
      <w:pPr>
        <w:tabs>
          <w:tab w:val="num" w:pos="3147"/>
        </w:tabs>
        <w:ind w:left="3147" w:hanging="360"/>
      </w:pPr>
      <w:rPr>
        <w:rFonts w:ascii="Symbol" w:hAnsi="Symbol" w:cs="Symbol" w:hint="default"/>
      </w:rPr>
    </w:lvl>
    <w:lvl w:ilvl="7">
      <w:start w:val="1"/>
      <w:numFmt w:val="bullet"/>
      <w:lvlText w:val="◦"/>
      <w:lvlJc w:val="left"/>
      <w:pPr>
        <w:tabs>
          <w:tab w:val="num" w:pos="3507"/>
        </w:tabs>
        <w:ind w:left="3507" w:hanging="360"/>
      </w:pPr>
      <w:rPr>
        <w:rFonts w:ascii="OpenSymbol" w:hAnsi="OpenSymbol" w:cs="OpenSymbol" w:hint="default"/>
      </w:rPr>
    </w:lvl>
    <w:lvl w:ilvl="8">
      <w:start w:val="1"/>
      <w:numFmt w:val="bullet"/>
      <w:lvlText w:val="▪"/>
      <w:lvlJc w:val="left"/>
      <w:pPr>
        <w:tabs>
          <w:tab w:val="num" w:pos="3867"/>
        </w:tabs>
        <w:ind w:left="3867"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docVars>
    <w:docVar w:name="__Grammarly_42____i" w:val="H4sIAAAAAAAEAKtWckksSQxILCpxzi/NK1GyMqwFAAEhoTITAAAA"/>
    <w:docVar w:name="__Grammarly_42___1" w:val="H4sIAAAAAAAEAKtWcslP9kxRslIyNDayNLE0MjA3MDA2tTCxsLRU0lEKTi0uzszPAykwqgUAOXghu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semiHidden/>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ookieyes.com/blog/ccpa-vs-gdp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140</TotalTime>
  <Application>LibreOffice/7.5.3.2$Linux_X86_64 LibreOffice_project/50$Build-2</Application>
  <AppVersion>15.0000</AppVersion>
  <Pages>10</Pages>
  <Words>1683</Words>
  <Characters>10271</Characters>
  <CharactersWithSpaces>11839</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dc:description/>
  <dc:language>en-US</dc:language>
  <cp:lastModifiedBy/>
  <dcterms:modified xsi:type="dcterms:W3CDTF">2023-05-21T16:24:07Z</dcterms:modified>
  <cp:revision>50</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