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85" w:rsidRPr="00F36F85" w:rsidRDefault="00F36F85">
      <w:bookmarkStart w:id="0" w:name="_GoBack"/>
      <w:bookmarkEnd w:id="0"/>
      <w:r>
        <w:t xml:space="preserve">What do world leaders do after they leave office? In much of the democratic world, many former leaders can expect to join corporate boards, become consultants, or start non-profit organizations. The question remains however: how much should their new employers pay them? In the presence of this revolving-door effect between government and business, the news media serves a key intermediary. We suppose that business-facing publications like </w:t>
      </w:r>
      <w:r>
        <w:rPr>
          <w:i/>
        </w:rPr>
        <w:t>The Economist</w:t>
      </w:r>
      <w:r>
        <w:t xml:space="preserve"> and the </w:t>
      </w:r>
      <w:r>
        <w:rPr>
          <w:i/>
        </w:rPr>
        <w:t>Financial Times</w:t>
      </w:r>
      <w:r>
        <w:t xml:space="preserve"> inform the business community as to the extent of former leaders’ pro-business attitudes, and commensurately, how well they should be remunerated. We test this hypothesis by analyzing the sentiment expressed about leaders in </w:t>
      </w:r>
      <w:r>
        <w:rPr>
          <w:i/>
        </w:rPr>
        <w:t>The Economist</w:t>
      </w:r>
      <w:r>
        <w:t xml:space="preserve"> between 1992 and 2020.</w:t>
      </w:r>
    </w:p>
    <w:sectPr w:rsidR="00F36F85" w:rsidRPr="00F3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85"/>
    <w:rsid w:val="003A70F4"/>
    <w:rsid w:val="004B5DCB"/>
    <w:rsid w:val="00F3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A7E6"/>
  <w15:chartTrackingRefBased/>
  <w15:docId w15:val="{EE50C03A-F8EA-413E-8D2F-0B3F56D9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Joshua</dc:creator>
  <cp:keywords/>
  <dc:description/>
  <cp:lastModifiedBy>Levy, Joshua</cp:lastModifiedBy>
  <cp:revision>1</cp:revision>
  <dcterms:created xsi:type="dcterms:W3CDTF">2021-09-24T14:06:00Z</dcterms:created>
  <dcterms:modified xsi:type="dcterms:W3CDTF">2021-09-24T14:15:00Z</dcterms:modified>
</cp:coreProperties>
</file>