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b w:val="1"/>
        </w:rPr>
      </w:pPr>
      <w:r w:rsidDel="00000000" w:rsidR="00000000" w:rsidRPr="00000000">
        <w:rPr>
          <w:b w:val="1"/>
          <w:rtl w:val="0"/>
        </w:rPr>
        <w:t xml:space="preserve">ARTICLE XI: STANDARD PROCEDURES</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11.01 Both in its own events and in sponsorship of other events, the Lecture Fund shall at all times strive to use its funds directly</w:t>
      </w:r>
    </w:p>
    <w:p w:rsidR="00000000" w:rsidDel="00000000" w:rsidP="00000000" w:rsidRDefault="00000000" w:rsidRPr="00000000" w14:paraId="00000003">
      <w:pPr>
        <w:rPr/>
      </w:pPr>
      <w:r w:rsidDel="00000000" w:rsidR="00000000" w:rsidRPr="00000000">
        <w:rPr>
          <w:rtl w:val="0"/>
        </w:rPr>
        <w:t xml:space="preserve">and solely for the production of lecture and speaking events.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(a) The Lecture Fund shall not spend or commit its funds to any group for the purchase of food or drink at a speaking event. This subsection shall not be interpreted to bar the Lecture Fund from spending funds not received from the Georgetown</w:t>
      </w:r>
    </w:p>
    <w:p w:rsidR="00000000" w:rsidDel="00000000" w:rsidP="00000000" w:rsidRDefault="00000000" w:rsidRPr="00000000" w14:paraId="00000006">
      <w:pPr>
        <w:rPr/>
      </w:pPr>
      <w:r w:rsidDel="00000000" w:rsidR="00000000" w:rsidRPr="00000000">
        <w:rPr>
          <w:rtl w:val="0"/>
        </w:rPr>
        <w:t xml:space="preserve">University Student Association on food and drink for internal events and functions.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(b) The Lecture Fund shall limit its spending on and contribution to the cost of lodging and accommodation for speakers. The standard accommodation that Lecture Fund shall provide to speakers when necessary shall be one night in a standard room at the Georgetown University Hotel &amp; Conference Center or an equivalent sum of money. Arrangements should diverge from this only in extreme circumstances and at the approval of the Associate Board.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11.02 The Lecture Fund shall not take any partisan position with regard to support or opposition to candidates for President and Vice President of the Georgetown University Student Association (GUSA). The Lecture Fund shall not offer its endorsement to a</w:t>
      </w:r>
    </w:p>
    <w:p w:rsidR="00000000" w:rsidDel="00000000" w:rsidP="00000000" w:rsidRDefault="00000000" w:rsidRPr="00000000" w14:paraId="0000000B">
      <w:pPr>
        <w:rPr/>
      </w:pPr>
      <w:r w:rsidDel="00000000" w:rsidR="00000000" w:rsidRPr="00000000">
        <w:rPr>
          <w:rtl w:val="0"/>
        </w:rPr>
        <w:t xml:space="preserve">campaign or platform for such office.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Members of the Lecture Fund shall not lend their endorsement to a campaign or platform for such office in their official capacity as members of either the Associate and Executive Boards.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 This section shall not be construed to bar any member of the Lecture Fund from endorsing, supporting, opposing, participating with, or otherwise engaging a campaign in a capacity strictly as a private individual.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 This section shall not be construed to bar members of the Executive Board to offer the opinion of the Lecture Fund on substantive proposals raised either by candidates for or officials of the Georgetown University Student Association when solicited or necessary. The Chair shall have the right to speak on behalf of the Lecture Fund pursuant to Article IV,</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