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60"/>
          <w:szCs w:val="60"/>
          <w:highlight w:val="white"/>
        </w:rPr>
      </w:pPr>
      <w:r w:rsidDel="00000000" w:rsidR="00000000" w:rsidRPr="00000000">
        <w:rPr>
          <w:b w:val="1"/>
          <w:color w:val="222222"/>
          <w:sz w:val="60"/>
          <w:szCs w:val="60"/>
          <w:highlight w:val="white"/>
          <w:rtl w:val="0"/>
        </w:rPr>
        <w:t xml:space="preserve">The Finance and Appropriations Committee of the 14th Senate</w:t>
      </w:r>
    </w:p>
    <w:p w:rsidR="00000000" w:rsidDel="00000000" w:rsidP="00000000" w:rsidRDefault="00000000" w:rsidRPr="00000000" w14:paraId="00000002">
      <w:pPr>
        <w:jc w:val="center"/>
        <w:rPr>
          <w:i w:val="1"/>
          <w:color w:val="222222"/>
          <w:sz w:val="40"/>
          <w:szCs w:val="40"/>
          <w:highlight w:val="white"/>
        </w:rPr>
      </w:pPr>
      <w:r w:rsidDel="00000000" w:rsidR="00000000" w:rsidRPr="00000000">
        <w:rPr>
          <w:i w:val="1"/>
          <w:color w:val="222222"/>
          <w:sz w:val="40"/>
          <w:szCs w:val="40"/>
          <w:highlight w:val="white"/>
          <w:rtl w:val="0"/>
        </w:rPr>
        <w:t xml:space="preserve">First Meeting</w:t>
      </w:r>
      <w:r w:rsidDel="00000000" w:rsidR="00000000" w:rsidRPr="00000000">
        <w:rPr>
          <w:i w:val="1"/>
          <w:color w:val="222222"/>
          <w:sz w:val="40"/>
          <w:szCs w:val="40"/>
          <w:highlight w:val="white"/>
          <w:rtl w:val="0"/>
        </w:rPr>
        <w:t xml:space="preserve"> of the Spring Session</w:t>
      </w:r>
    </w:p>
    <w:p w:rsidR="00000000" w:rsidDel="00000000" w:rsidP="00000000" w:rsidRDefault="00000000" w:rsidRPr="00000000" w14:paraId="00000003">
      <w:pPr>
        <w:jc w:val="center"/>
        <w:rPr>
          <w:color w:val="222222"/>
          <w:highlight w:val="white"/>
        </w:rPr>
      </w:pPr>
      <w:r w:rsidDel="00000000" w:rsidR="00000000" w:rsidRPr="00000000">
        <w:rPr>
          <w:rtl w:val="0"/>
        </w:rPr>
      </w:r>
    </w:p>
    <w:p w:rsidR="00000000" w:rsidDel="00000000" w:rsidP="00000000" w:rsidRDefault="00000000" w:rsidRPr="00000000" w14:paraId="00000004">
      <w:pPr>
        <w:jc w:val="center"/>
        <w:rPr>
          <w:color w:val="222222"/>
          <w:sz w:val="30"/>
          <w:szCs w:val="30"/>
          <w:highlight w:val="white"/>
        </w:rPr>
      </w:pPr>
      <w:r w:rsidDel="00000000" w:rsidR="00000000" w:rsidRPr="00000000">
        <w:rPr>
          <w:color w:val="222222"/>
          <w:sz w:val="30"/>
          <w:szCs w:val="30"/>
          <w:highlight w:val="white"/>
          <w:rtl w:val="0"/>
        </w:rPr>
        <w:t xml:space="preserve">Sunday, January, 2020</w:t>
      </w:r>
    </w:p>
    <w:p w:rsidR="00000000" w:rsidDel="00000000" w:rsidP="00000000" w:rsidRDefault="00000000" w:rsidRPr="00000000" w14:paraId="00000005">
      <w:pPr>
        <w:jc w:val="center"/>
        <w:rPr>
          <w:color w:val="222222"/>
          <w:sz w:val="30"/>
          <w:szCs w:val="30"/>
          <w:highlight w:val="white"/>
        </w:rPr>
      </w:pPr>
      <w:r w:rsidDel="00000000" w:rsidR="00000000" w:rsidRPr="00000000">
        <w:rPr>
          <w:color w:val="222222"/>
          <w:sz w:val="30"/>
          <w:szCs w:val="30"/>
          <w:highlight w:val="white"/>
          <w:rtl w:val="0"/>
        </w:rPr>
        <w:t xml:space="preserve">HEA 104, 3 PM  </w:t>
      </w:r>
    </w:p>
    <w:p w:rsidR="00000000" w:rsidDel="00000000" w:rsidP="00000000" w:rsidRDefault="00000000" w:rsidRPr="00000000" w14:paraId="00000006">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07">
      <w:pPr>
        <w:jc w:val="center"/>
        <w:rPr>
          <w:color w:val="222222"/>
          <w:sz w:val="30"/>
          <w:szCs w:val="30"/>
          <w:highlight w:val="white"/>
        </w:rPr>
      </w:pPr>
      <w:r w:rsidDel="00000000" w:rsidR="00000000" w:rsidRPr="00000000">
        <w:rPr>
          <w:color w:val="222222"/>
          <w:sz w:val="30"/>
          <w:szCs w:val="30"/>
          <w:highlight w:val="white"/>
          <w:rtl w:val="0"/>
        </w:rPr>
        <w:t xml:space="preserve">Meeting Agenda</w:t>
      </w:r>
    </w:p>
    <w:p w:rsidR="00000000" w:rsidDel="00000000" w:rsidP="00000000" w:rsidRDefault="00000000" w:rsidRPr="00000000" w14:paraId="00000008">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Call to Order</w:t>
      </w:r>
    </w:p>
    <w:p w:rsidR="00000000" w:rsidDel="00000000" w:rsidP="00000000" w:rsidRDefault="00000000" w:rsidRPr="00000000" w14:paraId="00000009">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Attendance</w:t>
      </w:r>
      <w:r w:rsidDel="00000000" w:rsidR="00000000" w:rsidRPr="00000000">
        <w:rPr>
          <w:rtl w:val="0"/>
        </w:rPr>
      </w:r>
    </w:p>
    <w:p w:rsidR="00000000" w:rsidDel="00000000" w:rsidP="00000000" w:rsidRDefault="00000000" w:rsidRPr="00000000" w14:paraId="0000000A">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Briefings</w:t>
      </w:r>
    </w:p>
    <w:p w:rsidR="00000000" w:rsidDel="00000000" w:rsidP="00000000" w:rsidRDefault="00000000" w:rsidRPr="00000000" w14:paraId="0000000B">
      <w:pPr>
        <w:numPr>
          <w:ilvl w:val="1"/>
          <w:numId w:val="1"/>
        </w:numPr>
        <w:ind w:left="1440" w:hanging="360"/>
        <w:rPr>
          <w:sz w:val="30"/>
          <w:szCs w:val="30"/>
          <w:u w:val="none"/>
        </w:rPr>
      </w:pPr>
      <w:r w:rsidDel="00000000" w:rsidR="00000000" w:rsidRPr="00000000">
        <w:rPr>
          <w:sz w:val="30"/>
          <w:szCs w:val="30"/>
          <w:rtl w:val="0"/>
        </w:rPr>
        <w:t xml:space="preserve">Chair</w:t>
      </w:r>
    </w:p>
    <w:p w:rsidR="00000000" w:rsidDel="00000000" w:rsidP="00000000" w:rsidRDefault="00000000" w:rsidRPr="00000000" w14:paraId="0000000C">
      <w:pPr>
        <w:numPr>
          <w:ilvl w:val="1"/>
          <w:numId w:val="1"/>
        </w:numPr>
        <w:ind w:left="1440" w:hanging="360"/>
        <w:rPr>
          <w:sz w:val="30"/>
          <w:szCs w:val="30"/>
          <w:u w:val="none"/>
        </w:rPr>
      </w:pPr>
      <w:r w:rsidDel="00000000" w:rsidR="00000000" w:rsidRPr="00000000">
        <w:rPr>
          <w:sz w:val="30"/>
          <w:szCs w:val="30"/>
          <w:rtl w:val="0"/>
        </w:rPr>
        <w:t xml:space="preserve">Vice Chair</w:t>
      </w:r>
      <w:r w:rsidDel="00000000" w:rsidR="00000000" w:rsidRPr="00000000">
        <w:rPr>
          <w:rtl w:val="0"/>
        </w:rPr>
      </w:r>
    </w:p>
    <w:p w:rsidR="00000000" w:rsidDel="00000000" w:rsidP="00000000" w:rsidRDefault="00000000" w:rsidRPr="00000000" w14:paraId="0000000D">
      <w:pPr>
        <w:numPr>
          <w:ilvl w:val="0"/>
          <w:numId w:val="1"/>
        </w:numPr>
        <w:ind w:left="720" w:hanging="360"/>
        <w:rPr>
          <w:sz w:val="30"/>
          <w:szCs w:val="30"/>
          <w:u w:val="none"/>
        </w:rPr>
      </w:pPr>
      <w:hyperlink r:id="rId6">
        <w:r w:rsidDel="00000000" w:rsidR="00000000" w:rsidRPr="00000000">
          <w:rPr>
            <w:color w:val="1155cc"/>
            <w:sz w:val="30"/>
            <w:szCs w:val="30"/>
            <w:u w:val="single"/>
            <w:rtl w:val="0"/>
          </w:rPr>
          <w:t xml:space="preserve">Pending Legislation</w:t>
        </w:r>
      </w:hyperlink>
      <w:r w:rsidDel="00000000" w:rsidR="00000000" w:rsidRPr="00000000">
        <w:rPr>
          <w:color w:val="c9daf8"/>
          <w:sz w:val="30"/>
          <w:szCs w:val="30"/>
          <w:highlight w:val="white"/>
          <w:rtl w:val="0"/>
        </w:rPr>
        <w:t xml:space="preserve"> </w:t>
      </w:r>
    </w:p>
    <w:p w:rsidR="00000000" w:rsidDel="00000000" w:rsidP="00000000" w:rsidRDefault="00000000" w:rsidRPr="00000000" w14:paraId="0000000E">
      <w:pPr>
        <w:numPr>
          <w:ilvl w:val="1"/>
          <w:numId w:val="1"/>
        </w:numPr>
        <w:ind w:left="1440" w:hanging="360"/>
        <w:rPr>
          <w:sz w:val="30"/>
          <w:szCs w:val="30"/>
          <w:highlight w:val="white"/>
        </w:rPr>
      </w:pPr>
      <w:r w:rsidDel="00000000" w:rsidR="00000000" w:rsidRPr="00000000">
        <w:rPr>
          <w:sz w:val="30"/>
          <w:szCs w:val="30"/>
          <w:highlight w:val="white"/>
          <w:rtl w:val="0"/>
        </w:rPr>
        <w:t xml:space="preserve">Item 1, etc.</w:t>
      </w:r>
      <w:r w:rsidDel="00000000" w:rsidR="00000000" w:rsidRPr="00000000">
        <w:rPr>
          <w:rtl w:val="0"/>
        </w:rPr>
      </w:r>
    </w:p>
    <w:p w:rsidR="00000000" w:rsidDel="00000000" w:rsidP="00000000" w:rsidRDefault="00000000" w:rsidRPr="00000000" w14:paraId="0000000F">
      <w:pPr>
        <w:numPr>
          <w:ilvl w:val="0"/>
          <w:numId w:val="1"/>
        </w:numPr>
        <w:ind w:left="720" w:hanging="360"/>
        <w:rPr>
          <w:sz w:val="30"/>
          <w:szCs w:val="30"/>
          <w:u w:val="none"/>
        </w:rPr>
      </w:pPr>
      <w:r w:rsidDel="00000000" w:rsidR="00000000" w:rsidRPr="00000000">
        <w:rPr>
          <w:color w:val="222222"/>
          <w:sz w:val="30"/>
          <w:szCs w:val="30"/>
          <w:highlight w:val="white"/>
          <w:rtl w:val="0"/>
        </w:rPr>
        <w:t xml:space="preserve">Public Comment</w:t>
      </w:r>
    </w:p>
    <w:p w:rsidR="00000000" w:rsidDel="00000000" w:rsidP="00000000" w:rsidRDefault="00000000" w:rsidRPr="00000000" w14:paraId="00000010">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Good of the Order</w:t>
      </w:r>
    </w:p>
    <w:p w:rsidR="00000000" w:rsidDel="00000000" w:rsidP="00000000" w:rsidRDefault="00000000" w:rsidRPr="00000000" w14:paraId="00000011">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Adjournment</w:t>
      </w:r>
    </w:p>
    <w:p w:rsidR="00000000" w:rsidDel="00000000" w:rsidP="00000000" w:rsidRDefault="00000000" w:rsidRPr="00000000" w14:paraId="00000012">
      <w:pPr>
        <w:rPr>
          <w:color w:val="222222"/>
          <w:sz w:val="30"/>
          <w:szCs w:val="30"/>
          <w:highlight w:val="white"/>
        </w:rPr>
      </w:pPr>
      <w:r w:rsidDel="00000000" w:rsidR="00000000" w:rsidRPr="00000000">
        <w:rPr>
          <w:rtl w:val="0"/>
        </w:rPr>
      </w:r>
    </w:p>
    <w:p w:rsidR="00000000" w:rsidDel="00000000" w:rsidP="00000000" w:rsidRDefault="00000000" w:rsidRPr="00000000" w14:paraId="00000013">
      <w:pPr>
        <w:jc w:val="center"/>
        <w:rPr>
          <w:color w:val="222222"/>
          <w:sz w:val="30"/>
          <w:szCs w:val="30"/>
          <w:highlight w:val="white"/>
        </w:rPr>
      </w:pPr>
      <w:r w:rsidDel="00000000" w:rsidR="00000000" w:rsidRPr="00000000">
        <w:rPr>
          <w:b w:val="1"/>
          <w:color w:val="222222"/>
          <w:sz w:val="30"/>
          <w:szCs w:val="30"/>
          <w:highlight w:val="white"/>
          <w:rtl w:val="0"/>
        </w:rPr>
        <w:t xml:space="preserve">Next Meeting: </w:t>
      </w:r>
      <w:r w:rsidDel="00000000" w:rsidR="00000000" w:rsidRPr="00000000">
        <w:rPr>
          <w:color w:val="222222"/>
          <w:sz w:val="30"/>
          <w:szCs w:val="30"/>
          <w:highlight w:val="white"/>
          <w:rtl w:val="0"/>
        </w:rPr>
        <w:t xml:space="preserve">Sunday, February 2, 2020</w:t>
      </w:r>
    </w:p>
    <w:p w:rsidR="00000000" w:rsidDel="00000000" w:rsidP="00000000" w:rsidRDefault="00000000" w:rsidRPr="00000000" w14:paraId="00000014">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5">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6">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7">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8">
      <w:pPr>
        <w:jc w:val="center"/>
        <w:rPr>
          <w:color w:val="222222"/>
          <w:sz w:val="30"/>
          <w:szCs w:val="30"/>
          <w:highlight w:val="white"/>
        </w:rPr>
      </w:pPr>
      <w:r w:rsidDel="00000000" w:rsidR="00000000" w:rsidRPr="00000000">
        <w:rPr>
          <w:color w:val="222222"/>
          <w:sz w:val="30"/>
          <w:szCs w:val="30"/>
          <w:highlight w:val="white"/>
          <w:rtl w:val="0"/>
        </w:rPr>
        <w:t xml:space="preserve">Meeting Notes</w:t>
      </w:r>
    </w:p>
    <w:p w:rsidR="00000000" w:rsidDel="00000000" w:rsidP="00000000" w:rsidRDefault="00000000" w:rsidRPr="00000000" w14:paraId="00000019">
      <w:pPr>
        <w:jc w:val="center"/>
        <w:rPr>
          <w:color w:val="222222"/>
          <w:sz w:val="30"/>
          <w:szCs w:val="30"/>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Call to Order at Time </w:t>
      </w:r>
    </w:p>
    <w:p w:rsidR="00000000" w:rsidDel="00000000" w:rsidP="00000000" w:rsidRDefault="00000000" w:rsidRPr="00000000" w14:paraId="0000001B">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Attendance</w:t>
      </w:r>
      <w:r w:rsidDel="00000000" w:rsidR="00000000" w:rsidRPr="00000000">
        <w:rPr>
          <w:color w:val="222222"/>
          <w:sz w:val="30"/>
          <w:szCs w:val="30"/>
          <w:highlight w:val="white"/>
          <w:rtl w:val="0"/>
        </w:rPr>
        <w:t xml:space="preserve"> </w:t>
      </w:r>
    </w:p>
    <w:p w:rsidR="00000000" w:rsidDel="00000000" w:rsidP="00000000" w:rsidRDefault="00000000" w:rsidRPr="00000000" w14:paraId="0000001C">
      <w:pPr>
        <w:numPr>
          <w:ilvl w:val="0"/>
          <w:numId w:val="3"/>
        </w:numPr>
        <w:ind w:left="1440" w:hanging="360"/>
        <w:rPr>
          <w:color w:val="222222"/>
          <w:sz w:val="30"/>
          <w:szCs w:val="30"/>
          <w:highlight w:val="white"/>
          <w:u w:val="none"/>
        </w:rPr>
      </w:pPr>
      <w:r w:rsidDel="00000000" w:rsidR="00000000" w:rsidRPr="00000000">
        <w:rPr>
          <w:color w:val="222222"/>
          <w:sz w:val="30"/>
          <w:szCs w:val="30"/>
          <w:highlight w:val="white"/>
          <w:rtl w:val="0"/>
        </w:rPr>
        <w:t xml:space="preserve">Present: Hamilton, Weiss, Volpe, Dai, Nugent  </w:t>
      </w:r>
    </w:p>
    <w:p w:rsidR="00000000" w:rsidDel="00000000" w:rsidP="00000000" w:rsidRDefault="00000000" w:rsidRPr="00000000" w14:paraId="0000001D">
      <w:pPr>
        <w:numPr>
          <w:ilvl w:val="0"/>
          <w:numId w:val="3"/>
        </w:numPr>
        <w:ind w:left="1440" w:hanging="360"/>
        <w:rPr>
          <w:color w:val="222222"/>
          <w:sz w:val="30"/>
          <w:szCs w:val="30"/>
          <w:highlight w:val="white"/>
          <w:u w:val="none"/>
        </w:rPr>
      </w:pPr>
      <w:r w:rsidDel="00000000" w:rsidR="00000000" w:rsidRPr="00000000">
        <w:rPr>
          <w:color w:val="222222"/>
          <w:sz w:val="30"/>
          <w:szCs w:val="30"/>
          <w:highlight w:val="white"/>
          <w:rtl w:val="0"/>
        </w:rPr>
        <w:t xml:space="preserve">Absent: Moreno, Mahmud, </w:t>
      </w:r>
    </w:p>
    <w:p w:rsidR="00000000" w:rsidDel="00000000" w:rsidP="00000000" w:rsidRDefault="00000000" w:rsidRPr="00000000" w14:paraId="0000001E">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Briefings</w:t>
      </w:r>
    </w:p>
    <w:p w:rsidR="00000000" w:rsidDel="00000000" w:rsidP="00000000" w:rsidRDefault="00000000" w:rsidRPr="00000000" w14:paraId="0000001F">
      <w:pPr>
        <w:numPr>
          <w:ilvl w:val="1"/>
          <w:numId w:val="1"/>
        </w:numPr>
        <w:ind w:left="1440" w:hanging="360"/>
        <w:rPr>
          <w:sz w:val="30"/>
          <w:szCs w:val="30"/>
        </w:rPr>
      </w:pPr>
      <w:r w:rsidDel="00000000" w:rsidR="00000000" w:rsidRPr="00000000">
        <w:rPr>
          <w:sz w:val="30"/>
          <w:szCs w:val="30"/>
          <w:rtl w:val="0"/>
        </w:rPr>
        <w:t xml:space="preserve">Dai: SAC is at a sound place right now. They are giving info about the reserves, They had questions about how other advisory boards feel about getting an increase in their accounts. </w:t>
      </w:r>
    </w:p>
    <w:p w:rsidR="00000000" w:rsidDel="00000000" w:rsidP="00000000" w:rsidRDefault="00000000" w:rsidRPr="00000000" w14:paraId="00000020">
      <w:pPr>
        <w:numPr>
          <w:ilvl w:val="1"/>
          <w:numId w:val="1"/>
        </w:numPr>
        <w:ind w:left="1440" w:hanging="360"/>
        <w:rPr>
          <w:sz w:val="30"/>
          <w:szCs w:val="30"/>
          <w:u w:val="none"/>
        </w:rPr>
      </w:pPr>
      <w:r w:rsidDel="00000000" w:rsidR="00000000" w:rsidRPr="00000000">
        <w:rPr>
          <w:sz w:val="30"/>
          <w:szCs w:val="30"/>
          <w:rtl w:val="0"/>
        </w:rPr>
        <w:t xml:space="preserve">Volpe: CMSF they are going to request a significant increase given that they are a small part of the budget. They were shooting for a 20% increase. One they are experiencing a lot increase in membership. With 2020, a lot of students like to find a strong community in their religious organizations. This year, Ramadan intersects with the school calendar and because leos doesn’t offer food after 8. So MSA has dinners for students who are fasting. They do get some money from the chaplancy but they are in trouble because they are paying for the mosque. They say the audit is ok. </w:t>
      </w:r>
    </w:p>
    <w:p w:rsidR="00000000" w:rsidDel="00000000" w:rsidP="00000000" w:rsidRDefault="00000000" w:rsidRPr="00000000" w14:paraId="00000021">
      <w:pPr>
        <w:numPr>
          <w:ilvl w:val="1"/>
          <w:numId w:val="1"/>
        </w:numPr>
        <w:ind w:left="1440" w:hanging="360"/>
        <w:rPr>
          <w:sz w:val="30"/>
          <w:szCs w:val="30"/>
          <w:u w:val="none"/>
        </w:rPr>
      </w:pPr>
      <w:r w:rsidDel="00000000" w:rsidR="00000000" w:rsidRPr="00000000">
        <w:rPr>
          <w:sz w:val="30"/>
          <w:szCs w:val="30"/>
          <w:rtl w:val="0"/>
        </w:rPr>
        <w:t xml:space="preserve">Nugent: no updates. </w:t>
      </w:r>
    </w:p>
    <w:p w:rsidR="00000000" w:rsidDel="00000000" w:rsidP="00000000" w:rsidRDefault="00000000" w:rsidRPr="00000000" w14:paraId="00000022">
      <w:pPr>
        <w:numPr>
          <w:ilvl w:val="1"/>
          <w:numId w:val="1"/>
        </w:numPr>
        <w:ind w:left="1440" w:hanging="360"/>
        <w:rPr>
          <w:sz w:val="30"/>
          <w:szCs w:val="30"/>
          <w:u w:val="none"/>
        </w:rPr>
      </w:pPr>
      <w:r w:rsidDel="00000000" w:rsidR="00000000" w:rsidRPr="00000000">
        <w:rPr>
          <w:sz w:val="30"/>
          <w:szCs w:val="30"/>
          <w:rtl w:val="0"/>
        </w:rPr>
        <w:t xml:space="preserve">Volpe: student outside of GUSA to be a part of the Op-Ed “this is why as a student i believe in this too.” Can the HOYA endorse it? </w:t>
      </w:r>
    </w:p>
    <w:p w:rsidR="00000000" w:rsidDel="00000000" w:rsidP="00000000" w:rsidRDefault="00000000" w:rsidRPr="00000000" w14:paraId="00000023">
      <w:pPr>
        <w:numPr>
          <w:ilvl w:val="1"/>
          <w:numId w:val="1"/>
        </w:numPr>
        <w:ind w:left="1440" w:hanging="360"/>
        <w:rPr>
          <w:sz w:val="30"/>
          <w:szCs w:val="30"/>
          <w:u w:val="none"/>
        </w:rPr>
      </w:pPr>
      <w:r w:rsidDel="00000000" w:rsidR="00000000" w:rsidRPr="00000000">
        <w:rPr>
          <w:sz w:val="30"/>
          <w:szCs w:val="30"/>
          <w:rtl w:val="0"/>
        </w:rPr>
        <w:t xml:space="preserve">Nugent: former speaker of senate reached out to him to collaborate on student endowment. He has advice for us.</w:t>
      </w:r>
    </w:p>
    <w:p w:rsidR="00000000" w:rsidDel="00000000" w:rsidP="00000000" w:rsidRDefault="00000000" w:rsidRPr="00000000" w14:paraId="00000024">
      <w:pPr>
        <w:numPr>
          <w:ilvl w:val="1"/>
          <w:numId w:val="1"/>
        </w:numPr>
        <w:ind w:left="1440" w:hanging="360"/>
        <w:rPr>
          <w:sz w:val="30"/>
          <w:szCs w:val="30"/>
          <w:u w:val="none"/>
        </w:rPr>
      </w:pPr>
      <w:r w:rsidDel="00000000" w:rsidR="00000000" w:rsidRPr="00000000">
        <w:rPr>
          <w:sz w:val="30"/>
          <w:szCs w:val="30"/>
          <w:rtl w:val="0"/>
        </w:rPr>
        <w:t xml:space="preserve">Arias: let’s take 15 minutes to send individual messages to get support for the SEF. </w:t>
      </w:r>
    </w:p>
    <w:p w:rsidR="00000000" w:rsidDel="00000000" w:rsidP="00000000" w:rsidRDefault="00000000" w:rsidRPr="00000000" w14:paraId="00000025">
      <w:pPr>
        <w:numPr>
          <w:ilvl w:val="1"/>
          <w:numId w:val="1"/>
        </w:numPr>
        <w:ind w:left="1440" w:hanging="360"/>
        <w:rPr>
          <w:sz w:val="30"/>
          <w:szCs w:val="30"/>
          <w:u w:val="none"/>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sz w:val="30"/>
          <w:szCs w:val="30"/>
          <w:rtl w:val="0"/>
        </w:rPr>
        <w:t xml:space="preserve">Logistics</w:t>
      </w:r>
    </w:p>
    <w:p w:rsidR="00000000" w:rsidDel="00000000" w:rsidP="00000000" w:rsidRDefault="00000000" w:rsidRPr="00000000" w14:paraId="00000027">
      <w:pPr>
        <w:numPr>
          <w:ilvl w:val="0"/>
          <w:numId w:val="2"/>
        </w:numPr>
        <w:ind w:left="1440" w:hanging="360"/>
        <w:rPr>
          <w:sz w:val="30"/>
          <w:szCs w:val="30"/>
          <w:u w:val="none"/>
        </w:rPr>
      </w:pPr>
      <w:r w:rsidDel="00000000" w:rsidR="00000000" w:rsidRPr="00000000">
        <w:rPr>
          <w:sz w:val="30"/>
          <w:szCs w:val="30"/>
          <w:rtl w:val="0"/>
        </w:rPr>
        <w:t xml:space="preserve">Speakers </w:t>
      </w:r>
    </w:p>
    <w:p w:rsidR="00000000" w:rsidDel="00000000" w:rsidP="00000000" w:rsidRDefault="00000000" w:rsidRPr="00000000" w14:paraId="00000028">
      <w:pPr>
        <w:numPr>
          <w:ilvl w:val="0"/>
          <w:numId w:val="1"/>
        </w:numPr>
        <w:ind w:left="720" w:hanging="360"/>
      </w:pPr>
      <w:hyperlink r:id="rId7">
        <w:r w:rsidDel="00000000" w:rsidR="00000000" w:rsidRPr="00000000">
          <w:rPr>
            <w:color w:val="1155cc"/>
            <w:sz w:val="30"/>
            <w:szCs w:val="30"/>
            <w:u w:val="single"/>
            <w:rtl w:val="0"/>
          </w:rPr>
          <w:t xml:space="preserve">Pending Legislation</w:t>
        </w:r>
      </w:hyperlink>
      <w:r w:rsidDel="00000000" w:rsidR="00000000" w:rsidRPr="00000000">
        <w:rPr>
          <w:color w:val="c9daf8"/>
          <w:sz w:val="30"/>
          <w:szCs w:val="30"/>
          <w:highlight w:val="white"/>
          <w:rtl w:val="0"/>
        </w:rPr>
        <w:t xml:space="preserve"> </w:t>
      </w:r>
      <w:r w:rsidDel="00000000" w:rsidR="00000000" w:rsidRPr="00000000">
        <w:rPr>
          <w:sz w:val="30"/>
          <w:szCs w:val="30"/>
          <w:highlight w:val="white"/>
          <w:rtl w:val="0"/>
        </w:rPr>
        <w:t xml:space="preserve">N/A</w:t>
      </w: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color w:val="222222"/>
          <w:sz w:val="30"/>
          <w:szCs w:val="30"/>
          <w:highlight w:val="white"/>
          <w:rtl w:val="0"/>
        </w:rPr>
        <w:t xml:space="preserve">Public Comment: N/A</w:t>
      </w:r>
    </w:p>
    <w:p w:rsidR="00000000" w:rsidDel="00000000" w:rsidP="00000000" w:rsidRDefault="00000000" w:rsidRPr="00000000" w14:paraId="0000002A">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Good of the Order: N/A</w:t>
      </w:r>
    </w:p>
    <w:p w:rsidR="00000000" w:rsidDel="00000000" w:rsidP="00000000" w:rsidRDefault="00000000" w:rsidRPr="00000000" w14:paraId="0000002B">
      <w:pPr>
        <w:numPr>
          <w:ilvl w:val="0"/>
          <w:numId w:val="1"/>
        </w:numPr>
        <w:ind w:left="720" w:hanging="360"/>
        <w:rPr>
          <w:color w:val="222222"/>
          <w:highlight w:val="white"/>
        </w:rPr>
      </w:pPr>
      <w:r w:rsidDel="00000000" w:rsidR="00000000" w:rsidRPr="00000000">
        <w:rPr>
          <w:color w:val="222222"/>
          <w:sz w:val="30"/>
          <w:szCs w:val="30"/>
          <w:highlight w:val="white"/>
          <w:rtl w:val="0"/>
        </w:rPr>
        <w:t xml:space="preserve">Adjournment at Time : 4:45 PM </w:t>
      </w:r>
    </w:p>
    <w:p w:rsidR="00000000" w:rsidDel="00000000" w:rsidP="00000000" w:rsidRDefault="00000000" w:rsidRPr="00000000" w14:paraId="0000002C">
      <w:pPr>
        <w:rPr>
          <w:color w:val="222222"/>
          <w:sz w:val="30"/>
          <w:szCs w:val="30"/>
          <w:highlight w:val="white"/>
        </w:rPr>
      </w:pPr>
      <w:r w:rsidDel="00000000" w:rsidR="00000000" w:rsidRPr="00000000">
        <w:rPr>
          <w:rtl w:val="0"/>
        </w:rPr>
      </w:r>
    </w:p>
    <w:p w:rsidR="00000000" w:rsidDel="00000000" w:rsidP="00000000" w:rsidRDefault="00000000" w:rsidRPr="00000000" w14:paraId="0000002D">
      <w:pPr>
        <w:rPr>
          <w:color w:val="222222"/>
          <w:sz w:val="30"/>
          <w:szCs w:val="30"/>
          <w:highlight w:val="white"/>
        </w:rPr>
      </w:pPr>
      <w:r w:rsidDel="00000000" w:rsidR="00000000" w:rsidRPr="00000000">
        <w:rPr>
          <w:rtl w:val="0"/>
        </w:rPr>
      </w:r>
    </w:p>
    <w:p w:rsidR="00000000" w:rsidDel="00000000" w:rsidP="00000000" w:rsidRDefault="00000000" w:rsidRPr="00000000" w14:paraId="0000002E">
      <w:pPr>
        <w:rPr>
          <w:color w:val="222222"/>
          <w:sz w:val="30"/>
          <w:szCs w:val="30"/>
          <w:highlight w:val="white"/>
        </w:rPr>
      </w:pPr>
      <w:r w:rsidDel="00000000" w:rsidR="00000000" w:rsidRPr="00000000">
        <w:rPr>
          <w:rtl w:val="0"/>
        </w:rPr>
      </w:r>
    </w:p>
    <w:p w:rsidR="00000000" w:rsidDel="00000000" w:rsidP="00000000" w:rsidRDefault="00000000" w:rsidRPr="00000000" w14:paraId="0000002F">
      <w:pPr>
        <w:rPr>
          <w:color w:val="222222"/>
          <w:sz w:val="30"/>
          <w:szCs w:val="30"/>
          <w:highlight w:val="white"/>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before="60" w:line="240" w:lineRule="auto"/>
      <w:ind w:left="360" w:firstLine="0"/>
      <w:jc w:val="center"/>
      <w:rPr/>
    </w:pPr>
    <w:r w:rsidDel="00000000" w:rsidR="00000000" w:rsidRPr="00000000">
      <w:rPr>
        <w:sz w:val="22"/>
        <w:szCs w:val="22"/>
      </w:rPr>
      <w:drawing>
        <wp:inline distB="114300" distT="114300" distL="114300" distR="114300">
          <wp:extent cx="4262438" cy="104754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62438" cy="10475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sz w:val="30"/>
        <w:szCs w:val="3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Rule="auto"/>
    </w:pPr>
    <w:rPr>
      <w:rFonts w:ascii="Droid Serif" w:cs="Droid Serif" w:eastAsia="Droid Serif" w:hAnsi="Droid Serif"/>
      <w:sz w:val="30"/>
      <w:szCs w:val="30"/>
    </w:rPr>
  </w:style>
  <w:style w:type="paragraph" w:styleId="Heading2">
    <w:name w:val="heading 2"/>
    <w:basedOn w:val="Normal"/>
    <w:next w:val="Normal"/>
    <w:pPr>
      <w:keepNext w:val="1"/>
      <w:keepLines w:val="1"/>
      <w:spacing w:after="60" w:before="60" w:lineRule="auto"/>
      <w:ind w:firstLine="720"/>
    </w:pPr>
    <w:rPr>
      <w:rFonts w:ascii="Droid Serif" w:cs="Droid Serif" w:eastAsia="Droid Serif" w:hAnsi="Droid Serif"/>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100" w:before="100" w:lineRule="auto"/>
      <w:jc w:val="center"/>
    </w:pPr>
    <w:rPr>
      <w:rFonts w:ascii="Georgia" w:cs="Georgia" w:eastAsia="Georgia" w:hAnsi="Georgia"/>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21It_YuXsDb9m3W2jq5r6Co_4tg976heNwljwTsdtpE/edit?usp=sharing" TargetMode="External"/><Relationship Id="rId7" Type="http://schemas.openxmlformats.org/officeDocument/2006/relationships/hyperlink" Target="https://docs.google.com/spreadsheets/d/121It_YuXsDb9m3W2jq5r6Co_4tg976heNwljwTsdtpE/edit?usp=sharing"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