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Droid Serif" w:cs="Droid Serif" w:eastAsia="Droid Serif" w:hAnsi="Droid Serif"/>
          <w:b w:val="1"/>
          <w:color w:val="222222"/>
          <w:sz w:val="60"/>
          <w:szCs w:val="60"/>
          <w:highlight w:val="white"/>
        </w:rPr>
      </w:pPr>
      <w:r w:rsidDel="00000000" w:rsidR="00000000" w:rsidRPr="00000000">
        <w:rPr>
          <w:rFonts w:ascii="Droid Serif" w:cs="Droid Serif" w:eastAsia="Droid Serif" w:hAnsi="Droid Serif"/>
          <w:b w:val="1"/>
          <w:color w:val="222222"/>
          <w:sz w:val="60"/>
          <w:szCs w:val="60"/>
          <w:highlight w:val="white"/>
          <w:rtl w:val="0"/>
        </w:rPr>
        <w:t xml:space="preserve">14th GUSA Senate</w:t>
      </w:r>
    </w:p>
    <w:p w:rsidR="00000000" w:rsidDel="00000000" w:rsidP="00000000" w:rsidRDefault="00000000" w:rsidRPr="00000000" w14:paraId="00000003">
      <w:pPr>
        <w:jc w:val="center"/>
        <w:rPr>
          <w:rFonts w:ascii="Droid Serif" w:cs="Droid Serif" w:eastAsia="Droid Serif" w:hAnsi="Droid Serif"/>
          <w:i w:val="1"/>
          <w:color w:val="222222"/>
          <w:sz w:val="36"/>
          <w:szCs w:val="36"/>
          <w:highlight w:val="white"/>
        </w:rPr>
      </w:pPr>
      <w:r w:rsidDel="00000000" w:rsidR="00000000" w:rsidRPr="00000000">
        <w:rPr>
          <w:rFonts w:ascii="Droid Serif" w:cs="Droid Serif" w:eastAsia="Droid Serif" w:hAnsi="Droid Serif"/>
          <w:i w:val="1"/>
          <w:color w:val="222222"/>
          <w:sz w:val="36"/>
          <w:szCs w:val="36"/>
          <w:highlight w:val="white"/>
          <w:rtl w:val="0"/>
        </w:rPr>
        <w:t xml:space="preserve">Voter Guide: Student Empowerment </w:t>
      </w:r>
      <w:r w:rsidDel="00000000" w:rsidR="00000000" w:rsidRPr="00000000">
        <w:rPr>
          <w:rFonts w:ascii="Droid Serif" w:cs="Droid Serif" w:eastAsia="Droid Serif" w:hAnsi="Droid Serif"/>
          <w:i w:val="1"/>
          <w:color w:val="222222"/>
          <w:sz w:val="36"/>
          <w:szCs w:val="36"/>
          <w:highlight w:val="white"/>
          <w:rtl w:val="0"/>
        </w:rPr>
        <w:t xml:space="preserve">Fund</w:t>
      </w:r>
      <w:r w:rsidDel="00000000" w:rsidR="00000000" w:rsidRPr="00000000">
        <w:rPr>
          <w:rtl w:val="0"/>
        </w:rPr>
      </w:r>
    </w:p>
    <w:p w:rsidR="00000000" w:rsidDel="00000000" w:rsidP="00000000" w:rsidRDefault="00000000" w:rsidRPr="00000000" w14:paraId="00000004">
      <w:pPr>
        <w:spacing w:line="240" w:lineRule="auto"/>
        <w:ind w:left="0" w:right="18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proposal advocates for the implementation of the Student Empowerment Fund </w:t>
      </w:r>
    </w:p>
    <w:p w:rsidR="00000000" w:rsidDel="00000000" w:rsidP="00000000" w:rsidRDefault="00000000" w:rsidRPr="00000000" w14:paraId="00000006">
      <w:pPr>
        <w:numPr>
          <w:ilvl w:val="2"/>
          <w:numId w:val="1"/>
        </w:numPr>
        <w:spacing w:line="360" w:lineRule="auto"/>
        <w:ind w:left="72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Fund will be built through an annual allocation of $50,000 from the Student Activities Fee and from any additional revenues from the Student Activities Fee unaccounted for in the Budget and contributions to the fund by Georgetown Alumni. </w:t>
      </w:r>
    </w:p>
    <w:p w:rsidR="00000000" w:rsidDel="00000000" w:rsidP="00000000" w:rsidRDefault="00000000" w:rsidRPr="00000000" w14:paraId="00000007">
      <w:pPr>
        <w:numPr>
          <w:ilvl w:val="2"/>
          <w:numId w:val="1"/>
        </w:numPr>
        <w:spacing w:line="360" w:lineRule="auto"/>
        <w:ind w:left="72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Fund is mandated to fund projects which have defined, reasonable, and achievable goals and which invest in the future of the student body, and to supplement the Student Activity Fee as a source of revenue for funding student activities on campus.</w:t>
      </w:r>
    </w:p>
    <w:p w:rsidR="00000000" w:rsidDel="00000000" w:rsidP="00000000" w:rsidRDefault="00000000" w:rsidRPr="00000000" w14:paraId="00000008">
      <w:pPr>
        <w:numPr>
          <w:ilvl w:val="2"/>
          <w:numId w:val="1"/>
        </w:numPr>
        <w:spacing w:line="360" w:lineRule="auto"/>
        <w:ind w:left="72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Revenues from this fund would be distinct and separate from Student Activities Fee annual allocations but would be included as revenues in the Student Activities Fee Budget. </w:t>
      </w:r>
    </w:p>
    <w:p w:rsidR="00000000" w:rsidDel="00000000" w:rsidP="00000000" w:rsidRDefault="00000000" w:rsidRPr="00000000" w14:paraId="00000009">
      <w:pPr>
        <w:numPr>
          <w:ilvl w:val="2"/>
          <w:numId w:val="1"/>
        </w:numPr>
        <w:spacing w:line="360" w:lineRule="auto"/>
        <w:ind w:left="72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Fund will operate under the following institutional rules:</w:t>
      </w:r>
    </w:p>
    <w:p w:rsidR="00000000" w:rsidDel="00000000" w:rsidP="00000000" w:rsidRDefault="00000000" w:rsidRPr="00000000" w14:paraId="0000000A">
      <w:pPr>
        <w:numPr>
          <w:ilvl w:val="3"/>
          <w:numId w:val="1"/>
        </w:numPr>
        <w:spacing w:line="360" w:lineRule="auto"/>
        <w:ind w:left="144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Student Association cannot withdraw any funds from the Fund until FY 2036 at the earliest.</w:t>
      </w:r>
    </w:p>
    <w:p w:rsidR="00000000" w:rsidDel="00000000" w:rsidP="00000000" w:rsidRDefault="00000000" w:rsidRPr="00000000" w14:paraId="0000000B">
      <w:pPr>
        <w:numPr>
          <w:ilvl w:val="3"/>
          <w:numId w:val="1"/>
        </w:numPr>
        <w:spacing w:line="360" w:lineRule="auto"/>
        <w:ind w:left="144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any given point, the Finance and Appropriations Committee is only permitted to withdraw 5% of the aggregate assets for the express purpose of serving as an additional source of revenue in the Student Activities Fee Budget.</w:t>
      </w:r>
    </w:p>
    <w:p w:rsidR="00000000" w:rsidDel="00000000" w:rsidP="00000000" w:rsidRDefault="00000000" w:rsidRPr="00000000" w14:paraId="0000000C">
      <w:pPr>
        <w:numPr>
          <w:ilvl w:val="3"/>
          <w:numId w:val="1"/>
        </w:numPr>
        <w:spacing w:line="360" w:lineRule="auto"/>
        <w:ind w:left="1440" w:right="1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liquidation of more than 5% of aggregate assets will require a ⅔ vote of the Senate and can only occur in accordance with the stated purposes of the Fund. </w:t>
      </w:r>
    </w:p>
    <w:p w:rsidR="00000000" w:rsidDel="00000000" w:rsidP="00000000" w:rsidRDefault="00000000" w:rsidRPr="00000000" w14:paraId="0000000D">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pacing w:before="60" w:line="240" w:lineRule="auto"/>
      <w:ind w:left="360" w:firstLine="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before="60" w:line="240" w:lineRule="auto"/>
      <w:ind w:left="360" w:firstLine="0"/>
      <w:jc w:val="center"/>
      <w:rPr/>
    </w:pPr>
    <w:r w:rsidDel="00000000" w:rsidR="00000000" w:rsidRPr="00000000">
      <w:rPr>
        <w:rFonts w:ascii="Droid Serif" w:cs="Droid Serif" w:eastAsia="Droid Serif" w:hAnsi="Droid Serif"/>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