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22222"/>
          <w:sz w:val="44"/>
          <w:szCs w:val="44"/>
          <w:highlight w:val="white"/>
        </w:rPr>
      </w:pPr>
      <w:r w:rsidDel="00000000" w:rsidR="00000000" w:rsidRPr="00000000">
        <w:rPr>
          <w:b w:val="1"/>
          <w:color w:val="222222"/>
          <w:sz w:val="44"/>
          <w:szCs w:val="44"/>
          <w:highlight w:val="white"/>
          <w:rtl w:val="0"/>
        </w:rPr>
        <w:t xml:space="preserve">The Finance and Appropriations Committee of the 14th Senate</w:t>
      </w:r>
    </w:p>
    <w:p w:rsidR="00000000" w:rsidDel="00000000" w:rsidP="00000000" w:rsidRDefault="00000000" w:rsidRPr="00000000" w14:paraId="00000002">
      <w:pPr>
        <w:spacing w:after="200" w:lineRule="auto"/>
        <w:jc w:val="center"/>
        <w:rPr>
          <w:color w:val="222222"/>
          <w:sz w:val="28"/>
          <w:szCs w:val="28"/>
          <w:highlight w:val="white"/>
        </w:rPr>
      </w:pPr>
      <w:r w:rsidDel="00000000" w:rsidR="00000000" w:rsidRPr="00000000">
        <w:rPr>
          <w:i w:val="1"/>
          <w:color w:val="222222"/>
          <w:sz w:val="28"/>
          <w:szCs w:val="28"/>
          <w:highlight w:val="white"/>
          <w:rtl w:val="0"/>
        </w:rPr>
        <w:t xml:space="preserve">First Joint Leadership Meeting Between the Finance and Appropriations Committee and Student Activities Commission</w:t>
      </w:r>
      <w:r w:rsidDel="00000000" w:rsidR="00000000" w:rsidRPr="00000000">
        <w:rPr>
          <w:rtl w:val="0"/>
        </w:rPr>
      </w:r>
    </w:p>
    <w:p w:rsidR="00000000" w:rsidDel="00000000" w:rsidP="00000000" w:rsidRDefault="00000000" w:rsidRPr="00000000" w14:paraId="00000003">
      <w:pPr>
        <w:jc w:val="center"/>
        <w:rPr>
          <w:color w:val="222222"/>
          <w:sz w:val="28"/>
          <w:szCs w:val="28"/>
          <w:highlight w:val="white"/>
        </w:rPr>
      </w:pPr>
      <w:r w:rsidDel="00000000" w:rsidR="00000000" w:rsidRPr="00000000">
        <w:rPr>
          <w:color w:val="222222"/>
          <w:sz w:val="28"/>
          <w:szCs w:val="28"/>
          <w:highlight w:val="white"/>
          <w:rtl w:val="0"/>
        </w:rPr>
        <w:t xml:space="preserve">Saturday, April 25th, 2020 | Zoom Conference, 4:00 PM EST</w:t>
      </w:r>
    </w:p>
    <w:p w:rsidR="00000000" w:rsidDel="00000000" w:rsidP="00000000" w:rsidRDefault="00000000" w:rsidRPr="00000000" w14:paraId="00000004">
      <w:pPr>
        <w:jc w:val="center"/>
        <w:rPr>
          <w:color w:val="222222"/>
          <w:sz w:val="32"/>
          <w:szCs w:val="32"/>
          <w:highlight w:val="white"/>
        </w:rPr>
      </w:pPr>
      <w:r w:rsidDel="00000000" w:rsidR="00000000" w:rsidRPr="00000000">
        <w:rPr>
          <w:rtl w:val="0"/>
        </w:rPr>
      </w:r>
    </w:p>
    <w:p w:rsidR="00000000" w:rsidDel="00000000" w:rsidP="00000000" w:rsidRDefault="00000000" w:rsidRPr="00000000" w14:paraId="00000005">
      <w:pPr>
        <w:jc w:val="center"/>
        <w:rPr>
          <w:color w:val="222222"/>
          <w:highlight w:val="white"/>
        </w:rPr>
      </w:pPr>
      <w:r w:rsidDel="00000000" w:rsidR="00000000" w:rsidRPr="00000000">
        <w:rPr>
          <w:color w:val="222222"/>
          <w:highlight w:val="white"/>
          <w:rtl w:val="0"/>
        </w:rPr>
        <w:t xml:space="preserve">Meeting Agenda</w:t>
      </w:r>
    </w:p>
    <w:p w:rsidR="00000000" w:rsidDel="00000000" w:rsidP="00000000" w:rsidRDefault="00000000" w:rsidRPr="00000000" w14:paraId="00000006">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Call to Order: 4:02 PM</w:t>
      </w:r>
    </w:p>
    <w:p w:rsidR="00000000" w:rsidDel="00000000" w:rsidP="00000000" w:rsidRDefault="00000000" w:rsidRPr="00000000" w14:paraId="00000007">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Attendance: All present</w:t>
      </w:r>
    </w:p>
    <w:p w:rsidR="00000000" w:rsidDel="00000000" w:rsidP="00000000" w:rsidRDefault="00000000" w:rsidRPr="00000000" w14:paraId="00000008">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Preliminary Matters</w:t>
      </w:r>
    </w:p>
    <w:p w:rsidR="00000000" w:rsidDel="00000000" w:rsidP="00000000" w:rsidRDefault="00000000" w:rsidRPr="00000000" w14:paraId="00000009">
      <w:pPr>
        <w:numPr>
          <w:ilvl w:val="1"/>
          <w:numId w:val="1"/>
        </w:numPr>
        <w:ind w:left="1440" w:hanging="360"/>
        <w:rPr>
          <w:color w:val="222222"/>
          <w:highlight w:val="white"/>
        </w:rPr>
      </w:pPr>
      <w:r w:rsidDel="00000000" w:rsidR="00000000" w:rsidRPr="00000000">
        <w:rPr>
          <w:color w:val="222222"/>
          <w:highlight w:val="white"/>
          <w:rtl w:val="0"/>
        </w:rPr>
        <w:t xml:space="preserve">Setting parameters for meetings and community guidelines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rtl w:val="0"/>
        </w:rPr>
        <w:t xml:space="preserve">Briefing Topics</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Priorities for FinApp and SAC Leaderships</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Restructuring the Student Activities Fee</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GEMS and GUPD Costs</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Making FinApp more accountable to Boards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FinApp’s concerns about specific clubs</w:t>
      </w:r>
    </w:p>
    <w:p w:rsidR="00000000" w:rsidDel="00000000" w:rsidP="00000000" w:rsidRDefault="00000000" w:rsidRPr="00000000" w14:paraId="00000010">
      <w:pPr>
        <w:numPr>
          <w:ilvl w:val="1"/>
          <w:numId w:val="1"/>
        </w:numPr>
        <w:ind w:left="1440" w:hanging="360"/>
        <w:rPr>
          <w:color w:val="222222"/>
          <w:highlight w:val="white"/>
        </w:rPr>
      </w:pPr>
      <w:r w:rsidDel="00000000" w:rsidR="00000000" w:rsidRPr="00000000">
        <w:rPr>
          <w:color w:val="222222"/>
          <w:highlight w:val="white"/>
          <w:rtl w:val="0"/>
        </w:rPr>
        <w:t xml:space="preserve">Pending Business</w:t>
      </w:r>
    </w:p>
    <w:p w:rsidR="00000000" w:rsidDel="00000000" w:rsidP="00000000" w:rsidRDefault="00000000" w:rsidRPr="00000000" w14:paraId="00000011">
      <w:pPr>
        <w:numPr>
          <w:ilvl w:val="2"/>
          <w:numId w:val="1"/>
        </w:numPr>
        <w:ind w:left="2160" w:hanging="360"/>
        <w:rPr>
          <w:color w:val="222222"/>
          <w:highlight w:val="white"/>
        </w:rPr>
      </w:pPr>
      <w:r w:rsidDel="00000000" w:rsidR="00000000" w:rsidRPr="00000000">
        <w:rPr>
          <w:color w:val="222222"/>
          <w:highlight w:val="white"/>
          <w:rtl w:val="0"/>
        </w:rPr>
        <w:t xml:space="preserve">SAC Appeals</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Student Empowerment Fund</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Cultural Organizations Advisory Board (“Movement to divide SAC”)</w:t>
      </w:r>
    </w:p>
    <w:p w:rsidR="00000000" w:rsidDel="00000000" w:rsidP="00000000" w:rsidRDefault="00000000" w:rsidRPr="00000000" w14:paraId="00000014">
      <w:pPr>
        <w:numPr>
          <w:ilvl w:val="2"/>
          <w:numId w:val="1"/>
        </w:numPr>
        <w:ind w:left="2160" w:hanging="360"/>
        <w:rPr>
          <w:color w:val="222222"/>
          <w:highlight w:val="white"/>
        </w:rPr>
      </w:pPr>
      <w:r w:rsidDel="00000000" w:rsidR="00000000" w:rsidRPr="00000000">
        <w:rPr>
          <w:color w:val="222222"/>
          <w:highlight w:val="white"/>
          <w:rtl w:val="0"/>
        </w:rPr>
        <w:t xml:space="preserve">FinApp Audit of Event Costs</w:t>
      </w:r>
    </w:p>
    <w:p w:rsidR="00000000" w:rsidDel="00000000" w:rsidP="00000000" w:rsidRDefault="00000000" w:rsidRPr="00000000" w14:paraId="00000015">
      <w:pPr>
        <w:numPr>
          <w:ilvl w:val="1"/>
          <w:numId w:val="1"/>
        </w:numPr>
        <w:ind w:left="1440" w:hanging="360"/>
        <w:rPr>
          <w:color w:val="222222"/>
          <w:highlight w:val="white"/>
        </w:rPr>
      </w:pPr>
      <w:r w:rsidDel="00000000" w:rsidR="00000000" w:rsidRPr="00000000">
        <w:rPr>
          <w:color w:val="222222"/>
          <w:highlight w:val="white"/>
          <w:rtl w:val="0"/>
        </w:rPr>
        <w:t xml:space="preserve">Setting Timelines for Projects</w:t>
      </w:r>
    </w:p>
    <w:p w:rsidR="00000000" w:rsidDel="00000000" w:rsidP="00000000" w:rsidRDefault="00000000" w:rsidRPr="00000000" w14:paraId="00000016">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Housekeeping</w:t>
      </w:r>
    </w:p>
    <w:p w:rsidR="00000000" w:rsidDel="00000000" w:rsidP="00000000" w:rsidRDefault="00000000" w:rsidRPr="00000000" w14:paraId="00000017">
      <w:pPr>
        <w:numPr>
          <w:ilvl w:val="1"/>
          <w:numId w:val="1"/>
        </w:numPr>
        <w:ind w:left="1440" w:hanging="360"/>
        <w:rPr>
          <w:color w:val="222222"/>
          <w:highlight w:val="white"/>
        </w:rPr>
      </w:pPr>
      <w:r w:rsidDel="00000000" w:rsidR="00000000" w:rsidRPr="00000000">
        <w:rPr>
          <w:color w:val="222222"/>
          <w:highlight w:val="white"/>
          <w:rtl w:val="0"/>
        </w:rPr>
        <w:t xml:space="preserve">Set a meeting schedule, decide actionables for next check-in</w:t>
      </w:r>
    </w:p>
    <w:p w:rsidR="00000000" w:rsidDel="00000000" w:rsidP="00000000" w:rsidRDefault="00000000" w:rsidRPr="00000000" w14:paraId="00000018">
      <w:pPr>
        <w:numPr>
          <w:ilvl w:val="2"/>
          <w:numId w:val="1"/>
        </w:numPr>
        <w:ind w:left="2160" w:hanging="360"/>
        <w:rPr>
          <w:b w:val="1"/>
          <w:color w:val="222222"/>
          <w:highlight w:val="white"/>
        </w:rPr>
      </w:pPr>
      <w:r w:rsidDel="00000000" w:rsidR="00000000" w:rsidRPr="00000000">
        <w:rPr>
          <w:b w:val="1"/>
          <w:color w:val="222222"/>
          <w:highlight w:val="white"/>
          <w:rtl w:val="0"/>
        </w:rPr>
        <w:t xml:space="preserve">Actionables for FinApp:</w:t>
      </w:r>
    </w:p>
    <w:p w:rsidR="00000000" w:rsidDel="00000000" w:rsidP="00000000" w:rsidRDefault="00000000" w:rsidRPr="00000000" w14:paraId="00000019">
      <w:pPr>
        <w:numPr>
          <w:ilvl w:val="3"/>
          <w:numId w:val="1"/>
        </w:numPr>
        <w:ind w:left="2880" w:hanging="360"/>
        <w:rPr>
          <w:b w:val="1"/>
          <w:color w:val="222222"/>
          <w:highlight w:val="white"/>
        </w:rPr>
      </w:pPr>
      <w:r w:rsidDel="00000000" w:rsidR="00000000" w:rsidRPr="00000000">
        <w:rPr>
          <w:b w:val="1"/>
          <w:color w:val="222222"/>
          <w:highlight w:val="white"/>
          <w:rtl w:val="0"/>
        </w:rPr>
        <w:t xml:space="preserve">Liaison for SAC (by end of May)</w:t>
      </w:r>
    </w:p>
    <w:p w:rsidR="00000000" w:rsidDel="00000000" w:rsidP="00000000" w:rsidRDefault="00000000" w:rsidRPr="00000000" w14:paraId="0000001A">
      <w:pPr>
        <w:numPr>
          <w:ilvl w:val="3"/>
          <w:numId w:val="1"/>
        </w:numPr>
        <w:ind w:left="2880" w:hanging="360"/>
        <w:rPr>
          <w:b w:val="1"/>
          <w:color w:val="222222"/>
          <w:highlight w:val="white"/>
        </w:rPr>
      </w:pPr>
      <w:r w:rsidDel="00000000" w:rsidR="00000000" w:rsidRPr="00000000">
        <w:rPr>
          <w:b w:val="1"/>
          <w:color w:val="222222"/>
          <w:highlight w:val="white"/>
          <w:rtl w:val="0"/>
        </w:rPr>
        <w:t xml:space="preserve">Whistleblowing for Club Financial Misconduct</w:t>
      </w:r>
    </w:p>
    <w:p w:rsidR="00000000" w:rsidDel="00000000" w:rsidP="00000000" w:rsidRDefault="00000000" w:rsidRPr="00000000" w14:paraId="0000001B">
      <w:pPr>
        <w:numPr>
          <w:ilvl w:val="3"/>
          <w:numId w:val="1"/>
        </w:numPr>
        <w:ind w:left="2880" w:hanging="360"/>
        <w:rPr>
          <w:b w:val="1"/>
          <w:color w:val="222222"/>
          <w:highlight w:val="white"/>
        </w:rPr>
      </w:pPr>
      <w:r w:rsidDel="00000000" w:rsidR="00000000" w:rsidRPr="00000000">
        <w:rPr>
          <w:b w:val="1"/>
          <w:color w:val="222222"/>
          <w:highlight w:val="white"/>
          <w:rtl w:val="0"/>
        </w:rPr>
        <w:t xml:space="preserve">Speak with Abhi about CAB-FinApp partnership</w:t>
      </w:r>
    </w:p>
    <w:p w:rsidR="00000000" w:rsidDel="00000000" w:rsidP="00000000" w:rsidRDefault="00000000" w:rsidRPr="00000000" w14:paraId="0000001C">
      <w:pPr>
        <w:numPr>
          <w:ilvl w:val="3"/>
          <w:numId w:val="1"/>
        </w:numPr>
        <w:ind w:left="2880" w:hanging="360"/>
        <w:rPr>
          <w:b w:val="1"/>
          <w:color w:val="222222"/>
          <w:highlight w:val="white"/>
          <w:u w:val="none"/>
        </w:rPr>
      </w:pPr>
      <w:r w:rsidDel="00000000" w:rsidR="00000000" w:rsidRPr="00000000">
        <w:rPr>
          <w:b w:val="1"/>
          <w:color w:val="222222"/>
          <w:highlight w:val="white"/>
          <w:rtl w:val="0"/>
        </w:rPr>
        <w:t xml:space="preserve">SAF Working Group- keep them in the loop</w:t>
      </w:r>
    </w:p>
    <w:p w:rsidR="00000000" w:rsidDel="00000000" w:rsidP="00000000" w:rsidRDefault="00000000" w:rsidRPr="00000000" w14:paraId="0000001D">
      <w:pPr>
        <w:numPr>
          <w:ilvl w:val="2"/>
          <w:numId w:val="1"/>
        </w:numPr>
        <w:ind w:left="2160" w:hanging="360"/>
        <w:rPr>
          <w:b w:val="1"/>
          <w:color w:val="222222"/>
          <w:highlight w:val="white"/>
        </w:rPr>
      </w:pPr>
      <w:r w:rsidDel="00000000" w:rsidR="00000000" w:rsidRPr="00000000">
        <w:rPr>
          <w:b w:val="1"/>
          <w:color w:val="222222"/>
          <w:highlight w:val="white"/>
          <w:rtl w:val="0"/>
        </w:rPr>
        <w:t xml:space="preserve">Actionables for SAC:</w:t>
      </w:r>
    </w:p>
    <w:p w:rsidR="00000000" w:rsidDel="00000000" w:rsidP="00000000" w:rsidRDefault="00000000" w:rsidRPr="00000000" w14:paraId="0000001E">
      <w:pPr>
        <w:numPr>
          <w:ilvl w:val="3"/>
          <w:numId w:val="1"/>
        </w:numPr>
        <w:ind w:left="2880" w:hanging="360"/>
        <w:rPr>
          <w:b w:val="1"/>
          <w:color w:val="222222"/>
          <w:highlight w:val="white"/>
        </w:rPr>
      </w:pPr>
      <w:r w:rsidDel="00000000" w:rsidR="00000000" w:rsidRPr="00000000">
        <w:rPr>
          <w:b w:val="1"/>
          <w:color w:val="222222"/>
          <w:highlight w:val="white"/>
          <w:rtl w:val="0"/>
        </w:rPr>
        <w:t xml:space="preserve">Appeals- y’all are good until next time. </w:t>
      </w:r>
    </w:p>
    <w:p w:rsidR="00000000" w:rsidDel="00000000" w:rsidP="00000000" w:rsidRDefault="00000000" w:rsidRPr="00000000" w14:paraId="0000001F">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Adjournment</w:t>
      </w:r>
    </w:p>
    <w:p w:rsidR="00000000" w:rsidDel="00000000" w:rsidP="00000000" w:rsidRDefault="00000000" w:rsidRPr="00000000" w14:paraId="00000020">
      <w:pPr>
        <w:ind w:left="720" w:firstLine="0"/>
        <w:rPr>
          <w:color w:val="222222"/>
          <w:sz w:val="28"/>
          <w:szCs w:val="28"/>
          <w:highlight w:val="white"/>
        </w:rPr>
      </w:pPr>
      <w:r w:rsidDel="00000000" w:rsidR="00000000" w:rsidRPr="00000000">
        <w:rPr>
          <w:rtl w:val="0"/>
        </w:rPr>
      </w:r>
    </w:p>
    <w:p w:rsidR="00000000" w:rsidDel="00000000" w:rsidP="00000000" w:rsidRDefault="00000000" w:rsidRPr="00000000" w14:paraId="00000021">
      <w:pPr>
        <w:ind w:left="720" w:firstLine="0"/>
        <w:rPr>
          <w:i w:val="1"/>
          <w:color w:val="222222"/>
          <w:highlight w:val="white"/>
        </w:rPr>
      </w:pPr>
      <w:r w:rsidDel="00000000" w:rsidR="00000000" w:rsidRPr="00000000">
        <w:rPr>
          <w:i w:val="1"/>
          <w:color w:val="222222"/>
          <w:highlight w:val="white"/>
          <w:rtl w:val="0"/>
        </w:rPr>
        <w:t xml:space="preserve">Note: Due to the Discussion of SAC’s Appeals and First Round of Budgeting, at Chair’s Discretion, no meeting notes or recordings will be taken to protect the confidentiality of the information they communicate to FinApp Leadership. </w:t>
      </w:r>
    </w:p>
    <w:p w:rsidR="00000000" w:rsidDel="00000000" w:rsidP="00000000" w:rsidRDefault="00000000" w:rsidRPr="00000000" w14:paraId="00000022">
      <w:pPr>
        <w:ind w:left="720" w:firstLine="0"/>
        <w:rPr>
          <w:i w:val="1"/>
          <w:color w:val="222222"/>
          <w:highlight w:val="white"/>
        </w:rPr>
      </w:pPr>
      <w:r w:rsidDel="00000000" w:rsidR="00000000" w:rsidRPr="00000000">
        <w:rPr>
          <w:rtl w:val="0"/>
        </w:rPr>
      </w:r>
    </w:p>
    <w:p w:rsidR="00000000" w:rsidDel="00000000" w:rsidP="00000000" w:rsidRDefault="00000000" w:rsidRPr="00000000" w14:paraId="00000023">
      <w:pPr>
        <w:jc w:val="center"/>
        <w:rPr>
          <w:color w:val="222222"/>
          <w:sz w:val="28"/>
          <w:szCs w:val="28"/>
          <w:highlight w:val="white"/>
        </w:rPr>
      </w:pPr>
      <w:r w:rsidDel="00000000" w:rsidR="00000000" w:rsidRPr="00000000">
        <w:rPr>
          <w:b w:val="1"/>
          <w:color w:val="222222"/>
          <w:sz w:val="28"/>
          <w:szCs w:val="28"/>
          <w:highlight w:val="white"/>
          <w:rtl w:val="0"/>
        </w:rPr>
        <w:t xml:space="preserve">Next Meeting: </w:t>
      </w:r>
      <w:r w:rsidDel="00000000" w:rsidR="00000000" w:rsidRPr="00000000">
        <w:rPr>
          <w:color w:val="222222"/>
          <w:sz w:val="28"/>
          <w:szCs w:val="28"/>
          <w:highlight w:val="white"/>
          <w:rtl w:val="0"/>
        </w:rPr>
        <w:t xml:space="preserve">July, week of the 3rd, 2020* </w:t>
      </w:r>
    </w:p>
    <w:p w:rsidR="00000000" w:rsidDel="00000000" w:rsidP="00000000" w:rsidRDefault="00000000" w:rsidRPr="00000000" w14:paraId="00000024">
      <w:pPr>
        <w:jc w:val="center"/>
        <w:rPr>
          <w:color w:val="222222"/>
          <w:sz w:val="28"/>
          <w:szCs w:val="28"/>
          <w:highlight w:val="white"/>
        </w:rPr>
      </w:pPr>
      <w:r w:rsidDel="00000000" w:rsidR="00000000" w:rsidRPr="00000000">
        <w:rPr>
          <w:color w:val="222222"/>
          <w:sz w:val="28"/>
          <w:szCs w:val="28"/>
          <w:highlight w:val="white"/>
          <w:rtl w:val="0"/>
        </w:rPr>
        <w:t xml:space="preserve">*tentative, will finalize later*</w:t>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before="60" w:line="240" w:lineRule="auto"/>
      <w:ind w:left="360" w:firstLine="0"/>
      <w:jc w:val="center"/>
      <w:rPr/>
    </w:pPr>
    <w:r w:rsidDel="00000000" w:rsidR="00000000" w:rsidRPr="00000000">
      <w:rPr>
        <w:sz w:val="22"/>
        <w:szCs w:val="22"/>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Droid Serif" w:cs="Droid Serif" w:eastAsia="Droid Serif" w:hAnsi="Droid Serif"/>
      <w:sz w:val="30"/>
      <w:szCs w:val="30"/>
    </w:rPr>
  </w:style>
  <w:style w:type="paragraph" w:styleId="Heading2">
    <w:name w:val="heading 2"/>
    <w:basedOn w:val="Normal"/>
    <w:next w:val="Normal"/>
    <w:pPr>
      <w:keepNext w:val="1"/>
      <w:keepLines w:val="1"/>
      <w:spacing w:after="60" w:before="60" w:lineRule="auto"/>
      <w:ind w:firstLine="720"/>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00" w:before="100" w:lineRule="auto"/>
      <w:jc w:val="center"/>
    </w:pPr>
    <w:rPr>
      <w:rFonts w:ascii="Georgia" w:cs="Georgia" w:eastAsia="Georgia" w:hAnsi="Georgi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