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May 2020</w:t>
      </w:r>
    </w:p>
    <w:p w:rsidR="00000000" w:rsidDel="00000000" w:rsidP="00000000" w:rsidRDefault="00000000" w:rsidRPr="00000000" w14:paraId="0000000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 Volpe and Vice Chair Kleier of the Senate Ethics and Oversight Committee,</w:t>
      </w:r>
    </w:p>
    <w:p w:rsidR="00000000" w:rsidDel="00000000" w:rsidP="00000000" w:rsidRDefault="00000000" w:rsidRPr="00000000" w14:paraId="0000000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fairly assign liaisons during the Summer and pre-election Fall terms, I independently conducted an ethics disclosure process for all members to properly declare their additional affiliations. Out of respect for your Committee’s mandate, I have enclosed all relevant documents for your records and your maintenance. </w:t>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consultation with the Speaker, and with consideration that the Committee will not presently be appropriating funds from the Student Activity Fee, I have determined that none of the conflicts of interests disqualify any members of the Committee from participating in the full scope of its work; members with conflicts will be asked to abstain from relevant debate or from voting on relevant motions, if at all applicable. These conflicts are:</w:t>
      </w:r>
    </w:p>
    <w:p w:rsidR="00000000" w:rsidDel="00000000" w:rsidP="00000000" w:rsidRDefault="00000000" w:rsidRPr="00000000" w14:paraId="00000005">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Activities Commission: </w:t>
      </w: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06">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Social Justice Advisory Board for Student Organizations: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7">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University Lecture Fund: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8">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Program Board:</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9">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Performing Arts Advisory Council</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note for the future are the conflicts with the Georgetown Program Board, Performing Arts Advisory Council, and Georgetown University Lecture Fund, which involve members of those groups’ leadership structure. Given the nature of our funding system as a </w:t>
      </w:r>
      <w:r w:rsidDel="00000000" w:rsidR="00000000" w:rsidRPr="00000000">
        <w:rPr>
          <w:rFonts w:ascii="Times New Roman" w:cs="Times New Roman" w:eastAsia="Times New Roman" w:hAnsi="Times New Roman"/>
          <w:i w:val="1"/>
          <w:sz w:val="24"/>
          <w:szCs w:val="24"/>
          <w:rtl w:val="0"/>
        </w:rPr>
        <w:t xml:space="preserve">Pareto</w:t>
      </w:r>
      <w:r w:rsidDel="00000000" w:rsidR="00000000" w:rsidRPr="00000000">
        <w:rPr>
          <w:rFonts w:ascii="Times New Roman" w:cs="Times New Roman" w:eastAsia="Times New Roman" w:hAnsi="Times New Roman"/>
          <w:sz w:val="24"/>
          <w:szCs w:val="24"/>
          <w:rtl w:val="0"/>
        </w:rPr>
        <w:t xml:space="preserve"> efficiency problem where increases in one place must be balanced by cuts elsewhere, I would advise these members not to seek positions on the Committee in the Fall Senate Session, as there exists a permanent conflict of interest during the Budget Summit process. However, I leave that matter to your discretion and that of the Leadership of the 15th Senate, and I will not limit their participation in Committee during the remainder of the 14th Senate beyond the aforementioned. </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Bazail-Eimil</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and Appropriations Chair</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Senate of the Georgetown University Student Association</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Enclosures: </w:t>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Encl. 1: Ethics Disclosure Responses</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Encl. 2: Summary Table</w:t>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Encl. 3: Liaison Assignments</w:t>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0" w:right="0" w:firstLine="0"/>
      <w:jc w:val="righ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Chair Eric Bazail-Eimil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-238124</wp:posOffset>
          </wp:positionV>
          <wp:extent cx="842963" cy="842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alphaModFix amt="75000"/>
                  </a:blip>
                  <a:srcRect b="0" l="0" r="0" t="0"/>
                  <a:stretch>
                    <a:fillRect/>
                  </a:stretch>
                </pic:blipFill>
                <pic:spPr>
                  <a:xfrm>
                    <a:off x="0" y="0"/>
                    <a:ext cx="842963" cy="842963"/>
                  </a:xfrm>
                  <a:prstGeom prst="rect"/>
                  <a:ln/>
                </pic:spPr>
              </pic:pic>
            </a:graphicData>
          </a:graphic>
        </wp:anchor>
      </w:drawing>
    </w:r>
  </w:p>
  <w:p w:rsidR="00000000" w:rsidDel="00000000" w:rsidP="00000000" w:rsidRDefault="00000000" w:rsidRPr="00000000" w14:paraId="00000017">
    <w:pPr>
      <w:ind w:left="0" w:right="0" w:firstLine="0"/>
      <w:jc w:val="righ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The Finance and Appropriations Committee of the 14th Senate</w:t>
    </w:r>
  </w:p>
  <w:p w:rsidR="00000000" w:rsidDel="00000000" w:rsidP="00000000" w:rsidRDefault="00000000" w:rsidRPr="00000000" w14:paraId="00000018">
    <w:pPr>
      <w:ind w:left="0" w:right="0" w:firstLine="0"/>
      <w:jc w:val="right"/>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The 2020-2021 Georgetown University Student Association</w:t>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